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7DF17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mc:AlternateContent>
        <mc:Choice Requires="wpsCustomData">
          <wpsCustomData:docfieldStart id="0" docfieldname="标题" hidden="0" print="1" readonly="0" index="2"/>
        </mc:Choice>
      </mc:AlternateContent>
    </w:p>
    <w:p w14:paraId="049832B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201A772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2E38E9F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1AEBA64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6E1A4AE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19C5234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7BE75EF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24B6B3F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3C3EACCE">
      <w:pPr>
        <w:widowControl/>
        <w:spacing w:line="56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鄂环（辐）表〔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8号</w:t>
      </w:r>
    </w:p>
    <w:p w14:paraId="7B18BC5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416955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74109F1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0E9B34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鄂尔多斯市生态环境局关于</w:t>
      </w:r>
    </w:p>
    <w:p w14:paraId="21C6F4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纳林希里矿井110kV输变电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工程</w:t>
      </w:r>
    </w:p>
    <w:p w14:paraId="3CA782F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环境影响报告表的批复</w:t>
      </w:r>
    </w:p>
    <mc:AlternateContent>
      <mc:Choice Requires="wpsCustomData">
        <wpsCustomData:docfieldEnd id="0"/>
      </mc:Choice>
    </mc:AlternateContent>
    <w:p w14:paraId="776032A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bookmarkStart w:id="0" w:name="主送单位"/>
      <w:bookmarkEnd w:id="0"/>
      <mc:AlternateContent>
        <mc:Choice Requires="wpsCustomData">
          <wpsCustomData:docfieldStart id="1" docfieldname="主送单位" hidden="0" print="1" readonly="0" index="3"/>
        </mc:Choice>
      </mc:AlternateContent>
    </w:p>
    <w:p w14:paraId="203D7A9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内蒙古开源纳林希里煤炭开发有限公司：</w:t>
      </w:r>
    </w:p>
    <mc:AlternateContent>
      <mc:Choice Requires="wpsCustomData">
        <wpsCustomData:docfieldEnd id="1"/>
      </mc:Choice>
    </mc:AlternateContent>
    <w:p w14:paraId="75B6A28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</w:rPr>
      </w:pPr>
      <mc:AlternateContent>
        <mc:Choice Requires="wpsCustomData">
          <wpsCustomData:docfieldStart id="2" docfieldname="正文文件" hidden="0" print="1" readonly="0" index="4"/>
        </mc:Choice>
      </mc:AlternateContent>
      <w:bookmarkStart w:id="1" w:name="正文文件"/>
      <w:bookmarkEnd w:id="1"/>
      <w:r>
        <w:rPr>
          <w:rFonts w:hint="eastAsia" w:ascii="仿宋_GB2312" w:hAnsi="仿宋_GB2312" w:eastAsia="仿宋_GB2312"/>
          <w:bCs/>
          <w:sz w:val="32"/>
          <w:szCs w:val="32"/>
        </w:rPr>
        <w:t>你公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司报送的《纳林希里矿井110kV输变电工程建设项目环境影响报告表》</w:t>
      </w:r>
      <w:r>
        <w:rPr>
          <w:rFonts w:hint="eastAsia" w:ascii="仿宋_GB2312" w:hAnsi="仿宋_GB2312" w:eastAsia="仿宋_GB2312"/>
          <w:bCs/>
          <w:sz w:val="32"/>
          <w:szCs w:val="32"/>
        </w:rPr>
        <w:t>（以下简称《报告表》）收悉。经研究，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/>
          <w:bCs/>
          <w:sz w:val="32"/>
          <w:szCs w:val="32"/>
        </w:rPr>
        <w:t>批复如下：</w:t>
      </w:r>
    </w:p>
    <w:p w14:paraId="66C435F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一、项目建设基本情况</w:t>
      </w:r>
    </w:p>
    <w:p w14:paraId="7AA40272"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</w:pPr>
      <w:bookmarkStart w:id="2" w:name="OLE_LINK37"/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本项目位于内蒙古自治区鄂尔多斯市伊金霍洛旗境内，为纳林希里矿井的配套工程，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项目建设内容主要为：</w:t>
      </w:r>
    </w:p>
    <w:p w14:paraId="633F68AD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变电站工程</w:t>
      </w:r>
    </w:p>
    <w:p w14:paraId="44126C81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拟在矿井工业场地内建设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1座110kV变电站，新建2×63MVA主变，主变压器选用三相双绕组有载调压变压器，进线2回。</w:t>
      </w:r>
    </w:p>
    <w:p w14:paraId="0A971235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输电线路工程</w:t>
      </w:r>
    </w:p>
    <w:p w14:paraId="1C84AE43"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拟建2条单回的110kV输电线路，从掌岗图220kV变电站出线两回至拟建的纳林希里矿井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110kV变电站，采用单回路并行架设，共设塔基281座，其中单回路塔基280座，双回路塔基1座（在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掌岗图220kV变电站出线端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共用）。110kV掌纳Ⅰ回线全长42.4km，全部为架空架设。110kV掌纳Ⅱ回线全长42.4km，架空线路42.0km，电缆长度0.366km。</w:t>
      </w:r>
    </w:p>
    <w:p w14:paraId="34386C5C">
      <w:pPr>
        <w:widowControl/>
        <w:spacing w:line="560" w:lineRule="exact"/>
        <w:ind w:firstLine="640" w:firstLineChars="200"/>
        <w:rPr>
          <w:rFonts w:hint="default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纳林希里矿井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110kV变电站值守人员前期生活用水取自周边村庄水井，后期取自矿井建成投运后的水井。站内新建1座5m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的化粪池，定期由环卫部门掏清，后期生活污水依托矿井建成后的污水处理站进行处理。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在变电站设置1座容积30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m³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故油池，按照《危险废物贮存污染控制标准》（GB18597-2023）进行建设，基础防渗至少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1 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厚黏土层（渗透系数≤10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 w:bidi="ar-SA"/>
        </w:rPr>
        <w:t>-7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cm/s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），或采用至少2mm厚高密度聚乙烯膜等人工防渗材料（渗透系数≤10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cm/s）</w:t>
      </w:r>
      <w:bookmarkStart w:id="4" w:name="_GoBack"/>
      <w:bookmarkEnd w:id="4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。项目产生的废旧铅蓄电池、废油定期由有资质的部门回收处置，生活垃圾集中收集后交由环卫部门统一清运处理。</w:t>
      </w:r>
    </w:p>
    <w:bookmarkEnd w:id="2"/>
    <w:p w14:paraId="57CC883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二、总体意见</w:t>
      </w:r>
    </w:p>
    <w:p w14:paraId="28A3C40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本项目在严格落实《报告表》提出的各项环境保护措</w:t>
      </w:r>
      <w:r>
        <w:rPr>
          <w:rFonts w:hint="eastAsia" w:ascii="仿宋_GB2312" w:hAnsi="仿宋" w:eastAsia="仿宋_GB2312"/>
          <w:sz w:val="32"/>
          <w:szCs w:val="32"/>
        </w:rPr>
        <w:t>施后，对</w:t>
      </w:r>
      <w:r>
        <w:rPr>
          <w:rFonts w:hint="eastAsia" w:ascii="仿宋_GB2312" w:hAnsi="仿宋_GB2312" w:eastAsia="仿宋_GB2312"/>
          <w:bCs/>
          <w:sz w:val="32"/>
          <w:szCs w:val="32"/>
        </w:rPr>
        <w:t>环境的不利影响和可能存在的环境风险在可控范围内。从环境保护角度分析，我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/>
          <w:bCs/>
          <w:sz w:val="32"/>
          <w:szCs w:val="32"/>
        </w:rPr>
        <w:t>原则同意本项目按照《报告表》中所列的性质、规模、地点和拟采取的环保措施进行</w:t>
      </w:r>
      <w:r>
        <w:rPr>
          <w:rFonts w:hint="eastAsia" w:ascii="仿宋_GB2312" w:hAnsi="仿宋" w:eastAsia="仿宋_GB2312"/>
          <w:sz w:val="32"/>
          <w:szCs w:val="32"/>
        </w:rPr>
        <w:t>建设。</w:t>
      </w:r>
    </w:p>
    <w:p w14:paraId="597B23C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三、项目建设及运行期间应做好的工作</w:t>
      </w:r>
    </w:p>
    <w:p w14:paraId="29877B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（一）严格落实项目施工期、运营期生态环境保护措施，做好生态保护与恢复工作。施工期严格控制施工活动范围，合理布局，尽量减少土地占用和植被破坏。</w:t>
      </w:r>
    </w:p>
    <w:p w14:paraId="32E6748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（二）认真落实《报告表》中提出的控制和改善工频电场、工频磁场对周边环境影响的措施和方法，监测值应符合《电磁环境控制限值》（GB8702-2014）要求。</w:t>
      </w:r>
    </w:p>
    <w:p w14:paraId="5E2CB2C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（三）项目施工期及运行期的噪声值及防噪措施应满足《报告表》中提出的要求，监测值应符合国家评价标准限值要求。</w:t>
      </w:r>
    </w:p>
    <w:p w14:paraId="1EED98B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在工程建设过程中临时发现地下文物遗存的，建设单位应当立即暂停该区域的施工活动，采取必要的保护措施，并在第一时间报告文物行政主管部门。</w:t>
      </w:r>
    </w:p>
    <w:p w14:paraId="6731BD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）环境影响报告表经批准后，项目的性质、规模、地点或生态保护、污染防治措施发生重大变动的，应当按要求重新报批。</w:t>
      </w:r>
    </w:p>
    <w:p w14:paraId="62008F3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" w:eastAsia="仿宋_GB2312"/>
          <w:sz w:val="32"/>
          <w:szCs w:val="32"/>
        </w:rPr>
        <w:t>建设单位按规定程序完成竣工环境保护验收后，项目方可投入正式运行。</w:t>
      </w:r>
    </w:p>
    <w:p w14:paraId="0FE8DB9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（七）由鄂尔多斯市生态环境局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伊金霍洛旗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分局负责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该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项目建设期间的日常监督管理工作。</w:t>
      </w:r>
    </w:p>
    <w:p w14:paraId="6252290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 w14:paraId="6C72C4D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 w14:paraId="7E54387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 w14:paraId="5420663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 w14:paraId="77F8684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 w14:paraId="7929065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 w14:paraId="6DC0464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mc:AlternateContent>
      <mc:Choice Requires="wpsCustomData">
        <wpsCustomData:docfieldEnd id="2"/>
      </mc:Choice>
    </mc:AlternateContent>
    <w:p w14:paraId="22A124A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 w14:paraId="02AC9F1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鄂尔多斯市生态环境局</w:t>
      </w: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 w14:paraId="059A0CE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55" w:rightChars="26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</w:t>
      </w:r>
      <mc:AlternateContent>
        <mc:Choice Requires="wpsCustomData">
          <wpsCustomData:docfieldStart id="3" docfieldname="签发日期" hidden="0" print="1" readonly="0" index="5"/>
        </mc:Choice>
      </mc:AlternateContent>
      <w:bookmarkStart w:id="3" w:name="签发日期"/>
      <w:bookmarkEnd w:id="3"/>
      <w:r>
        <w:rPr>
          <w:rFonts w:hint="eastAsia" w:ascii="仿宋_GB2312" w:hAnsi="仿宋" w:eastAsia="仿宋_GB2312"/>
          <w:sz w:val="32"/>
          <w:szCs w:val="32"/>
          <w:lang w:eastAsia="zh-CN"/>
        </w:rPr>
        <w:t>2025年</w:t>
      </w:r>
      <w:r>
        <w:rPr>
          <w:rFonts w:hint="default" w:ascii="仿宋_GB2312" w:hAnsi="仿宋" w:eastAsia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mc:AlternateContent>
        <mc:Choice Requires="wpsCustomData">
          <wpsCustomData:docfieldEnd id="3"/>
        </mc:Choice>
      </mc:AlternateContent>
    </w:p>
    <w:p w14:paraId="2E8EBD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p w14:paraId="57B612B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p w14:paraId="35968CA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p w14:paraId="4D3E23F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p w14:paraId="4A852C2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p w14:paraId="62A9ED0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p w14:paraId="5680CC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p w14:paraId="1A7BB20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p w14:paraId="460F4A9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default" w:ascii="仿宋_GB2312" w:hAnsi="仿宋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抄送：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鄂尔多斯市生态环境局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伊金霍洛旗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分局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2041" w:right="1531" w:bottom="2041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3B2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810CE67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GRw2zRAAAA&#10;BQEAAA8AAAAAAAAAAQAgAAAAIgAAAGRycy9kb3ducmV2LnhtbFBLAQIUABQAAAAIAIdO4kAAiYqd&#10;6wEAANIDAAAOAAAAAAAAAAEAIAAAACA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7810CE67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BD6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2F61C64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kcNs0QAA&#10;AAUBAAAPAAAAAAAAAAEAIAAAACIAAABkcnMvZG93bnJldi54bWxQSwECFAAUAAAACACHTuJAQRB3&#10;6ewBAADSAwAADgAAAAAAAAABACAAAAAg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62F61C64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CD08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C517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57F6A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9873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01"/>
    <w:rsid w:val="000502D9"/>
    <w:rsid w:val="00053C74"/>
    <w:rsid w:val="00081DD9"/>
    <w:rsid w:val="000A43C9"/>
    <w:rsid w:val="000F448F"/>
    <w:rsid w:val="00104AD5"/>
    <w:rsid w:val="00107F1D"/>
    <w:rsid w:val="00112653"/>
    <w:rsid w:val="00161599"/>
    <w:rsid w:val="0019160D"/>
    <w:rsid w:val="00212159"/>
    <w:rsid w:val="002203D3"/>
    <w:rsid w:val="002432A7"/>
    <w:rsid w:val="002778D8"/>
    <w:rsid w:val="00290DA8"/>
    <w:rsid w:val="002B7D95"/>
    <w:rsid w:val="002D6AFC"/>
    <w:rsid w:val="002F0DE2"/>
    <w:rsid w:val="0030486D"/>
    <w:rsid w:val="00323B61"/>
    <w:rsid w:val="003619FA"/>
    <w:rsid w:val="00393E71"/>
    <w:rsid w:val="003B1A02"/>
    <w:rsid w:val="003C6CE9"/>
    <w:rsid w:val="00424C6E"/>
    <w:rsid w:val="00452E4A"/>
    <w:rsid w:val="004B7461"/>
    <w:rsid w:val="004C640A"/>
    <w:rsid w:val="004D3FC2"/>
    <w:rsid w:val="004F50C6"/>
    <w:rsid w:val="00505381"/>
    <w:rsid w:val="00544386"/>
    <w:rsid w:val="0056424C"/>
    <w:rsid w:val="0057112D"/>
    <w:rsid w:val="00571F6F"/>
    <w:rsid w:val="00577293"/>
    <w:rsid w:val="0058220B"/>
    <w:rsid w:val="00585C83"/>
    <w:rsid w:val="00590474"/>
    <w:rsid w:val="00592CC9"/>
    <w:rsid w:val="005A5BF2"/>
    <w:rsid w:val="006132A1"/>
    <w:rsid w:val="00624B4A"/>
    <w:rsid w:val="006661A4"/>
    <w:rsid w:val="006A7884"/>
    <w:rsid w:val="006B38F9"/>
    <w:rsid w:val="006E1CA5"/>
    <w:rsid w:val="006E2329"/>
    <w:rsid w:val="006F6255"/>
    <w:rsid w:val="00701535"/>
    <w:rsid w:val="0070579B"/>
    <w:rsid w:val="00715743"/>
    <w:rsid w:val="007173A8"/>
    <w:rsid w:val="00761FB3"/>
    <w:rsid w:val="0076589A"/>
    <w:rsid w:val="00786B2F"/>
    <w:rsid w:val="007925F1"/>
    <w:rsid w:val="0079344F"/>
    <w:rsid w:val="007A1610"/>
    <w:rsid w:val="007C0101"/>
    <w:rsid w:val="007D373D"/>
    <w:rsid w:val="00835942"/>
    <w:rsid w:val="00847C4B"/>
    <w:rsid w:val="00861920"/>
    <w:rsid w:val="008643C3"/>
    <w:rsid w:val="00873CD5"/>
    <w:rsid w:val="008804D9"/>
    <w:rsid w:val="008838C5"/>
    <w:rsid w:val="00883BA1"/>
    <w:rsid w:val="0089055A"/>
    <w:rsid w:val="00896DE4"/>
    <w:rsid w:val="008A4595"/>
    <w:rsid w:val="008B77EC"/>
    <w:rsid w:val="008C34AF"/>
    <w:rsid w:val="008D27CA"/>
    <w:rsid w:val="00907606"/>
    <w:rsid w:val="00922F9C"/>
    <w:rsid w:val="0095741D"/>
    <w:rsid w:val="00964200"/>
    <w:rsid w:val="0096751F"/>
    <w:rsid w:val="00967FB8"/>
    <w:rsid w:val="00971513"/>
    <w:rsid w:val="0099392B"/>
    <w:rsid w:val="009950F5"/>
    <w:rsid w:val="00996316"/>
    <w:rsid w:val="009F0D7E"/>
    <w:rsid w:val="009F4F97"/>
    <w:rsid w:val="00A03E70"/>
    <w:rsid w:val="00A14283"/>
    <w:rsid w:val="00A16266"/>
    <w:rsid w:val="00A32DBE"/>
    <w:rsid w:val="00A3438E"/>
    <w:rsid w:val="00A36EAB"/>
    <w:rsid w:val="00A42722"/>
    <w:rsid w:val="00A43C93"/>
    <w:rsid w:val="00AA5ECB"/>
    <w:rsid w:val="00AF257E"/>
    <w:rsid w:val="00B057C0"/>
    <w:rsid w:val="00B16355"/>
    <w:rsid w:val="00B22816"/>
    <w:rsid w:val="00B2798A"/>
    <w:rsid w:val="00B4476C"/>
    <w:rsid w:val="00B46191"/>
    <w:rsid w:val="00B61218"/>
    <w:rsid w:val="00B86149"/>
    <w:rsid w:val="00B91AFD"/>
    <w:rsid w:val="00BA1A77"/>
    <w:rsid w:val="00BA3600"/>
    <w:rsid w:val="00BD25C9"/>
    <w:rsid w:val="00BD4473"/>
    <w:rsid w:val="00BE3516"/>
    <w:rsid w:val="00BE5282"/>
    <w:rsid w:val="00BF428E"/>
    <w:rsid w:val="00BF6CDF"/>
    <w:rsid w:val="00C113FC"/>
    <w:rsid w:val="00C26472"/>
    <w:rsid w:val="00C51E40"/>
    <w:rsid w:val="00C56BFB"/>
    <w:rsid w:val="00C577B3"/>
    <w:rsid w:val="00C621D4"/>
    <w:rsid w:val="00C746BE"/>
    <w:rsid w:val="00C85C1B"/>
    <w:rsid w:val="00C93108"/>
    <w:rsid w:val="00CA6FED"/>
    <w:rsid w:val="00CD05D4"/>
    <w:rsid w:val="00CE37E8"/>
    <w:rsid w:val="00CE5F3B"/>
    <w:rsid w:val="00CE6186"/>
    <w:rsid w:val="00CF1A19"/>
    <w:rsid w:val="00CF24AC"/>
    <w:rsid w:val="00D01418"/>
    <w:rsid w:val="00D04066"/>
    <w:rsid w:val="00D32923"/>
    <w:rsid w:val="00D50FC8"/>
    <w:rsid w:val="00D80399"/>
    <w:rsid w:val="00D809A3"/>
    <w:rsid w:val="00D902CF"/>
    <w:rsid w:val="00D94E37"/>
    <w:rsid w:val="00DC1210"/>
    <w:rsid w:val="00DC440E"/>
    <w:rsid w:val="00DD67D3"/>
    <w:rsid w:val="00E012C8"/>
    <w:rsid w:val="00E157E5"/>
    <w:rsid w:val="00E50C21"/>
    <w:rsid w:val="00E62075"/>
    <w:rsid w:val="00E7161E"/>
    <w:rsid w:val="00E7452B"/>
    <w:rsid w:val="00E90476"/>
    <w:rsid w:val="00EB0809"/>
    <w:rsid w:val="00EE242A"/>
    <w:rsid w:val="00F06195"/>
    <w:rsid w:val="00F2401B"/>
    <w:rsid w:val="00F373F3"/>
    <w:rsid w:val="00F556D9"/>
    <w:rsid w:val="00FC281C"/>
    <w:rsid w:val="00FF0974"/>
    <w:rsid w:val="01067184"/>
    <w:rsid w:val="01283F97"/>
    <w:rsid w:val="02034156"/>
    <w:rsid w:val="035D2B78"/>
    <w:rsid w:val="03696E5B"/>
    <w:rsid w:val="03EA6B8D"/>
    <w:rsid w:val="04AF3D28"/>
    <w:rsid w:val="06414C48"/>
    <w:rsid w:val="066F5090"/>
    <w:rsid w:val="06FD2E81"/>
    <w:rsid w:val="078C4B32"/>
    <w:rsid w:val="0C293B57"/>
    <w:rsid w:val="0E4627D6"/>
    <w:rsid w:val="0F414605"/>
    <w:rsid w:val="0FF01CE2"/>
    <w:rsid w:val="11DB31C3"/>
    <w:rsid w:val="125A4F9B"/>
    <w:rsid w:val="166710AD"/>
    <w:rsid w:val="171D0934"/>
    <w:rsid w:val="1750305B"/>
    <w:rsid w:val="17BE3596"/>
    <w:rsid w:val="17CC3694"/>
    <w:rsid w:val="18BF59B2"/>
    <w:rsid w:val="197D6DF6"/>
    <w:rsid w:val="1A3D371A"/>
    <w:rsid w:val="1C3B00DC"/>
    <w:rsid w:val="1EC02023"/>
    <w:rsid w:val="1ED972F6"/>
    <w:rsid w:val="201A69CD"/>
    <w:rsid w:val="20A91A11"/>
    <w:rsid w:val="21761D6B"/>
    <w:rsid w:val="21C84299"/>
    <w:rsid w:val="21FF2380"/>
    <w:rsid w:val="22904BBD"/>
    <w:rsid w:val="22E553D9"/>
    <w:rsid w:val="238A2596"/>
    <w:rsid w:val="24A86E33"/>
    <w:rsid w:val="251E1B7F"/>
    <w:rsid w:val="259B6FBE"/>
    <w:rsid w:val="28044EC3"/>
    <w:rsid w:val="293C7576"/>
    <w:rsid w:val="2A4C74AD"/>
    <w:rsid w:val="2C0E7A95"/>
    <w:rsid w:val="2D3E0262"/>
    <w:rsid w:val="2F273069"/>
    <w:rsid w:val="3078340E"/>
    <w:rsid w:val="309F4C96"/>
    <w:rsid w:val="31302796"/>
    <w:rsid w:val="35496928"/>
    <w:rsid w:val="377E1867"/>
    <w:rsid w:val="3B310F2D"/>
    <w:rsid w:val="3B5419C2"/>
    <w:rsid w:val="3C032EFE"/>
    <w:rsid w:val="3C431296"/>
    <w:rsid w:val="3D997D89"/>
    <w:rsid w:val="3DD60F75"/>
    <w:rsid w:val="40754A75"/>
    <w:rsid w:val="40812DCC"/>
    <w:rsid w:val="40DE7A76"/>
    <w:rsid w:val="41E57898"/>
    <w:rsid w:val="427F102D"/>
    <w:rsid w:val="43BE5DA5"/>
    <w:rsid w:val="45091187"/>
    <w:rsid w:val="48D80B0B"/>
    <w:rsid w:val="4955784C"/>
    <w:rsid w:val="49EA2030"/>
    <w:rsid w:val="4E08718E"/>
    <w:rsid w:val="4E573A0C"/>
    <w:rsid w:val="500F600B"/>
    <w:rsid w:val="52D72F1B"/>
    <w:rsid w:val="55BA08E6"/>
    <w:rsid w:val="56354618"/>
    <w:rsid w:val="56770825"/>
    <w:rsid w:val="56CC16FF"/>
    <w:rsid w:val="58CA2C35"/>
    <w:rsid w:val="5A0A5B88"/>
    <w:rsid w:val="5A2A1A16"/>
    <w:rsid w:val="5D9131BE"/>
    <w:rsid w:val="5F001B36"/>
    <w:rsid w:val="5F0D4001"/>
    <w:rsid w:val="610B5ACF"/>
    <w:rsid w:val="615D0E52"/>
    <w:rsid w:val="622C3B53"/>
    <w:rsid w:val="625C4B72"/>
    <w:rsid w:val="63C92D65"/>
    <w:rsid w:val="647C4CF5"/>
    <w:rsid w:val="64B557C6"/>
    <w:rsid w:val="653806B8"/>
    <w:rsid w:val="67C12074"/>
    <w:rsid w:val="67CD23C4"/>
    <w:rsid w:val="68AC3246"/>
    <w:rsid w:val="69EE13C7"/>
    <w:rsid w:val="6A9579E6"/>
    <w:rsid w:val="6BFF1513"/>
    <w:rsid w:val="6C5D38C7"/>
    <w:rsid w:val="6E083062"/>
    <w:rsid w:val="6E0A6B18"/>
    <w:rsid w:val="6E401570"/>
    <w:rsid w:val="70FA112C"/>
    <w:rsid w:val="71D96AFD"/>
    <w:rsid w:val="72536B1A"/>
    <w:rsid w:val="73942F17"/>
    <w:rsid w:val="73945316"/>
    <w:rsid w:val="73ED7448"/>
    <w:rsid w:val="73FF04CC"/>
    <w:rsid w:val="77E77440"/>
    <w:rsid w:val="7883A86C"/>
    <w:rsid w:val="7BE16A25"/>
    <w:rsid w:val="7BFF4D51"/>
    <w:rsid w:val="7D3E6257"/>
    <w:rsid w:val="7D6F7921"/>
    <w:rsid w:val="7D754DCD"/>
    <w:rsid w:val="7E705781"/>
    <w:rsid w:val="B3BE18E7"/>
    <w:rsid w:val="BFBF9460"/>
    <w:rsid w:val="DDDD7497"/>
    <w:rsid w:val="DF4FEC23"/>
    <w:rsid w:val="F7FFB738"/>
    <w:rsid w:val="FED44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line="312" w:lineRule="auto"/>
      <w:ind w:firstLine="0" w:firstLineChars="0"/>
      <w:jc w:val="left"/>
      <w:outlineLvl w:val="1"/>
    </w:pPr>
    <w:rPr>
      <w:rFonts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4"/>
    <w:semiHidden/>
    <w:qFormat/>
    <w:uiPriority w:val="99"/>
    <w:rPr>
      <w:sz w:val="18"/>
      <w:szCs w:val="18"/>
    </w:rPr>
  </w:style>
  <w:style w:type="paragraph" w:customStyle="1" w:styleId="13">
    <w:name w:val="zw"/>
    <w:basedOn w:val="1"/>
    <w:semiHidden/>
    <w:qFormat/>
    <w:uiPriority w:val="0"/>
    <w:pPr>
      <w:shd w:val="clear" w:color="auto" w:fill="FFFFFF"/>
      <w:adjustRightInd w:val="0"/>
      <w:snapToGrid w:val="0"/>
      <w:ind w:firstLine="480" w:firstLineChars="0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4</Pages>
  <Words>1158</Words>
  <Characters>1275</Characters>
  <Lines>1</Lines>
  <Paragraphs>1</Paragraphs>
  <TotalTime>0</TotalTime>
  <ScaleCrop>false</ScaleCrop>
  <LinksUpToDate>false</LinksUpToDate>
  <CharactersWithSpaces>1338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2021-10-26T05:08:00Z</dcterms:created>
  <dc:creator>袁迎辉</dc:creator>
  <cp:lastModifiedBy>陈健</cp:lastModifiedBy>
  <cp:lastPrinted>2018-11-15T01:34:00Z</cp:lastPrinted>
  <dcterms:modified xsi:type="dcterms:W3CDTF">2025-04-26T06:13:53Z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eyJoZGlkIjoiZGZlNTNiMzBhMjE0MTczNTg4YmJkMjAwZGVkNWMyNzEiLCJ1c2VySWQiOiI0OTI0MDQzNzMifQ==</vt:lpwstr>
  </property>
  <property fmtid="{D5CDD505-2E9C-101B-9397-08002B2CF9AE}" pid="4" name="ICV">
    <vt:lpwstr>22157A55384C41119CCD21FD868A3638_13</vt:lpwstr>
  </property>
</Properties>
</file>