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false" print="true" readonly="false" index="2"/>
        </mc:Choice>
      </mc:AlternateContent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widowControl/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鄂环（辐）表〔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内蒙古汇能硅铝新材料科技有限公司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20万吨/年煤矸石粉煤灰固废资源化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综合利用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示范项目110kV总降变电站新建工程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环境影响报告表的批复</w:t>
      </w:r>
    </w:p>
    <mc:AlternateContent>
      <mc:Choice Requires="wpsCustomData">
        <wpsCustomData:docfieldEnd id="0"/>
      </mc:Choice>
    </mc:AlternateContent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mc:AlternateContent>
        <mc:Choice Requires="wpsCustomData">
          <wpsCustomData:docfieldStart id="1" docfieldname="主送单位" hidden="false" print="true" readonly="false" index="3"/>
        </mc:Choice>
      </mc:AlternateContent>
      <w:bookmarkStart w:id="0" w:name="主送单位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内蒙古汇能硅铝新材料科技有限公司：</w:t>
      </w:r>
    </w:p>
    <mc:AlternateContent>
      <mc:Choice Requires="wpsCustomData">
        <wpsCustomData:docfieldEnd id="1"/>
      </mc:Choice>
    </mc:AlternateContent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  <mc:AlternateContent>
        <mc:Choice Requires="wpsCustomData">
          <wpsCustomData:docfieldStart id="2" docfieldname="正文文件" hidden="false" print="true" readonly="false" index="4"/>
        </mc:Choice>
      </mc:AlternateContent>
      <w:bookmarkStart w:id="1" w:name="正文文件"/>
      <w:bookmarkEnd w:id="1"/>
      <w:r>
        <w:rPr>
          <w:rFonts w:hint="eastAsia" w:ascii="仿宋_GB2312" w:hAnsi="仿宋_GB2312" w:eastAsia="仿宋_GB2312"/>
          <w:bCs/>
          <w:sz w:val="32"/>
          <w:szCs w:val="32"/>
        </w:rPr>
        <w:t>你公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司报送的《内蒙古汇能硅铝新材料科技有限公司20万吨/年煤矸石粉煤灰固废资源化综合利用示范项目110kV总降变电站新建工程环境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影响报告表</w:t>
      </w:r>
      <w:r>
        <w:rPr>
          <w:rFonts w:hint="eastAsia" w:ascii="仿宋_GB2312" w:hAnsi="仿宋_GB2312" w:eastAsia="仿宋_GB2312"/>
          <w:bCs/>
          <w:sz w:val="32"/>
          <w:szCs w:val="32"/>
        </w:rPr>
        <w:t>》（以下简称《报告表》）收悉。经研究，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/>
          <w:bCs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bookmarkStart w:id="2" w:name="OLE_LINK37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本项目位于内蒙古自治区鄂尔多斯市准格尔经济开发区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项目建设内容主要为：在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内蒙古汇能硅铝新材料科技有限公司20万吨/年煤矸石粉煤灰固废资源化综合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利用示范项目厂区内北侧新建1座110kV总降变电站，新建2×25MVA主变，110kV侧规划出线6回，本期建设4回（线路不在本次评价范围之内）。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110kV总降变电站为无人值守，不涉及生活污水和生活垃圾，废旧蓄电池依托厂区现有的危废暂存间进行暂存。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在变电站设置1座容积52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m³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故油池，按照《危险废物贮存污染控制标准》（GB18597-2023）进行建设，基础防渗采用2mm厚高密度聚乙烯膜或人工防渗材料，渗透系数≤10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cm/s。项目产生的废旧蓄电池、废油定期由有资质的部门回收处置。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在工程建设过程中临时发现地下文物遗存的，建设单位应当立即暂停该区域的施工活动，采取必要的保护措施，并在第一时间报告文物行政主管部门。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准格尔旗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分局负责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该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项目建设期间的日常监督管理工作。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bookmarkStart w:id="3" w:name="签发日期"/>
      <w:bookmarkEnd w:id="3"/>
      <mc:AlternateContent>
        <mc:Choice Requires="wpsCustomData">
          <wpsCustomData:docfieldStart id="3" docfieldname="签发日期" hidden="false" print="true" readonly="false" index="5"/>
        </mc:Choice>
      </mc:AlternateContent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bookmarkStart w:id="4" w:name="_GoBack"/>
      <w:bookmarkEnd w:id="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GRw2zRAAAABQEAAA8AAABkcnMvZG93bnJldi54bWxNj0FPwzAMhe9I/IfI&#10;k7ixZJNAVWm6wwpHDrQIwS1LTFutcUqTbuXfYxASXCw/Pev5e8Vu8YM44RT7QBo2awUCyQbXU6vh&#10;uXm4zkDEZMiZIRBq+MQIu/LyojC5C2d6wlOdWsEhFHOjoUtpzKWMtkNv4jqMSOy9h8mbxHJqpZvM&#10;mcP9ILdK3UpveuIPnRlx36E91rPXcGxeXm8e59p8LG+Uqua+UtZWWl+tNuoORMIl/R3DNz6jQ8lM&#10;hzCTi2LQwEXSz2Rvm2UsD7+LLAv5n778AlBLAwQUAAAACACHTuJAnWTAhtcBAACOAwAADgAAAGRy&#10;cy9lMm9Eb2MueG1srVNLjhMxEN0jcQfLe9KdjAaiVjojYDQICQHSwAEct5225J9sJ93hAHADVmzY&#10;c66cg2d3kuGzQ2zcro9f1XtVvboZjSZ7EaJytqXzWU2JsNx1ym5b+vHD3ZMlJTEx2zHtrGjpQUR6&#10;s378aDX4Rixc73QnAgGIjc3gW9qn5JuqirwXhsWZ88IiKF0wLMEM26oLbAC60dWirp9WgwudD46L&#10;GOG9nYJ0XfClFDy9kzKKRHRL0VsqZyjnJp/VesWabWC+V/zUBvuHLgxTFkUvULcsMbIL6i8oo3hw&#10;0ck0485UTkrFReEANvP6Dzb3PfOicIE40V9kiv8Plr/dvw9EdZgdJZYZjOj49cvx24/j98/kKssz&#10;+Ngg694jL40v3NjSFHbiHIrwZ+KjDCZ/QYkgBVofLvqKMREO53y5WC5rhDhiZwMlqofnPsT0SjhD&#10;8qWlAQMsurL9m5im1HNKrmbdndK6DFFbMgD1evnsury4hICuLYpkIlO3+ZbGzXhit3HdAeSwxajY&#10;u/CJkgEb0VKLlaVEv7YQfFFfYd+wQcXCJfzm3pzdzHJAQCNKpuvLBEsyHQG180Fte1QpCmYC0T/f&#10;JZAo3HJfUzOndjH0os5pQfNW/WqXrIffa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ZHDbNEA&#10;AAAFAQAADwAAAAAAAAABACAAAAA4AAAAZHJzL2Rvd25yZXYueG1sUEsBAhQAFAAAAAgAh07iQJ1k&#10;wIbXAQAAjgMAAA4AAAAAAAAAAQAgAAAANg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GRw2zRAAAABQEAAA8AAABkcnMvZG93bnJldi54bWxNj0FPwzAMhe9I/IfI&#10;k7ixZJNAVWm6wwpHDrQIwS1LTFutcUqTbuXfYxASXCw/Pev5e8Vu8YM44RT7QBo2awUCyQbXU6vh&#10;uXm4zkDEZMiZIRBq+MQIu/LyojC5C2d6wlOdWsEhFHOjoUtpzKWMtkNv4jqMSOy9h8mbxHJqpZvM&#10;mcP9ILdK3UpveuIPnRlx36E91rPXcGxeXm8e59p8LG+Uqua+UtZWWl+tNuoORMIl/R3DNz6jQ8lM&#10;hzCTi2LQwEXSz2Rvm2UsD7+LLAv5n778AlBLAwQUAAAACACHTuJAxQnH7dgBAACOAwAADgAAAGRy&#10;cy9lMm9Eb2MueG1srVNLrtMwFJ0jsQfLc5o08CCKmj4BTw8hIUB6sADXsRtLjm3ZbpOyANgBIybM&#10;WVfXwbHT9vGZISaO78fn3nPuzep6GjTZCx+UNS1dLkpKhOG2U2bb0o8fbh/VlITITMe0NaKlBxHo&#10;9frhg9XoGlHZ3upOeAIQE5rRtbSP0TVFEXgvBhYW1gmDoLR+YBGm3xadZyPQB11UZfm0GK3vnLdc&#10;hADvzRyk64wvpeDxnZRBRKJbit5iPn0+N+ks1ivWbD1zveKnNtg/dDEwZVD0AnXDIiM7r/6CGhT3&#10;NlgZF9wOhZVScZE5gM2y/IPNXc+cyFwgTnAXmcL/g+Vv9+89UV1LK0oMGzCi49cvx28/jt8/kydJ&#10;ntGFBll3DnlxemGnlka/E+dQgD8Rn6Qf0heUCFKg9eGir5gi4XAu66quS4Q4YmcDJYr7586H+ErY&#10;gaRLSz0GmHVl+zchzqnnlFTN2FuldR6iNmQE6lX97Cq/uISArg2KJCJzt+kWp810Yrex3QHksMWo&#10;2Fv/iZIRG9FSg5WlRL82ELwqH2PfsEHZwsX/5t6c3cxwQEAjSubrywhLMh0AtXNebXtUyQomAsE9&#10;30WQyNxSX3Mzp3Yx9KzOaUHTVv1q56z732j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GRw2zR&#10;AAAABQEAAA8AAAAAAAAAAQAgAAAAOAAAAGRycy9kb3ducmV2LnhtbFBLAQIUABQAAAAIAIdO4kDF&#10;Ccft2AEAAI4DAAAOAAAAAAAAAAEAIAAAADY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8C4B32"/>
    <w:rsid w:val="0C293B57"/>
    <w:rsid w:val="0E4627D6"/>
    <w:rsid w:val="0F414605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A3D371A"/>
    <w:rsid w:val="1C3B00DC"/>
    <w:rsid w:val="1EC02023"/>
    <w:rsid w:val="1ED972F6"/>
    <w:rsid w:val="201A69CD"/>
    <w:rsid w:val="20A91A11"/>
    <w:rsid w:val="21C84299"/>
    <w:rsid w:val="22904BBD"/>
    <w:rsid w:val="22E553D9"/>
    <w:rsid w:val="238A2596"/>
    <w:rsid w:val="24A86E33"/>
    <w:rsid w:val="251E1B7F"/>
    <w:rsid w:val="259B6FBE"/>
    <w:rsid w:val="28044EC3"/>
    <w:rsid w:val="293C7576"/>
    <w:rsid w:val="2A4C74AD"/>
    <w:rsid w:val="2C0E7A95"/>
    <w:rsid w:val="2D3E0262"/>
    <w:rsid w:val="2F273069"/>
    <w:rsid w:val="3078340E"/>
    <w:rsid w:val="31302796"/>
    <w:rsid w:val="377E1867"/>
    <w:rsid w:val="3B310F2D"/>
    <w:rsid w:val="3B5419C2"/>
    <w:rsid w:val="3C032EFE"/>
    <w:rsid w:val="3C431296"/>
    <w:rsid w:val="3D997D89"/>
    <w:rsid w:val="3DD60F75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883A86C"/>
    <w:rsid w:val="7BE16A25"/>
    <w:rsid w:val="7BFF4D51"/>
    <w:rsid w:val="7D3E6257"/>
    <w:rsid w:val="7D6F7921"/>
    <w:rsid w:val="7D754DCD"/>
    <w:rsid w:val="7E705781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  <w:style w:type="paragraph" w:customStyle="1" w:styleId="13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985</Words>
  <Characters>1053</Characters>
  <Lines>1</Lines>
  <Paragraphs>1</Paragraphs>
  <TotalTime>0</TotalTime>
  <ScaleCrop>false</ScaleCrop>
  <LinksUpToDate>false</LinksUpToDate>
  <CharactersWithSpaces>1112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2021-10-26T05:08:00Z</dcterms:created>
  <dc:creator>袁迎辉</dc:creator>
  <cp:lastModifiedBy>thtf</cp:lastModifiedBy>
  <cp:lastPrinted>2018-11-15T01:34:00Z</cp:lastPrinted>
  <dcterms:modified xsi:type="dcterms:W3CDTF">2025-04-03T08:19:36Z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eyJoZGlkIjoiZGZlNTNiMzBhMjE0MTczNTg4YmJkMjAwZGVkNWMyNzEiLCJ1c2VySWQiOiI0OTI0MDQzNzMifQ==</vt:lpwstr>
  </property>
  <property fmtid="{D5CDD505-2E9C-101B-9397-08002B2CF9AE}" pid="4" name="ICV">
    <vt:lpwstr>22157A55384C41119CCD21FD868A3638_13</vt:lpwstr>
  </property>
</Properties>
</file>