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D60B">
      <w:pPr>
        <w:tabs>
          <w:tab w:val="left" w:pos="8280"/>
        </w:tabs>
        <w:spacing w:line="540" w:lineRule="exact"/>
        <w:ind w:right="26" w:firstLine="0" w:firstLineChars="0"/>
        <w:jc w:val="right"/>
        <w:rPr>
          <w:rFonts w:eastAsia="仿宋"/>
          <w:sz w:val="15"/>
          <w:szCs w:val="15"/>
        </w:rPr>
      </w:pPr>
    </w:p>
    <w:p w14:paraId="3C0588A4">
      <w:pPr>
        <w:tabs>
          <w:tab w:val="left" w:pos="8280"/>
        </w:tabs>
        <w:spacing w:line="540" w:lineRule="exact"/>
        <w:ind w:right="26" w:firstLine="0" w:firstLineChars="0"/>
        <w:jc w:val="right"/>
        <w:rPr>
          <w:rFonts w:eastAsia="仿宋"/>
        </w:rPr>
      </w:pPr>
    </w:p>
    <w:p w14:paraId="31A401AD">
      <w:pPr>
        <w:pStyle w:val="4"/>
        <w:ind w:firstLine="640"/>
        <w:rPr>
          <w:rFonts w:eastAsia="仿宋"/>
        </w:rPr>
      </w:pPr>
    </w:p>
    <w:p w14:paraId="0D7F2892">
      <w:pPr>
        <w:pStyle w:val="4"/>
        <w:ind w:firstLine="640"/>
        <w:rPr>
          <w:rFonts w:eastAsia="仿宋"/>
        </w:rPr>
      </w:pPr>
    </w:p>
    <w:p w14:paraId="217BB9B9">
      <w:pPr>
        <w:pStyle w:val="4"/>
        <w:ind w:firstLine="640"/>
        <w:rPr>
          <w:rFonts w:eastAsia="仿宋"/>
        </w:rPr>
      </w:pPr>
    </w:p>
    <w:p w14:paraId="3B97D544">
      <w:pPr>
        <w:pStyle w:val="4"/>
        <w:ind w:firstLine="640"/>
        <w:rPr>
          <w:rFonts w:hint="eastAsia" w:eastAsia="仿宋"/>
        </w:rPr>
      </w:pPr>
    </w:p>
    <w:p w14:paraId="2B13DB93">
      <w:pPr>
        <w:pStyle w:val="4"/>
        <w:ind w:firstLine="640"/>
        <w:rPr>
          <w:rFonts w:hint="eastAsia" w:eastAsia="仿宋"/>
        </w:rPr>
      </w:pPr>
    </w:p>
    <w:p w14:paraId="14495427">
      <w:pPr>
        <w:pStyle w:val="4"/>
        <w:ind w:firstLine="640"/>
        <w:rPr>
          <w:rFonts w:hint="eastAsia" w:eastAsia="仿宋"/>
        </w:rPr>
      </w:pPr>
    </w:p>
    <w:p w14:paraId="11220765">
      <w:pPr>
        <w:pStyle w:val="4"/>
        <w:ind w:firstLine="0" w:firstLineChars="0"/>
        <w:rPr>
          <w:rFonts w:eastAsia="仿宋"/>
        </w:rPr>
      </w:pPr>
      <w:bookmarkStart w:id="3" w:name="_GoBack"/>
    </w:p>
    <w:bookmarkEnd w:id="3"/>
    <w:p w14:paraId="17DB3351">
      <w:pPr>
        <w:keepNext w:val="0"/>
        <w:keepLines w:val="0"/>
        <w:pageBreakBefore w:val="0"/>
        <w:widowControl w:val="0"/>
        <w:tabs>
          <w:tab w:val="left" w:pos="8280"/>
        </w:tabs>
        <w:kinsoku/>
        <w:wordWrap/>
        <w:overflowPunct/>
        <w:topLinePunct w:val="0"/>
        <w:autoSpaceDE/>
        <w:autoSpaceDN/>
        <w:bidi w:val="0"/>
        <w:adjustRightInd/>
        <w:snapToGrid/>
        <w:spacing w:line="720" w:lineRule="auto"/>
        <w:ind w:right="6"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鄂环审字〔202</w:t>
      </w:r>
      <w:r>
        <w:rPr>
          <w:rFonts w:hint="eastAsia" w:ascii="仿宋_GB2312" w:hAnsi="仿宋_GB2312" w:cs="仿宋_GB2312"/>
          <w:lang w:val="en-US" w:eastAsia="zh-CN"/>
        </w:rPr>
        <w:t>6</w:t>
      </w:r>
      <w:r>
        <w:rPr>
          <w:rFonts w:hint="eastAsia" w:ascii="仿宋_GB2312" w:hAnsi="仿宋_GB2312" w:eastAsia="仿宋_GB2312" w:cs="仿宋_GB2312"/>
        </w:rPr>
        <w:t>〕</w:t>
      </w:r>
      <w:r>
        <w:rPr>
          <w:rFonts w:hint="eastAsia" w:ascii="仿宋_GB2312" w:hAnsi="仿宋_GB2312" w:cs="仿宋_GB2312"/>
          <w:lang w:val="en-US" w:eastAsia="zh-CN"/>
        </w:rPr>
        <w:t>64</w:t>
      </w:r>
      <w:r>
        <w:rPr>
          <w:rFonts w:hint="eastAsia" w:ascii="仿宋_GB2312" w:hAnsi="仿宋_GB2312" w:eastAsia="仿宋_GB2312" w:cs="仿宋_GB2312"/>
        </w:rPr>
        <w:t>号</w:t>
      </w:r>
    </w:p>
    <w:p w14:paraId="5CA58E47">
      <w:pPr>
        <w:keepNext w:val="0"/>
        <w:keepLines w:val="0"/>
        <w:pageBreakBefore w:val="0"/>
        <w:widowControl w:val="0"/>
        <w:tabs>
          <w:tab w:val="left" w:pos="6780"/>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Times New Roman"/>
          <w:b/>
          <w:sz w:val="36"/>
          <w:szCs w:val="36"/>
        </w:rPr>
      </w:pPr>
    </w:p>
    <w:p w14:paraId="5754C9D1">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鄂尔多斯市生态环境局</w:t>
      </w:r>
      <w:bookmarkStart w:id="0" w:name="_Hlk6930745"/>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准格尔召镇供热中心锅炉环保改造项目</w:t>
      </w:r>
      <w:r>
        <w:rPr>
          <w:rFonts w:hint="default" w:ascii="Times New Roman" w:hAnsi="Times New Roman" w:eastAsia="方正小标宋简体" w:cs="Times New Roman"/>
          <w:sz w:val="44"/>
          <w:szCs w:val="44"/>
        </w:rPr>
        <w:t>环境影响报告书</w:t>
      </w:r>
      <w:bookmarkEnd w:id="0"/>
      <w:r>
        <w:rPr>
          <w:rFonts w:hint="default" w:ascii="Times New Roman" w:hAnsi="Times New Roman" w:eastAsia="方正小标宋简体" w:cs="Times New Roman"/>
          <w:sz w:val="44"/>
          <w:szCs w:val="44"/>
        </w:rPr>
        <w:t>的</w:t>
      </w:r>
    </w:p>
    <w:p w14:paraId="2B55E11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批复</w:t>
      </w:r>
    </w:p>
    <w:p w14:paraId="4909825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sz w:val="44"/>
          <w:szCs w:val="44"/>
        </w:rPr>
      </w:pPr>
    </w:p>
    <w:p w14:paraId="08F5D7D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准格尔旗准格尔召镇人民政府:</w:t>
      </w:r>
    </w:p>
    <w:p w14:paraId="639F62CE">
      <w:pPr>
        <w:keepNext w:val="0"/>
        <w:keepLines w:val="0"/>
        <w:pageBreakBefore w:val="0"/>
        <w:widowControl w:val="0"/>
        <w:kinsoku/>
        <w:wordWrap/>
        <w:overflowPunct/>
        <w:topLinePunct w:val="0"/>
        <w:autoSpaceDE/>
        <w:autoSpaceDN/>
        <w:bidi w:val="0"/>
        <w:adjustRightInd w:val="0"/>
        <w:snapToGrid w:val="0"/>
        <w:spacing w:line="460" w:lineRule="exact"/>
        <w:ind w:firstLine="640"/>
        <w:rPr>
          <w:rFonts w:hint="eastAsia" w:ascii="仿宋_GB2312" w:hAnsi="仿宋_GB2312" w:eastAsia="仿宋_GB2312" w:cs="仿宋_GB2312"/>
          <w:sz w:val="32"/>
          <w:szCs w:val="32"/>
          <w:lang w:val="zh-TW" w:eastAsia="zh-TW" w:bidi="zh-TW"/>
        </w:rPr>
      </w:pPr>
      <w:r>
        <w:rPr>
          <w:rFonts w:hint="eastAsia" w:ascii="仿宋_GB2312" w:hAnsi="仿宋_GB2312" w:eastAsia="仿宋_GB2312" w:cs="仿宋_GB2312"/>
          <w:szCs w:val="32"/>
        </w:rPr>
        <w:t>你</w:t>
      </w:r>
      <w:r>
        <w:rPr>
          <w:rFonts w:hint="eastAsia" w:ascii="仿宋_GB2312" w:hAnsi="仿宋_GB2312" w:cs="仿宋_GB2312"/>
          <w:szCs w:val="32"/>
          <w:lang w:eastAsia="zh-CN"/>
        </w:rPr>
        <w:t>单位</w:t>
      </w:r>
      <w:r>
        <w:rPr>
          <w:rFonts w:hint="eastAsia" w:ascii="仿宋_GB2312" w:hAnsi="仿宋_GB2312" w:eastAsia="仿宋_GB2312" w:cs="仿宋_GB2312"/>
          <w:szCs w:val="32"/>
        </w:rPr>
        <w:t>报送的由</w:t>
      </w:r>
      <w:bookmarkStart w:id="1" w:name="OLE_LINK26"/>
      <w:r>
        <w:rPr>
          <w:rFonts w:hint="eastAsia" w:ascii="仿宋_GB2312" w:hAnsi="仿宋_GB2312" w:eastAsia="仿宋_GB2312" w:cs="仿宋_GB2312"/>
          <w:sz w:val="32"/>
          <w:szCs w:val="32"/>
        </w:rPr>
        <w:t>内蒙古</w:t>
      </w:r>
      <w:r>
        <w:rPr>
          <w:rFonts w:hint="eastAsia" w:ascii="仿宋_GB2312" w:hAnsi="仿宋_GB2312" w:eastAsia="仿宋_GB2312" w:cs="仿宋_GB2312"/>
          <w:sz w:val="32"/>
          <w:szCs w:val="32"/>
          <w:lang w:eastAsia="zh-CN"/>
        </w:rPr>
        <w:t>碳资产节能环保科技</w:t>
      </w:r>
      <w:r>
        <w:rPr>
          <w:rFonts w:hint="eastAsia" w:ascii="仿宋_GB2312" w:hAnsi="仿宋_GB2312" w:eastAsia="仿宋_GB2312" w:cs="仿宋_GB2312"/>
          <w:sz w:val="32"/>
          <w:szCs w:val="32"/>
          <w:lang w:val="zh-CN"/>
        </w:rPr>
        <w:t>有限公司</w:t>
      </w:r>
      <w:bookmarkEnd w:id="1"/>
      <w:r>
        <w:rPr>
          <w:rFonts w:hint="eastAsia" w:ascii="仿宋_GB2312" w:hAnsi="仿宋_GB2312" w:eastAsia="仿宋_GB2312" w:cs="仿宋_GB2312"/>
          <w:szCs w:val="32"/>
        </w:rPr>
        <w:t>编制的《</w:t>
      </w:r>
      <w:r>
        <w:rPr>
          <w:rFonts w:hint="eastAsia" w:ascii="仿宋_GB2312" w:hAnsi="仿宋_GB2312" w:eastAsia="仿宋_GB2312" w:cs="仿宋_GB2312"/>
          <w:b w:val="0"/>
          <w:bCs w:val="0"/>
          <w:color w:val="auto"/>
          <w:sz w:val="32"/>
          <w:szCs w:val="32"/>
          <w:highlight w:val="none"/>
          <w:lang w:eastAsia="zh-CN"/>
        </w:rPr>
        <w:t>准格尔召镇供热中心锅炉环保改造项目</w:t>
      </w:r>
      <w:r>
        <w:rPr>
          <w:rFonts w:hint="eastAsia" w:ascii="仿宋_GB2312" w:hAnsi="仿宋_GB2312" w:eastAsia="仿宋_GB2312" w:cs="仿宋_GB2312"/>
          <w:b w:val="0"/>
          <w:bCs w:val="0"/>
          <w:color w:val="auto"/>
          <w:kern w:val="2"/>
          <w:sz w:val="32"/>
          <w:szCs w:val="32"/>
          <w:highlight w:val="none"/>
        </w:rPr>
        <w:t>环境影响报告书</w:t>
      </w:r>
      <w:r>
        <w:rPr>
          <w:rFonts w:hint="eastAsia" w:ascii="仿宋_GB2312" w:hAnsi="仿宋_GB2312" w:eastAsia="仿宋_GB2312" w:cs="仿宋_GB2312"/>
          <w:szCs w:val="32"/>
        </w:rPr>
        <w:t>》（以下简称《报告书》）收悉。</w:t>
      </w:r>
      <w:r>
        <w:rPr>
          <w:rFonts w:hint="eastAsia" w:ascii="仿宋_GB2312" w:hAnsi="仿宋_GB2312" w:eastAsia="仿宋_GB2312" w:cs="仿宋_GB2312"/>
          <w:sz w:val="32"/>
          <w:szCs w:val="32"/>
        </w:rPr>
        <w:t>鄂尔多斯市生态环境局综合保障中心组织专家对该项目进行了技术评估，并形成了该项目的技术评估报告。根据《报告</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》和《技术评估报告》，经研究，现批复如下：</w:t>
      </w:r>
    </w:p>
    <w:p w14:paraId="3FA765F5">
      <w:pPr>
        <w:pStyle w:val="28"/>
        <w:keepNext w:val="0"/>
        <w:keepLines w:val="0"/>
        <w:pageBreakBefore w:val="0"/>
        <w:widowControl w:val="0"/>
        <w:numPr>
          <w:ilvl w:val="0"/>
          <w:numId w:val="1"/>
        </w:numPr>
        <w:kinsoku/>
        <w:wordWrap/>
        <w:overflowPunct/>
        <w:topLinePunct w:val="0"/>
        <w:autoSpaceDE/>
        <w:autoSpaceDN/>
        <w:bidi w:val="0"/>
        <w:adjustRightInd w:val="0"/>
        <w:snapToGrid w:val="0"/>
        <w:spacing w:line="460" w:lineRule="exact"/>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auto"/>
          <w:sz w:val="32"/>
          <w:szCs w:val="32"/>
          <w:highlight w:val="none"/>
          <w:lang w:val="en-US" w:eastAsia="zh-CN"/>
        </w:rPr>
        <w:t>准格尔召镇供热中心锅炉环保改造项目位于准格尔旗准格尔召镇黄天棉图村、供热中心内现有场地，不新增占地</w:t>
      </w:r>
      <w:bookmarkStart w:id="2" w:name="OLE_LINK87"/>
      <w:r>
        <w:rPr>
          <w:rFonts w:hint="eastAsia" w:ascii="仿宋_GB2312" w:hAnsi="仿宋_GB2312" w:eastAsia="仿宋_GB2312" w:cs="仿宋_GB2312"/>
          <w:b w:val="0"/>
          <w:bCs w:val="0"/>
          <w:color w:val="auto"/>
          <w:sz w:val="32"/>
          <w:szCs w:val="32"/>
          <w:highlight w:val="none"/>
          <w:lang w:val="en-US" w:eastAsia="zh-CN"/>
        </w:rPr>
        <w:t>。</w:t>
      </w:r>
      <w:bookmarkEnd w:id="2"/>
      <w:r>
        <w:rPr>
          <w:rFonts w:hint="eastAsia" w:ascii="仿宋_GB2312" w:hAnsi="仿宋_GB2312" w:eastAsia="仿宋_GB2312" w:cs="仿宋_GB2312"/>
          <w:b w:val="0"/>
          <w:bCs w:val="0"/>
          <w:color w:val="auto"/>
          <w:sz w:val="32"/>
          <w:szCs w:val="32"/>
          <w:highlight w:val="none"/>
          <w:lang w:val="en-US" w:eastAsia="zh-CN"/>
        </w:rPr>
        <w:t>主要建设内容为启用2#备用锅炉，拆除原有项目已停用的15t/h锅炉，为现有2#40t/h锅炉配备布袋除尘器，同时拆除现有双碱法脱硫设施，新建一套能够同时满足两台 40t/h锅炉运行需要的石灰石-石膏脱硫设施，重新改造脱硝系统，将现有SNCR脱硝系统改造为低氮燃烧+PNCR脱硝系统，新建50m高排气筒。</w:t>
      </w:r>
    </w:p>
    <w:p w14:paraId="787B9328">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《报告书》</w:t>
      </w:r>
      <w:r>
        <w:rPr>
          <w:rFonts w:hint="eastAsia" w:ascii="仿宋_GB2312" w:hAnsi="仿宋_GB2312" w:eastAsia="仿宋_GB2312" w:cs="仿宋_GB2312"/>
          <w:color w:val="000000"/>
          <w:szCs w:val="32"/>
          <w:lang w:eastAsia="zh-CN"/>
        </w:rPr>
        <w:t>和</w:t>
      </w:r>
      <w:r>
        <w:rPr>
          <w:rFonts w:hint="eastAsia" w:ascii="仿宋_GB2312" w:hAnsi="仿宋_GB2312" w:eastAsia="仿宋_GB2312" w:cs="仿宋_GB2312"/>
          <w:sz w:val="32"/>
          <w:szCs w:val="32"/>
          <w:lang w:val="en-US" w:eastAsia="zh-CN" w:bidi="zh-TW"/>
        </w:rPr>
        <w:t>《技术评估报告》</w:t>
      </w:r>
      <w:r>
        <w:rPr>
          <w:rFonts w:hint="eastAsia" w:ascii="仿宋_GB2312" w:hAnsi="仿宋_GB2312" w:eastAsia="仿宋_GB2312" w:cs="仿宋_GB2312"/>
          <w:color w:val="000000"/>
          <w:szCs w:val="32"/>
        </w:rPr>
        <w:t>认为，在全面落实各项生态环境保护和环境污染防治措施的前提下，项目建设对环境的不利影响能够得到一定的缓解和控制。因此，我局原则同意你公司按照《报告书》中所列的建设项目性质、规模、地点、环境保护措施进行建设。</w:t>
      </w:r>
    </w:p>
    <w:p w14:paraId="0E52FD3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baseline"/>
        <w:rPr>
          <w:rFonts w:hint="eastAsia" w:ascii="仿宋_GB2312" w:hAnsi="仿宋_GB2312" w:eastAsia="仿宋_GB2312" w:cs="仿宋_GB2312"/>
          <w:bCs/>
          <w:szCs w:val="32"/>
        </w:rPr>
      </w:pPr>
      <w:r>
        <w:rPr>
          <w:rFonts w:hint="eastAsia" w:ascii="仿宋_GB2312" w:hAnsi="仿宋_GB2312" w:eastAsia="仿宋_GB2312" w:cs="仿宋_GB2312"/>
          <w:szCs w:val="32"/>
          <w:lang w:eastAsia="zh-CN"/>
        </w:rPr>
        <w:t>二、</w:t>
      </w:r>
      <w:r>
        <w:rPr>
          <w:rFonts w:hint="eastAsia" w:ascii="仿宋_GB2312" w:hAnsi="仿宋_GB2312" w:eastAsia="仿宋_GB2312" w:cs="仿宋_GB2312"/>
          <w:szCs w:val="32"/>
        </w:rPr>
        <w:t>项目建设与运行管理中应重点做好的工作：</w:t>
      </w:r>
    </w:p>
    <w:p w14:paraId="38E35905">
      <w:pPr>
        <w:pStyle w:val="40"/>
        <w:keepNext w:val="0"/>
        <w:keepLines w:val="0"/>
        <w:pageBreakBefore w:val="0"/>
        <w:widowControl w:val="0"/>
        <w:kinsoku/>
        <w:wordWrap/>
        <w:overflowPunct/>
        <w:topLinePunct w:val="0"/>
        <w:autoSpaceDE/>
        <w:autoSpaceDN/>
        <w:bidi w:val="0"/>
        <w:spacing w:line="4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pacing w:val="0"/>
          <w:kern w:val="2"/>
          <w:sz w:val="32"/>
          <w:szCs w:val="32"/>
          <w:lang w:val="en-US" w:eastAsia="zh-CN" w:bidi="ar-SA"/>
        </w:rPr>
        <w:t>1.加强施工期环境管理。</w:t>
      </w:r>
      <w:r>
        <w:rPr>
          <w:rFonts w:hint="eastAsia" w:ascii="仿宋_GB2312" w:hAnsi="仿宋_GB2312" w:eastAsia="仿宋_GB2312" w:cs="仿宋_GB2312"/>
          <w:sz w:val="32"/>
          <w:szCs w:val="32"/>
        </w:rPr>
        <w:t>制定合理的施工计划、施工区域四周设立围挡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highlight w:val="none"/>
        </w:rPr>
        <w:t>合理布局施工现场，建筑材料</w:t>
      </w:r>
      <w:r>
        <w:rPr>
          <w:rFonts w:hint="eastAsia" w:ascii="仿宋_GB2312" w:hAnsi="仿宋_GB2312" w:eastAsia="仿宋_GB2312" w:cs="仿宋_GB2312"/>
          <w:b w:val="0"/>
          <w:bCs w:val="0"/>
          <w:sz w:val="32"/>
          <w:szCs w:val="32"/>
          <w:highlight w:val="none"/>
          <w:lang w:eastAsia="zh-CN"/>
        </w:rPr>
        <w:t>指定地点堆放；</w:t>
      </w:r>
      <w:r>
        <w:rPr>
          <w:rFonts w:hint="eastAsia" w:ascii="仿宋_GB2312" w:hAnsi="仿宋_GB2312" w:eastAsia="仿宋_GB2312" w:cs="仿宋_GB2312"/>
          <w:b w:val="0"/>
          <w:bCs w:val="0"/>
          <w:sz w:val="32"/>
          <w:szCs w:val="32"/>
          <w:highlight w:val="none"/>
        </w:rPr>
        <w:t>定期洒水抑尘、施工场地内运输通道及时清扫和平整、</w:t>
      </w:r>
      <w:r>
        <w:rPr>
          <w:rFonts w:hint="eastAsia" w:ascii="仿宋_GB2312" w:hAnsi="仿宋_GB2312" w:eastAsia="仿宋_GB2312" w:cs="仿宋_GB2312"/>
          <w:b w:val="0"/>
          <w:bCs w:val="0"/>
          <w:sz w:val="32"/>
          <w:szCs w:val="32"/>
          <w:highlight w:val="none"/>
          <w:lang w:eastAsia="zh-CN"/>
        </w:rPr>
        <w:t>运输</w:t>
      </w:r>
      <w:r>
        <w:rPr>
          <w:rFonts w:hint="eastAsia" w:ascii="仿宋_GB2312" w:hAnsi="仿宋_GB2312" w:eastAsia="仿宋_GB2312" w:cs="仿宋_GB2312"/>
          <w:b w:val="0"/>
          <w:bCs w:val="0"/>
          <w:sz w:val="32"/>
          <w:szCs w:val="32"/>
          <w:highlight w:val="none"/>
        </w:rPr>
        <w:t>车辆均加盖篷布、避免大风天气施工作业</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合理安排施工时间，选用低噪声设备</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施工各阶段的</w:t>
      </w:r>
      <w:r>
        <w:rPr>
          <w:rFonts w:hint="eastAsia" w:ascii="仿宋_GB2312" w:hAnsi="仿宋_GB2312" w:eastAsia="仿宋_GB2312" w:cs="仿宋_GB2312"/>
          <w:b w:val="0"/>
          <w:bCs w:val="0"/>
          <w:sz w:val="32"/>
          <w:szCs w:val="32"/>
          <w:highlight w:val="none"/>
          <w:lang w:eastAsia="zh-CN"/>
        </w:rPr>
        <w:t>厂</w:t>
      </w:r>
      <w:r>
        <w:rPr>
          <w:rFonts w:hint="eastAsia" w:ascii="仿宋_GB2312" w:hAnsi="仿宋_GB2312" w:eastAsia="仿宋_GB2312" w:cs="仿宋_GB2312"/>
          <w:b w:val="0"/>
          <w:bCs w:val="0"/>
          <w:sz w:val="32"/>
          <w:szCs w:val="32"/>
          <w:highlight w:val="none"/>
        </w:rPr>
        <w:t>界噪声</w:t>
      </w:r>
      <w:r>
        <w:rPr>
          <w:rFonts w:hint="eastAsia" w:ascii="仿宋_GB2312" w:hAnsi="仿宋_GB2312" w:eastAsia="仿宋_GB2312" w:cs="仿宋_GB2312"/>
          <w:b w:val="0"/>
          <w:bCs w:val="0"/>
          <w:sz w:val="32"/>
          <w:szCs w:val="32"/>
          <w:highlight w:val="none"/>
          <w:lang w:eastAsia="zh-CN"/>
        </w:rPr>
        <w:t>满足</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建筑施工噪声排放标准</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GB12523-2025</w:t>
      </w:r>
      <w:r>
        <w:rPr>
          <w:rFonts w:hint="eastAsia" w:ascii="仿宋_GB2312" w:hAnsi="仿宋_GB2312" w:eastAsia="仿宋_GB2312" w:cs="仿宋_GB2312"/>
          <w:b w:val="0"/>
          <w:bCs w:val="0"/>
          <w:sz w:val="32"/>
          <w:szCs w:val="32"/>
          <w:highlight w:val="none"/>
        </w:rPr>
        <w:t>）中的规定。</w:t>
      </w:r>
      <w:r>
        <w:rPr>
          <w:rFonts w:hint="eastAsia" w:ascii="仿宋_GB2312" w:hAnsi="仿宋_GB2312" w:eastAsia="仿宋_GB2312" w:cs="仿宋_GB2312"/>
          <w:color w:val="auto"/>
          <w:sz w:val="32"/>
          <w:szCs w:val="32"/>
          <w:lang w:val="en-US" w:eastAsia="zh-CN"/>
        </w:rPr>
        <w:t>施工期产生的废水和固废应集中收集统一处置。</w:t>
      </w:r>
    </w:p>
    <w:p w14:paraId="28CD5F76">
      <w:pPr>
        <w:pStyle w:val="39"/>
        <w:keepNext w:val="0"/>
        <w:keepLines w:val="0"/>
        <w:pageBreakBefore w:val="0"/>
        <w:widowControl w:val="0"/>
        <w:kinsoku/>
        <w:wordWrap/>
        <w:overflowPunct/>
        <w:topLinePunct w:val="0"/>
        <w:autoSpaceDE/>
        <w:autoSpaceDN/>
        <w:bidi w:val="0"/>
        <w:adjustRightInd w:val="0"/>
        <w:snapToGrid w:val="0"/>
        <w:spacing w:line="4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kern w:val="2"/>
          <w:sz w:val="32"/>
          <w:szCs w:val="32"/>
          <w:lang w:val="en-US" w:eastAsia="zh-CN" w:bidi="ar-SA"/>
        </w:rPr>
        <w:t>2.认真落实《报告书》</w:t>
      </w:r>
      <w:r>
        <w:rPr>
          <w:rFonts w:hint="eastAsia" w:ascii="仿宋_GB2312" w:hAnsi="仿宋_GB2312" w:eastAsia="仿宋_GB2312" w:cs="仿宋_GB2312"/>
          <w:sz w:val="32"/>
          <w:szCs w:val="32"/>
          <w:lang w:val="en-US" w:eastAsia="zh-CN" w:bidi="zh-TW"/>
        </w:rPr>
        <w:t>中</w:t>
      </w:r>
      <w:r>
        <w:rPr>
          <w:rFonts w:hint="eastAsia" w:ascii="仿宋_GB2312" w:hAnsi="仿宋_GB2312" w:eastAsia="仿宋_GB2312" w:cs="仿宋_GB2312"/>
          <w:color w:val="000000"/>
          <w:spacing w:val="0"/>
          <w:kern w:val="2"/>
          <w:sz w:val="32"/>
          <w:szCs w:val="32"/>
          <w:lang w:val="en-US" w:eastAsia="zh-CN" w:bidi="ar-SA"/>
        </w:rPr>
        <w:t>提出的大气污染防治措施。</w:t>
      </w:r>
      <w:r>
        <w:rPr>
          <w:rFonts w:hint="eastAsia" w:ascii="仿宋_GB2312" w:hAnsi="仿宋_GB2312" w:eastAsia="仿宋_GB2312" w:cs="仿宋_GB2312"/>
          <w:b w:val="0"/>
          <w:bCs w:val="0"/>
          <w:sz w:val="32"/>
          <w:szCs w:val="32"/>
          <w:lang w:val="en-US" w:eastAsia="zh-CN"/>
        </w:rPr>
        <w:t>锅炉烟气</w:t>
      </w:r>
      <w:r>
        <w:rPr>
          <w:rFonts w:hint="eastAsia" w:ascii="仿宋_GB2312" w:hAnsi="仿宋_GB2312" w:eastAsia="仿宋_GB2312" w:cs="仿宋_GB2312"/>
          <w:b w:val="0"/>
          <w:bCs w:val="0"/>
          <w:sz w:val="32"/>
          <w:szCs w:val="32"/>
        </w:rPr>
        <w:t>主要</w:t>
      </w:r>
      <w:r>
        <w:rPr>
          <w:rFonts w:hint="eastAsia" w:ascii="仿宋_GB2312" w:hAnsi="仿宋_GB2312" w:eastAsia="仿宋_GB2312" w:cs="仿宋_GB2312"/>
          <w:b w:val="0"/>
          <w:bCs w:val="0"/>
          <w:sz w:val="32"/>
          <w:szCs w:val="32"/>
          <w:lang w:val="en-US" w:eastAsia="zh-CN"/>
        </w:rPr>
        <w:t>污染物</w:t>
      </w:r>
      <w:r>
        <w:rPr>
          <w:rFonts w:hint="eastAsia" w:ascii="仿宋_GB2312" w:hAnsi="仿宋_GB2312" w:eastAsia="仿宋_GB2312" w:cs="仿宋_GB2312"/>
          <w:b w:val="0"/>
          <w:bCs w:val="0"/>
          <w:sz w:val="32"/>
          <w:szCs w:val="32"/>
        </w:rPr>
        <w:t>为颗粒物</w:t>
      </w:r>
      <w:r>
        <w:rPr>
          <w:rFonts w:hint="eastAsia" w:ascii="仿宋_GB2312" w:hAnsi="仿宋_GB2312" w:eastAsia="仿宋_GB2312" w:cs="仿宋_GB2312"/>
          <w:b w:val="0"/>
          <w:bCs w:val="0"/>
          <w:sz w:val="32"/>
          <w:szCs w:val="32"/>
          <w:lang w:eastAsia="zh-CN"/>
        </w:rPr>
        <w:t>、SO</w:t>
      </w:r>
      <w:r>
        <w:rPr>
          <w:rFonts w:hint="eastAsia" w:ascii="仿宋_GB2312" w:hAnsi="仿宋_GB2312" w:eastAsia="仿宋_GB2312" w:cs="仿宋_GB2312"/>
          <w:b w:val="0"/>
          <w:bCs w:val="0"/>
          <w:sz w:val="32"/>
          <w:szCs w:val="32"/>
          <w:vertAlign w:val="subscript"/>
          <w:lang w:eastAsia="zh-CN"/>
        </w:rPr>
        <w:t>2</w:t>
      </w:r>
      <w:r>
        <w:rPr>
          <w:rFonts w:hint="eastAsia" w:ascii="仿宋_GB2312" w:hAnsi="仿宋_GB2312" w:eastAsia="仿宋_GB2312" w:cs="仿宋_GB2312"/>
          <w:b w:val="0"/>
          <w:bCs w:val="0"/>
          <w:sz w:val="32"/>
          <w:szCs w:val="32"/>
          <w:lang w:eastAsia="zh-CN"/>
        </w:rPr>
        <w:t>、NOx、</w:t>
      </w:r>
      <w:r>
        <w:rPr>
          <w:rFonts w:hint="eastAsia" w:ascii="仿宋_GB2312" w:hAnsi="仿宋_GB2312" w:eastAsia="仿宋_GB2312" w:cs="仿宋_GB2312"/>
          <w:b w:val="0"/>
          <w:bCs w:val="0"/>
          <w:sz w:val="32"/>
          <w:szCs w:val="32"/>
          <w:lang w:val="en-US" w:eastAsia="zh-CN"/>
        </w:rPr>
        <w:t>汞及其化合物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黑度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废气经“低氮燃烧+PNCR脱硝+布袋除尘器除尘+石灰石-石膏法脱硫（湿式除雾器）”工艺处理后，通过50米高排气筒排放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废气排放浓度满足《锅炉大气污染物排放标准》（GB13271-2014）表3大气污染物特别排放限值要求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运营期要求对排气筒出口进行在线监测并与生态环境部门联网，</w:t>
      </w:r>
      <w:r>
        <w:rPr>
          <w:rFonts w:hint="eastAsia" w:ascii="仿宋_GB2312" w:hAnsi="仿宋_GB2312" w:eastAsia="仿宋_GB2312" w:cs="仿宋_GB2312"/>
          <w:b w:val="0"/>
          <w:bCs w:val="0"/>
          <w:sz w:val="32"/>
          <w:szCs w:val="32"/>
          <w:lang w:eastAsia="zh-CN"/>
        </w:rPr>
        <w:t>在线监测指标包括</w:t>
      </w:r>
      <w:r>
        <w:rPr>
          <w:rFonts w:hint="eastAsia" w:ascii="仿宋_GB2312" w:hAnsi="仿宋_GB2312" w:eastAsia="仿宋_GB2312" w:cs="仿宋_GB2312"/>
          <w:b w:val="0"/>
          <w:bCs w:val="0"/>
          <w:sz w:val="32"/>
          <w:szCs w:val="32"/>
          <w:lang w:val="en-US" w:eastAsia="zh-CN"/>
        </w:rPr>
        <w:t>烟气温度和</w:t>
      </w:r>
      <w:r>
        <w:rPr>
          <w:rFonts w:hint="eastAsia" w:ascii="仿宋_GB2312" w:hAnsi="仿宋_GB2312" w:eastAsia="仿宋_GB2312" w:cs="仿宋_GB2312"/>
          <w:b w:val="0"/>
          <w:bCs w:val="0"/>
          <w:sz w:val="32"/>
          <w:szCs w:val="32"/>
          <w:lang w:eastAsia="zh-CN"/>
        </w:rPr>
        <w:t>烟气中颗粒物、氮氧化物、二氧化硫、烟气含氧量等。</w:t>
      </w:r>
      <w:r>
        <w:rPr>
          <w:rFonts w:hint="eastAsia" w:ascii="仿宋_GB2312" w:hAnsi="仿宋_GB2312" w:eastAsia="仿宋_GB2312" w:cs="仿宋_GB2312"/>
          <w:b w:val="0"/>
          <w:bCs w:val="0"/>
          <w:sz w:val="32"/>
          <w:szCs w:val="32"/>
          <w:lang w:val="en-US" w:eastAsia="zh-CN"/>
        </w:rPr>
        <w:t>石灰石仓粉尘</w:t>
      </w:r>
      <w:r>
        <w:rPr>
          <w:rFonts w:hint="eastAsia" w:ascii="仿宋_GB2312" w:hAnsi="仿宋_GB2312" w:eastAsia="仿宋_GB2312" w:cs="仿宋_GB2312"/>
          <w:b w:val="0"/>
          <w:bCs w:val="0"/>
          <w:sz w:val="32"/>
          <w:szCs w:val="32"/>
        </w:rPr>
        <w:t>主要为</w:t>
      </w:r>
      <w:r>
        <w:rPr>
          <w:rFonts w:hint="eastAsia" w:ascii="仿宋_GB2312" w:hAnsi="仿宋_GB2312" w:eastAsia="仿宋_GB2312" w:cs="仿宋_GB2312"/>
          <w:b w:val="0"/>
          <w:bCs w:val="0"/>
          <w:sz w:val="32"/>
          <w:szCs w:val="32"/>
          <w:lang w:val="en-US" w:eastAsia="zh-CN"/>
        </w:rPr>
        <w:t>颗粒物，废气经1套负压布袋除尘器处理，</w:t>
      </w:r>
      <w:r>
        <w:rPr>
          <w:rFonts w:hint="eastAsia" w:ascii="仿宋_GB2312" w:hAnsi="仿宋_GB2312" w:eastAsia="仿宋_GB2312" w:cs="仿宋_GB2312"/>
          <w:b w:val="0"/>
          <w:bCs w:val="0"/>
          <w:sz w:val="32"/>
          <w:szCs w:val="32"/>
        </w:rPr>
        <w:t>颗粒物</w:t>
      </w:r>
      <w:r>
        <w:rPr>
          <w:rFonts w:hint="eastAsia" w:ascii="仿宋_GB2312" w:hAnsi="仿宋_GB2312" w:eastAsia="仿宋_GB2312" w:cs="仿宋_GB2312"/>
          <w:b w:val="0"/>
          <w:bCs w:val="0"/>
          <w:sz w:val="32"/>
          <w:szCs w:val="32"/>
          <w:lang w:val="en-US" w:eastAsia="zh-CN"/>
        </w:rPr>
        <w:t>排放</w:t>
      </w:r>
      <w:r>
        <w:rPr>
          <w:rFonts w:hint="eastAsia" w:ascii="仿宋_GB2312" w:hAnsi="仿宋_GB2312" w:eastAsia="仿宋_GB2312" w:cs="仿宋_GB2312"/>
          <w:b w:val="0"/>
          <w:bCs w:val="0"/>
          <w:sz w:val="32"/>
          <w:szCs w:val="32"/>
        </w:rPr>
        <w:t>浓度值满足《大气污染物综合排放标准》（GB16297-1996）表2中</w:t>
      </w:r>
      <w:r>
        <w:rPr>
          <w:rFonts w:hint="eastAsia" w:ascii="仿宋_GB2312" w:hAnsi="仿宋_GB2312" w:eastAsia="仿宋_GB2312" w:cs="仿宋_GB2312"/>
          <w:b w:val="0"/>
          <w:bCs w:val="0"/>
          <w:sz w:val="32"/>
          <w:szCs w:val="32"/>
          <w:lang w:val="en-US" w:eastAsia="zh-CN"/>
        </w:rPr>
        <w:t>颗粒物</w:t>
      </w:r>
      <w:r>
        <w:rPr>
          <w:rFonts w:hint="eastAsia" w:ascii="仿宋_GB2312" w:hAnsi="仿宋_GB2312" w:eastAsia="仿宋_GB2312" w:cs="仿宋_GB2312"/>
          <w:b w:val="0"/>
          <w:bCs w:val="0"/>
          <w:sz w:val="32"/>
          <w:szCs w:val="32"/>
        </w:rPr>
        <w:t>排放监控浓度限值</w:t>
      </w:r>
      <w:r>
        <w:rPr>
          <w:rFonts w:hint="eastAsia" w:ascii="仿宋_GB2312" w:hAnsi="仿宋_GB2312" w:eastAsia="仿宋_GB2312" w:cs="仿宋_GB2312"/>
          <w:b w:val="0"/>
          <w:bCs w:val="0"/>
          <w:sz w:val="32"/>
          <w:szCs w:val="32"/>
          <w:lang w:val="en-US" w:eastAsia="zh-CN"/>
        </w:rPr>
        <w:t>；燃煤储棚粉尘、灰渣储棚粉尘</w:t>
      </w:r>
      <w:r>
        <w:rPr>
          <w:rFonts w:hint="eastAsia" w:ascii="仿宋_GB2312" w:hAnsi="仿宋_GB2312" w:eastAsia="仿宋_GB2312" w:cs="仿宋_GB2312"/>
          <w:b w:val="0"/>
          <w:bCs w:val="0"/>
          <w:sz w:val="32"/>
          <w:szCs w:val="32"/>
        </w:rPr>
        <w:t>主要为</w:t>
      </w:r>
      <w:r>
        <w:rPr>
          <w:rFonts w:hint="eastAsia" w:ascii="仿宋_GB2312" w:hAnsi="仿宋_GB2312" w:eastAsia="仿宋_GB2312" w:cs="仿宋_GB2312"/>
          <w:b w:val="0"/>
          <w:bCs w:val="0"/>
          <w:sz w:val="32"/>
          <w:szCs w:val="32"/>
          <w:lang w:val="en-US" w:eastAsia="zh-CN"/>
        </w:rPr>
        <w:t>颗粒物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建设全封闭储棚，并定期进行洒水抑尘</w:t>
      </w:r>
      <w:r>
        <w:rPr>
          <w:rFonts w:hint="eastAsia" w:ascii="仿宋_GB2312" w:hAnsi="仿宋_GB2312" w:eastAsia="仿宋_GB2312" w:cs="仿宋_GB2312"/>
          <w:b w:val="0"/>
          <w:bCs w:val="0"/>
          <w:sz w:val="32"/>
          <w:szCs w:val="32"/>
        </w:rPr>
        <w:t>，厂界</w:t>
      </w:r>
      <w:r>
        <w:rPr>
          <w:rFonts w:hint="eastAsia" w:ascii="仿宋_GB2312" w:hAnsi="仿宋_GB2312" w:eastAsia="仿宋_GB2312" w:cs="仿宋_GB2312"/>
          <w:b w:val="0"/>
          <w:bCs w:val="0"/>
          <w:sz w:val="32"/>
          <w:szCs w:val="32"/>
          <w:lang w:eastAsia="zh-CN"/>
        </w:rPr>
        <w:t>无组织</w:t>
      </w:r>
      <w:r>
        <w:rPr>
          <w:rFonts w:hint="eastAsia" w:ascii="仿宋_GB2312" w:hAnsi="仿宋_GB2312" w:eastAsia="仿宋_GB2312" w:cs="仿宋_GB2312"/>
          <w:b w:val="0"/>
          <w:bCs w:val="0"/>
          <w:sz w:val="32"/>
          <w:szCs w:val="32"/>
        </w:rPr>
        <w:t>颗粒物</w:t>
      </w:r>
      <w:r>
        <w:rPr>
          <w:rFonts w:hint="eastAsia" w:ascii="仿宋_GB2312" w:hAnsi="仿宋_GB2312" w:eastAsia="仿宋_GB2312" w:cs="仿宋_GB2312"/>
          <w:b w:val="0"/>
          <w:bCs w:val="0"/>
          <w:sz w:val="32"/>
          <w:szCs w:val="32"/>
          <w:lang w:eastAsia="zh-CN"/>
        </w:rPr>
        <w:t>排放</w:t>
      </w:r>
      <w:r>
        <w:rPr>
          <w:rFonts w:hint="eastAsia" w:ascii="仿宋_GB2312" w:hAnsi="仿宋_GB2312" w:eastAsia="仿宋_GB2312" w:cs="仿宋_GB2312"/>
          <w:b w:val="0"/>
          <w:bCs w:val="0"/>
          <w:sz w:val="32"/>
          <w:szCs w:val="32"/>
        </w:rPr>
        <w:t>满足《大气污染物综合排放标准》（GB16297-1996）表2中无组织排放监控浓度限值</w:t>
      </w:r>
      <w:r>
        <w:rPr>
          <w:rFonts w:hint="eastAsia" w:ascii="仿宋_GB2312" w:hAnsi="仿宋_GB2312" w:eastAsia="仿宋_GB2312" w:cs="仿宋_GB2312"/>
          <w:b w:val="0"/>
          <w:bCs w:val="0"/>
          <w:sz w:val="32"/>
          <w:szCs w:val="32"/>
          <w:lang w:eastAsia="zh-CN"/>
        </w:rPr>
        <w:t>。</w:t>
      </w:r>
    </w:p>
    <w:p w14:paraId="1EF9F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Cs w:val="32"/>
          <w:lang w:eastAsia="zh-CN"/>
        </w:rPr>
        <w:t>按照《鄂尔多斯市生态环境局关于</w:t>
      </w:r>
      <w:r>
        <w:rPr>
          <w:rFonts w:hint="eastAsia" w:ascii="仿宋_GB2312" w:hAnsi="仿宋_GB2312" w:eastAsia="仿宋_GB2312" w:cs="仿宋_GB2312"/>
          <w:b w:val="0"/>
          <w:bCs w:val="0"/>
          <w:color w:val="auto"/>
          <w:sz w:val="32"/>
          <w:szCs w:val="32"/>
          <w:highlight w:val="none"/>
          <w:lang w:eastAsia="zh-CN"/>
        </w:rPr>
        <w:t>准格尔召供热中心锅炉环保改造项目</w:t>
      </w:r>
      <w:r>
        <w:rPr>
          <w:rFonts w:hint="eastAsia" w:ascii="仿宋_GB2312" w:hAnsi="仿宋_GB2312" w:eastAsia="仿宋_GB2312" w:cs="仿宋_GB2312"/>
          <w:color w:val="auto"/>
          <w:sz w:val="32"/>
          <w:szCs w:val="32"/>
          <w:highlight w:val="none"/>
        </w:rPr>
        <w:t>大气主</w:t>
      </w:r>
      <w:r>
        <w:rPr>
          <w:rFonts w:hint="eastAsia" w:ascii="仿宋_GB2312" w:hAnsi="仿宋_GB2312" w:eastAsia="仿宋_GB2312" w:cs="仿宋_GB2312"/>
          <w:bCs/>
          <w:color w:val="auto"/>
          <w:sz w:val="32"/>
          <w:szCs w:val="32"/>
          <w:highlight w:val="none"/>
        </w:rPr>
        <w:t>要污染物排放总量指标确认意见的函</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bCs/>
          <w:color w:val="auto"/>
          <w:sz w:val="32"/>
          <w:szCs w:val="32"/>
          <w:highlight w:val="none"/>
        </w:rPr>
        <w:t>（鄂环气字〔2025〕</w:t>
      </w:r>
      <w:r>
        <w:rPr>
          <w:rFonts w:hint="eastAsia" w:ascii="仿宋_GB2312" w:hAnsi="仿宋_GB2312" w:eastAsia="仿宋_GB2312" w:cs="仿宋_GB2312"/>
          <w:bCs/>
          <w:color w:val="auto"/>
          <w:sz w:val="32"/>
          <w:szCs w:val="32"/>
          <w:highlight w:val="none"/>
          <w:lang w:val="en-US" w:eastAsia="zh-CN"/>
        </w:rPr>
        <w:t>89</w:t>
      </w:r>
      <w:r>
        <w:rPr>
          <w:rFonts w:hint="eastAsia" w:ascii="仿宋_GB2312" w:hAnsi="仿宋_GB2312" w:eastAsia="仿宋_GB2312" w:cs="仿宋_GB2312"/>
          <w:bCs/>
          <w:color w:val="auto"/>
          <w:sz w:val="32"/>
          <w:szCs w:val="32"/>
          <w:highlight w:val="none"/>
        </w:rPr>
        <w:t>号）</w:t>
      </w:r>
      <w:r>
        <w:rPr>
          <w:rFonts w:hint="eastAsia" w:ascii="仿宋_GB2312" w:hAnsi="仿宋_GB2312" w:eastAsia="仿宋_GB2312" w:cs="仿宋_GB2312"/>
          <w:bCs/>
          <w:color w:val="auto"/>
          <w:sz w:val="32"/>
          <w:szCs w:val="32"/>
          <w:highlight w:val="none"/>
          <w:lang w:eastAsia="zh-CN"/>
        </w:rPr>
        <w:t>，本项目二氧化硫和氮氧化物</w:t>
      </w:r>
      <w:r>
        <w:rPr>
          <w:rFonts w:hint="eastAsia" w:ascii="仿宋_GB2312" w:hAnsi="仿宋_GB2312" w:eastAsia="仿宋_GB2312" w:cs="仿宋_GB2312"/>
          <w:bCs/>
          <w:color w:val="auto"/>
          <w:sz w:val="32"/>
          <w:szCs w:val="32"/>
          <w:highlight w:val="none"/>
        </w:rPr>
        <w:t>排放总量分别</w:t>
      </w:r>
      <w:r>
        <w:rPr>
          <w:rFonts w:hint="eastAsia" w:ascii="仿宋_GB2312" w:hAnsi="仿宋_GB2312" w:eastAsia="仿宋_GB2312" w:cs="仿宋_GB2312"/>
          <w:bCs/>
          <w:color w:val="auto"/>
          <w:sz w:val="32"/>
          <w:szCs w:val="32"/>
          <w:highlight w:val="none"/>
          <w:lang w:eastAsia="zh-CN"/>
        </w:rPr>
        <w:t>不得超过</w:t>
      </w:r>
      <w:r>
        <w:rPr>
          <w:rFonts w:hint="eastAsia" w:ascii="仿宋_GB2312" w:hAnsi="仿宋_GB2312" w:eastAsia="仿宋_GB2312" w:cs="仿宋_GB2312"/>
          <w:bCs/>
          <w:color w:val="auto"/>
          <w:sz w:val="32"/>
          <w:szCs w:val="32"/>
          <w:highlight w:val="none"/>
          <w:lang w:val="en-US" w:eastAsia="zh-CN"/>
        </w:rPr>
        <w:t>55.72</w:t>
      </w:r>
      <w:r>
        <w:rPr>
          <w:rFonts w:hint="eastAsia" w:ascii="仿宋_GB2312" w:hAnsi="仿宋_GB2312" w:eastAsia="仿宋_GB2312" w:cs="仿宋_GB2312"/>
          <w:bCs/>
          <w:color w:val="auto"/>
          <w:sz w:val="32"/>
          <w:szCs w:val="32"/>
          <w:highlight w:val="none"/>
        </w:rPr>
        <w:t>吨/年</w:t>
      </w:r>
      <w:r>
        <w:rPr>
          <w:rFonts w:hint="eastAsia" w:ascii="仿宋_GB2312" w:hAnsi="仿宋_GB2312" w:eastAsia="仿宋_GB2312" w:cs="仿宋_GB2312"/>
          <w:bCs/>
          <w:color w:val="auto"/>
          <w:sz w:val="32"/>
          <w:szCs w:val="32"/>
          <w:highlight w:val="none"/>
          <w:lang w:eastAsia="zh-CN"/>
        </w:rPr>
        <w:t>和</w:t>
      </w:r>
      <w:r>
        <w:rPr>
          <w:rFonts w:hint="eastAsia" w:ascii="仿宋_GB2312" w:hAnsi="仿宋_GB2312" w:eastAsia="仿宋_GB2312" w:cs="仿宋_GB2312"/>
          <w:bCs/>
          <w:color w:val="auto"/>
          <w:sz w:val="32"/>
          <w:szCs w:val="32"/>
          <w:highlight w:val="none"/>
          <w:lang w:val="en-US" w:eastAsia="zh-CN"/>
        </w:rPr>
        <w:t>42.16</w:t>
      </w:r>
      <w:r>
        <w:rPr>
          <w:rFonts w:hint="eastAsia" w:ascii="仿宋_GB2312" w:hAnsi="仿宋_GB2312" w:eastAsia="仿宋_GB2312" w:cs="仿宋_GB2312"/>
          <w:color w:val="auto"/>
          <w:sz w:val="32"/>
          <w:szCs w:val="32"/>
          <w:highlight w:val="none"/>
        </w:rPr>
        <w:t>吨/年</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 xml:space="preserve">  </w:t>
      </w:r>
    </w:p>
    <w:p w14:paraId="2BFEA63D">
      <w:pPr>
        <w:pStyle w:val="39"/>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强化废</w:t>
      </w:r>
      <w:r>
        <w:rPr>
          <w:rFonts w:hint="eastAsia" w:ascii="仿宋_GB2312" w:hAnsi="仿宋_GB2312" w:eastAsia="仿宋_GB2312" w:cs="仿宋_GB2312"/>
          <w:bCs/>
          <w:spacing w:val="-2"/>
          <w:kern w:val="0"/>
          <w:sz w:val="32"/>
          <w:szCs w:val="32"/>
          <w:lang w:val="en-US" w:eastAsia="zh-CN" w:bidi="ar-SA"/>
        </w:rPr>
        <w:t>水处理与回用。</w:t>
      </w:r>
      <w:r>
        <w:rPr>
          <w:rFonts w:hint="eastAsia" w:ascii="仿宋_GB2312" w:hAnsi="仿宋_GB2312" w:eastAsia="仿宋_GB2312" w:cs="仿宋_GB2312"/>
          <w:b w:val="0"/>
          <w:bCs w:val="0"/>
          <w:snapToGrid w:val="0"/>
          <w:color w:val="000000"/>
          <w:sz w:val="32"/>
          <w:szCs w:val="32"/>
          <w:highlight w:val="none"/>
          <w:lang w:val="en-US" w:eastAsia="zh-CN"/>
        </w:rPr>
        <w:t>软水装置排污水作为脱硫系统用水、抑尘用水、除渣用水和拌灰用水回用；锅炉排污水、脱硫废水定期拉运至准格尔旗准伊热电有限责任公司污水处理厂进行处理；生活污水经化粪池预处理后排入市政污水管网进入准格尔召镇污水处理厂处理</w:t>
      </w:r>
      <w:r>
        <w:rPr>
          <w:rFonts w:hint="eastAsia" w:ascii="仿宋_GB2312" w:hAnsi="仿宋_GB2312" w:eastAsia="仿宋_GB2312" w:cs="仿宋_GB2312"/>
          <w:b w:val="0"/>
          <w:bCs w:val="0"/>
          <w:snapToGrid w:val="0"/>
          <w:color w:val="000000"/>
          <w:sz w:val="32"/>
          <w:szCs w:val="32"/>
          <w:highlight w:val="none"/>
        </w:rPr>
        <w:t>。</w:t>
      </w:r>
    </w:p>
    <w:p w14:paraId="608CD1DF">
      <w:pPr>
        <w:keepNext w:val="0"/>
        <w:keepLines w:val="0"/>
        <w:pageBreakBefore w:val="0"/>
        <w:widowControl w:val="0"/>
        <w:kinsoku/>
        <w:wordWrap/>
        <w:overflowPunct/>
        <w:topLinePunct w:val="0"/>
        <w:autoSpaceDE/>
        <w:autoSpaceDN/>
        <w:bidi w:val="0"/>
        <w:adjustRightInd w:val="0"/>
        <w:snapToGrid w:val="0"/>
        <w:spacing w:line="460" w:lineRule="exact"/>
        <w:ind w:left="0" w:leftChars="0" w:right="22" w:rightChars="7"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4.应采取妥善控制噪声措施，</w:t>
      </w:r>
      <w:r>
        <w:rPr>
          <w:rFonts w:hint="eastAsia" w:ascii="仿宋_GB2312" w:hAnsi="仿宋_GB2312" w:eastAsia="仿宋_GB2312" w:cs="仿宋_GB2312"/>
          <w:sz w:val="32"/>
          <w:szCs w:val="32"/>
        </w:rPr>
        <w:t>选用低噪声设备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Cs w:val="32"/>
        </w:rPr>
        <w:t>基础减振和隔声等措施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Cs w:val="32"/>
        </w:rPr>
        <w:t>确保厂界噪声排放满足《工业企业厂界环境噪声排放标准》（GB12348-2008）</w:t>
      </w: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类标准要求。</w:t>
      </w:r>
    </w:p>
    <w:p w14:paraId="0CA357A2">
      <w:pPr>
        <w:pStyle w:val="39"/>
        <w:keepNext w:val="0"/>
        <w:keepLines w:val="0"/>
        <w:pageBreakBefore w:val="0"/>
        <w:widowControl w:val="0"/>
        <w:kinsoku/>
        <w:wordWrap/>
        <w:overflowPunct/>
        <w:topLinePunct w:val="0"/>
        <w:autoSpaceDE/>
        <w:autoSpaceDN/>
        <w:bidi w:val="0"/>
        <w:adjustRightInd/>
        <w:snapToGrid w:val="0"/>
        <w:spacing w:line="4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5.严格落实固体废物污染防治措施。根据国家和地方的有关规定，按照“减量化、资源化、无害化”原则，对固体废物进行分类收集、处理和处置，确保不造成二次污染。</w:t>
      </w:r>
      <w:r>
        <w:rPr>
          <w:rFonts w:hint="eastAsia" w:ascii="仿宋_GB2312" w:hAnsi="仿宋_GB2312" w:eastAsia="仿宋_GB2312" w:cs="仿宋_GB2312"/>
          <w:kern w:val="2"/>
          <w:sz w:val="32"/>
          <w:szCs w:val="32"/>
          <w:lang w:val="zh-CN" w:eastAsia="zh-CN" w:bidi="ar-SA"/>
        </w:rPr>
        <w:t>生活垃圾由当地环卫部门统一处置。</w:t>
      </w:r>
      <w:r>
        <w:rPr>
          <w:rFonts w:hint="eastAsia" w:ascii="仿宋_GB2312" w:hAnsi="仿宋_GB2312" w:eastAsia="仿宋_GB2312" w:cs="仿宋_GB2312"/>
          <w:color w:val="000000"/>
          <w:sz w:val="32"/>
          <w:szCs w:val="32"/>
          <w:lang w:eastAsia="zh-CN"/>
        </w:rPr>
        <w:t>各类固废</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《一般工业固体废物贮存和填埋污染控制标准》（GB18599-2020）及《危险废物贮存污染控制标准》（GB18597-2023）</w:t>
      </w:r>
      <w:r>
        <w:rPr>
          <w:rFonts w:hint="eastAsia" w:ascii="仿宋_GB2312" w:hAnsi="仿宋_GB2312" w:eastAsia="仿宋_GB2312" w:cs="仿宋_GB2312"/>
          <w:sz w:val="32"/>
          <w:szCs w:val="32"/>
        </w:rPr>
        <w:t>的要求，分类做好存贮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安全处置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一般固体废物应立足于综合利用，危险废物委托有资质单位处置，</w:t>
      </w:r>
      <w:r>
        <w:rPr>
          <w:rFonts w:hint="eastAsia" w:ascii="仿宋_GB2312" w:hAnsi="仿宋_GB2312" w:eastAsia="仿宋_GB2312" w:cs="仿宋_GB2312"/>
          <w:sz w:val="32"/>
          <w:szCs w:val="32"/>
          <w:lang w:val="en-US" w:eastAsia="zh-CN"/>
        </w:rPr>
        <w:t>不得乱弃。</w:t>
      </w:r>
    </w:p>
    <w:p w14:paraId="543099DE">
      <w:pPr>
        <w:pStyle w:val="39"/>
        <w:keepNext w:val="0"/>
        <w:keepLines w:val="0"/>
        <w:pageBreakBefore w:val="0"/>
        <w:widowControl w:val="0"/>
        <w:kinsoku/>
        <w:wordWrap/>
        <w:overflowPunct/>
        <w:topLinePunct w:val="0"/>
        <w:autoSpaceDE/>
        <w:autoSpaceDN/>
        <w:bidi w:val="0"/>
        <w:adjustRightInd w:val="0"/>
        <w:snapToGrid w:val="0"/>
        <w:spacing w:line="4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6.采取分区防渗措施。</w:t>
      </w:r>
      <w:r>
        <w:rPr>
          <w:rFonts w:hint="eastAsia" w:ascii="仿宋_GB2312" w:hAnsi="仿宋_GB2312" w:eastAsia="仿宋_GB2312" w:cs="仿宋_GB2312"/>
          <w:b w:val="0"/>
          <w:bCs w:val="0"/>
          <w:sz w:val="32"/>
          <w:highlight w:val="none"/>
          <w:lang w:val="en-US" w:eastAsia="zh-CN"/>
        </w:rPr>
        <w:t>危废暂存间</w:t>
      </w:r>
      <w:r>
        <w:rPr>
          <w:rFonts w:hint="eastAsia" w:ascii="仿宋_GB2312" w:hAnsi="仿宋_GB2312" w:eastAsia="仿宋_GB2312" w:cs="仿宋_GB2312"/>
          <w:b w:val="0"/>
          <w:bCs w:val="0"/>
          <w:sz w:val="32"/>
          <w:szCs w:val="32"/>
          <w:highlight w:val="none"/>
        </w:rPr>
        <w:t>为重点防渗区，</w:t>
      </w:r>
      <w:r>
        <w:rPr>
          <w:rFonts w:hint="eastAsia" w:ascii="仿宋_GB2312" w:hAnsi="仿宋_GB2312" w:eastAsia="仿宋_GB2312" w:cs="仿宋_GB2312"/>
          <w:b w:val="0"/>
          <w:bCs w:val="0"/>
          <w:sz w:val="32"/>
          <w:szCs w:val="32"/>
          <w:highlight w:val="none"/>
          <w:lang w:eastAsia="zh-CN"/>
        </w:rPr>
        <w:t>防渗层为至少</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m厚黏土层（渗透系数不大于10</w:t>
      </w:r>
      <w:r>
        <w:rPr>
          <w:rFonts w:hint="eastAsia" w:ascii="仿宋_GB2312" w:hAnsi="仿宋_GB2312" w:eastAsia="仿宋_GB2312" w:cs="仿宋_GB2312"/>
          <w:b w:val="0"/>
          <w:bCs w:val="0"/>
          <w:sz w:val="32"/>
          <w:szCs w:val="32"/>
          <w:highlight w:val="none"/>
          <w:vertAlign w:val="superscript"/>
          <w:lang w:eastAsia="zh-CN"/>
        </w:rPr>
        <w:t>-7</w:t>
      </w:r>
      <w:r>
        <w:rPr>
          <w:rFonts w:hint="eastAsia" w:ascii="仿宋_GB2312" w:hAnsi="仿宋_GB2312" w:eastAsia="仿宋_GB2312" w:cs="仿宋_GB2312"/>
          <w:b w:val="0"/>
          <w:bCs w:val="0"/>
          <w:sz w:val="32"/>
          <w:szCs w:val="32"/>
          <w:highlight w:val="none"/>
          <w:lang w:eastAsia="zh-CN"/>
        </w:rPr>
        <w:t xml:space="preserve"> cm/s），或至少2mm厚高密度聚乙烯膜等人工防渗材料（渗透系数不大于10</w:t>
      </w:r>
      <w:r>
        <w:rPr>
          <w:rFonts w:hint="eastAsia" w:ascii="仿宋_GB2312" w:hAnsi="仿宋_GB2312" w:eastAsia="仿宋_GB2312" w:cs="仿宋_GB2312"/>
          <w:b w:val="0"/>
          <w:bCs w:val="0"/>
          <w:sz w:val="32"/>
          <w:szCs w:val="32"/>
          <w:highlight w:val="none"/>
          <w:vertAlign w:val="superscript"/>
          <w:lang w:eastAsia="zh-CN"/>
        </w:rPr>
        <w:t xml:space="preserve">-10 </w:t>
      </w:r>
      <w:r>
        <w:rPr>
          <w:rFonts w:hint="eastAsia" w:ascii="仿宋_GB2312" w:hAnsi="仿宋_GB2312" w:eastAsia="仿宋_GB2312" w:cs="仿宋_GB2312"/>
          <w:b w:val="0"/>
          <w:bCs w:val="0"/>
          <w:sz w:val="32"/>
          <w:szCs w:val="32"/>
          <w:highlight w:val="none"/>
          <w:lang w:eastAsia="zh-CN"/>
        </w:rPr>
        <w:t>cm/s），或其他防渗性能等效的材料</w:t>
      </w:r>
      <w:r>
        <w:rPr>
          <w:rFonts w:hint="eastAsia" w:ascii="仿宋_GB2312" w:hAnsi="仿宋_GB2312" w:eastAsia="仿宋_GB2312" w:cs="仿宋_GB2312"/>
          <w:b w:val="0"/>
          <w:bCs w:val="0"/>
          <w:sz w:val="32"/>
          <w:szCs w:val="32"/>
          <w:highlight w:val="none"/>
          <w:lang w:val="en-US" w:eastAsia="zh-CN"/>
        </w:rPr>
        <w:t>，参照《危险废物贮存污染控制标准》（GB18597-2023）执行；化粪池</w:t>
      </w:r>
      <w:r>
        <w:rPr>
          <w:rFonts w:hint="eastAsia" w:ascii="仿宋_GB2312" w:hAnsi="仿宋_GB2312" w:eastAsia="仿宋_GB2312" w:cs="仿宋_GB2312"/>
          <w:b w:val="0"/>
          <w:bCs w:val="0"/>
          <w:sz w:val="32"/>
          <w:szCs w:val="32"/>
          <w:highlight w:val="none"/>
        </w:rPr>
        <w:t>为</w:t>
      </w:r>
      <w:r>
        <w:rPr>
          <w:rFonts w:hint="eastAsia" w:ascii="仿宋_GB2312" w:hAnsi="仿宋_GB2312" w:eastAsia="仿宋_GB2312" w:cs="仿宋_GB2312"/>
          <w:b w:val="0"/>
          <w:bCs w:val="0"/>
          <w:sz w:val="32"/>
          <w:szCs w:val="32"/>
          <w:highlight w:val="none"/>
          <w:lang w:val="en-US" w:eastAsia="zh-CN"/>
        </w:rPr>
        <w:t>一般防渗区，</w:t>
      </w:r>
      <w:r>
        <w:rPr>
          <w:rFonts w:hint="eastAsia" w:ascii="仿宋_GB2312" w:hAnsi="仿宋_GB2312" w:eastAsia="仿宋_GB2312" w:cs="仿宋_GB2312"/>
          <w:b w:val="0"/>
          <w:bCs w:val="0"/>
          <w:sz w:val="32"/>
          <w:szCs w:val="32"/>
          <w:highlight w:val="none"/>
          <w:lang w:eastAsia="zh-CN"/>
        </w:rPr>
        <w:t>渗透系数</w:t>
      </w:r>
      <w:r>
        <w:rPr>
          <w:rFonts w:hint="eastAsia" w:ascii="仿宋_GB2312" w:hAnsi="仿宋_GB2312" w:eastAsia="仿宋_GB2312" w:cs="仿宋_GB2312"/>
          <w:b w:val="0"/>
          <w:bCs w:val="0"/>
          <w:sz w:val="32"/>
          <w:szCs w:val="32"/>
          <w:highlight w:val="none"/>
        </w:rPr>
        <w:t>不</w:t>
      </w:r>
      <w:r>
        <w:rPr>
          <w:rFonts w:hint="eastAsia" w:ascii="仿宋_GB2312" w:hAnsi="仿宋_GB2312" w:eastAsia="仿宋_GB2312" w:cs="仿宋_GB2312"/>
          <w:b w:val="0"/>
          <w:bCs w:val="0"/>
          <w:sz w:val="32"/>
          <w:szCs w:val="32"/>
          <w:highlight w:val="none"/>
          <w:lang w:eastAsia="zh-CN"/>
        </w:rPr>
        <w:t>大</w:t>
      </w:r>
      <w:r>
        <w:rPr>
          <w:rFonts w:hint="eastAsia" w:ascii="仿宋_GB2312" w:hAnsi="仿宋_GB2312" w:eastAsia="仿宋_GB2312" w:cs="仿宋_GB2312"/>
          <w:b w:val="0"/>
          <w:bCs w:val="0"/>
          <w:sz w:val="32"/>
          <w:szCs w:val="32"/>
          <w:highlight w:val="none"/>
        </w:rPr>
        <w:t>于10</w:t>
      </w:r>
      <w:r>
        <w:rPr>
          <w:rFonts w:hint="eastAsia" w:ascii="仿宋_GB2312" w:hAnsi="仿宋_GB2312" w:eastAsia="仿宋_GB2312" w:cs="仿宋_GB2312"/>
          <w:b w:val="0"/>
          <w:bCs w:val="0"/>
          <w:sz w:val="32"/>
          <w:szCs w:val="32"/>
          <w:highlight w:val="none"/>
          <w:vertAlign w:val="superscript"/>
        </w:rPr>
        <w:t>-</w:t>
      </w:r>
      <w:r>
        <w:rPr>
          <w:rFonts w:hint="eastAsia" w:ascii="仿宋_GB2312" w:hAnsi="仿宋_GB2312" w:eastAsia="仿宋_GB2312" w:cs="仿宋_GB2312"/>
          <w:b w:val="0"/>
          <w:bCs w:val="0"/>
          <w:sz w:val="32"/>
          <w:szCs w:val="32"/>
          <w:highlight w:val="none"/>
          <w:vertAlign w:val="superscript"/>
          <w:lang w:val="en-US" w:eastAsia="zh-CN"/>
        </w:rPr>
        <w:t>7</w:t>
      </w:r>
      <w:r>
        <w:rPr>
          <w:rFonts w:hint="eastAsia" w:ascii="仿宋_GB2312" w:hAnsi="仿宋_GB2312" w:eastAsia="仿宋_GB2312" w:cs="仿宋_GB2312"/>
          <w:b w:val="0"/>
          <w:bCs w:val="0"/>
          <w:sz w:val="32"/>
          <w:szCs w:val="32"/>
          <w:highlight w:val="none"/>
          <w:lang w:eastAsia="zh-CN"/>
        </w:rPr>
        <w:t xml:space="preserve"> cm/s；办公楼、</w:t>
      </w:r>
      <w:r>
        <w:rPr>
          <w:rFonts w:hint="eastAsia" w:ascii="仿宋_GB2312" w:hAnsi="仿宋_GB2312" w:eastAsia="仿宋_GB2312" w:cs="仿宋_GB2312"/>
          <w:b w:val="0"/>
          <w:bCs w:val="0"/>
          <w:sz w:val="32"/>
          <w:szCs w:val="32"/>
          <w:highlight w:val="none"/>
          <w:lang w:val="en-US" w:eastAsia="zh-CN"/>
        </w:rPr>
        <w:t>锅炉房</w:t>
      </w:r>
      <w:r>
        <w:rPr>
          <w:rFonts w:hint="eastAsia" w:ascii="仿宋_GB2312" w:hAnsi="仿宋_GB2312" w:eastAsia="仿宋_GB2312" w:cs="仿宋_GB2312"/>
          <w:b w:val="0"/>
          <w:bCs w:val="0"/>
          <w:sz w:val="32"/>
          <w:szCs w:val="32"/>
          <w:highlight w:val="none"/>
        </w:rPr>
        <w:t>为简单防渗区，地面硬化。</w:t>
      </w:r>
      <w:r>
        <w:rPr>
          <w:rFonts w:hint="eastAsia" w:ascii="仿宋_GB2312" w:hAnsi="仿宋_GB2312" w:eastAsia="仿宋_GB2312" w:cs="仿宋_GB2312"/>
          <w:sz w:val="32"/>
          <w:szCs w:val="32"/>
          <w:lang w:eastAsia="zh-CN"/>
        </w:rPr>
        <w:t>同时设置地下水</w:t>
      </w:r>
      <w:r>
        <w:rPr>
          <w:rFonts w:hint="eastAsia" w:ascii="仿宋_GB2312" w:hAnsi="仿宋_GB2312" w:eastAsia="仿宋_GB2312" w:cs="仿宋_GB2312"/>
          <w:sz w:val="32"/>
          <w:szCs w:val="32"/>
          <w:lang w:val="en-US" w:eastAsia="zh-CN"/>
        </w:rPr>
        <w:t>跟踪监测点，</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lang w:val="en-US" w:eastAsia="zh-CN"/>
        </w:rPr>
        <w:t>监测。</w:t>
      </w:r>
    </w:p>
    <w:p w14:paraId="7194AF9B">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7.建设单位须强化环境风险防范，制定环境风险应急预案。落实环保设施安全生产要求，项目污染防治设施须与主体工程一起按照安全生产要求设计，有效防范因污染物事故排放或安全生产事故可能引发的环境风险。</w:t>
      </w:r>
    </w:p>
    <w:p w14:paraId="156572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8.建设单位应对</w:t>
      </w:r>
      <w:r>
        <w:rPr>
          <w:rFonts w:hint="eastAsia" w:ascii="仿宋_GB2312" w:hAnsi="仿宋_GB2312" w:eastAsia="仿宋_GB2312" w:cs="仿宋_GB2312"/>
          <w:b w:val="0"/>
          <w:bCs w:val="0"/>
          <w:color w:val="auto"/>
          <w:sz w:val="32"/>
          <w:szCs w:val="32"/>
          <w:highlight w:val="none"/>
          <w:lang w:val="en-US" w:eastAsia="zh-CN"/>
        </w:rPr>
        <w:t>现有工程存在的环境问题进行及时整改。</w:t>
      </w:r>
    </w:p>
    <w:p w14:paraId="5FCEE390">
      <w:pPr>
        <w:pStyle w:val="4"/>
        <w:keepNext w:val="0"/>
        <w:keepLines w:val="0"/>
        <w:pageBreakBefore w:val="0"/>
        <w:kinsoku/>
        <w:wordWrap/>
        <w:overflowPunct/>
        <w:topLinePunct w:val="0"/>
        <w:autoSpaceDE/>
        <w:autoSpaceDN/>
        <w:bidi w:val="0"/>
        <w:adjustRightInd w:val="0"/>
        <w:snapToGrid w:val="0"/>
        <w:spacing w:line="460" w:lineRule="exact"/>
        <w:ind w:firstLine="64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color w:val="000000"/>
          <w:szCs w:val="32"/>
        </w:rPr>
        <w:t>三、</w:t>
      </w:r>
      <w:r>
        <w:rPr>
          <w:rFonts w:hint="eastAsia" w:ascii="仿宋_GB2312" w:hAnsi="仿宋_GB2312" w:eastAsia="仿宋_GB2312" w:cs="仿宋_GB2312"/>
          <w:color w:val="auto"/>
          <w:sz w:val="32"/>
          <w:szCs w:val="32"/>
        </w:rPr>
        <w:t>建设单位在征得</w:t>
      </w:r>
      <w:r>
        <w:rPr>
          <w:rFonts w:hint="eastAsia" w:ascii="仿宋_GB2312" w:hAnsi="仿宋_GB2312" w:eastAsia="仿宋_GB2312" w:cs="仿宋_GB2312"/>
          <w:color w:val="auto"/>
          <w:sz w:val="32"/>
          <w:szCs w:val="32"/>
          <w:lang w:eastAsia="zh-CN"/>
        </w:rPr>
        <w:t>文物、水利</w:t>
      </w:r>
      <w:r>
        <w:rPr>
          <w:rFonts w:hint="eastAsia" w:ascii="仿宋_GB2312" w:hAnsi="仿宋_GB2312" w:eastAsia="仿宋_GB2312" w:cs="仿宋_GB2312"/>
          <w:color w:val="auto"/>
          <w:sz w:val="32"/>
          <w:szCs w:val="32"/>
        </w:rPr>
        <w:t>主管部门同意后方可</w:t>
      </w:r>
      <w:r>
        <w:rPr>
          <w:rFonts w:hint="eastAsia" w:ascii="仿宋_GB2312" w:hAnsi="仿宋_GB2312" w:eastAsia="仿宋_GB2312" w:cs="仿宋_GB2312"/>
          <w:color w:val="auto"/>
          <w:sz w:val="32"/>
          <w:szCs w:val="32"/>
          <w:lang w:eastAsia="zh-CN"/>
        </w:rPr>
        <w:t>开工建设。</w:t>
      </w:r>
      <w:r>
        <w:rPr>
          <w:rFonts w:hint="eastAsia" w:ascii="仿宋_GB2312" w:hAnsi="仿宋_GB2312" w:eastAsia="仿宋_GB2312" w:cs="仿宋_GB2312"/>
          <w:kern w:val="2"/>
          <w:sz w:val="32"/>
          <w:szCs w:val="32"/>
          <w:lang w:val="en-US" w:eastAsia="zh-CN" w:bidi="ar-SA"/>
        </w:rPr>
        <w:t>在施工过程中如发现文物古迹应立即停止施工并报文物主管部门进行妥善处理</w:t>
      </w:r>
      <w:r>
        <w:rPr>
          <w:rFonts w:hint="eastAsia" w:ascii="仿宋_GB2312" w:hAnsi="仿宋_GB2312" w:eastAsia="仿宋_GB2312" w:cs="仿宋_GB2312"/>
          <w:sz w:val="32"/>
        </w:rPr>
        <w:t>。</w:t>
      </w:r>
      <w:r>
        <w:rPr>
          <w:rFonts w:hint="eastAsia" w:ascii="仿宋_GB2312" w:hAnsi="仿宋_GB2312" w:eastAsia="仿宋_GB2312" w:cs="仿宋_GB2312"/>
          <w:kern w:val="2"/>
          <w:sz w:val="32"/>
          <w:szCs w:val="24"/>
          <w:lang w:val="en-US" w:eastAsia="zh-CN" w:bidi="ar-SA"/>
        </w:rPr>
        <w:t>项目竣工后，按照规定程序实施竣工环境保护验收，经验收合格后，方可正式投入运行。</w:t>
      </w:r>
    </w:p>
    <w:p w14:paraId="41F52CAD">
      <w:pPr>
        <w:keepNext w:val="0"/>
        <w:keepLines w:val="0"/>
        <w:pageBreakBefore w:val="0"/>
        <w:widowControl w:val="0"/>
        <w:kinsoku/>
        <w:wordWrap/>
        <w:overflowPunct/>
        <w:topLinePunct w:val="0"/>
        <w:autoSpaceDE/>
        <w:autoSpaceDN/>
        <w:bidi w:val="0"/>
        <w:adjustRightInd w:val="0"/>
        <w:snapToGrid w:val="0"/>
        <w:spacing w:line="460" w:lineRule="exact"/>
        <w:ind w:right="22" w:rightChars="7"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四、你公司应在收到本批复20日内，将《报告书》（报批版）及批复文件送至鄂尔多斯市生态环境局</w:t>
      </w:r>
      <w:r>
        <w:rPr>
          <w:rFonts w:hint="eastAsia" w:ascii="仿宋_GB2312" w:hAnsi="仿宋_GB2312" w:eastAsia="仿宋_GB2312" w:cs="仿宋_GB2312"/>
          <w:color w:val="000000"/>
          <w:szCs w:val="32"/>
          <w:lang w:eastAsia="zh-CN"/>
        </w:rPr>
        <w:t>准格尔旗</w:t>
      </w:r>
      <w:r>
        <w:rPr>
          <w:rFonts w:hint="eastAsia" w:ascii="仿宋_GB2312" w:hAnsi="仿宋_GB2312" w:eastAsia="仿宋_GB2312" w:cs="仿宋_GB2312"/>
          <w:color w:val="000000"/>
          <w:szCs w:val="32"/>
        </w:rPr>
        <w:t>分局，我局委托鄂尔多斯市生态环境局</w:t>
      </w:r>
      <w:r>
        <w:rPr>
          <w:rFonts w:hint="eastAsia" w:ascii="仿宋_GB2312" w:hAnsi="仿宋_GB2312" w:eastAsia="仿宋_GB2312" w:cs="仿宋_GB2312"/>
          <w:color w:val="000000"/>
          <w:szCs w:val="32"/>
          <w:lang w:eastAsia="zh-CN"/>
        </w:rPr>
        <w:t>准格尔旗</w:t>
      </w:r>
      <w:r>
        <w:rPr>
          <w:rFonts w:hint="eastAsia" w:ascii="仿宋_GB2312" w:hAnsi="仿宋_GB2312" w:eastAsia="仿宋_GB2312" w:cs="仿宋_GB2312"/>
          <w:color w:val="000000"/>
          <w:szCs w:val="32"/>
        </w:rPr>
        <w:t>分局负责该项目的日常监管工作。</w:t>
      </w:r>
    </w:p>
    <w:p w14:paraId="62DB29A2">
      <w:pPr>
        <w:keepNext w:val="0"/>
        <w:keepLines w:val="0"/>
        <w:pageBreakBefore w:val="0"/>
        <w:widowControl w:val="0"/>
        <w:kinsoku/>
        <w:wordWrap/>
        <w:overflowPunct/>
        <w:topLinePunct w:val="0"/>
        <w:autoSpaceDE/>
        <w:autoSpaceDN/>
        <w:bidi w:val="0"/>
        <w:adjustRightInd w:val="0"/>
        <w:snapToGrid w:val="0"/>
        <w:spacing w:line="460" w:lineRule="exact"/>
        <w:ind w:firstLine="640"/>
        <w:rPr>
          <w:rFonts w:hint="eastAsia" w:ascii="仿宋_GB2312" w:hAnsi="仿宋_GB2312" w:eastAsia="仿宋_GB2312" w:cs="仿宋_GB2312"/>
          <w:color w:val="auto"/>
          <w:sz w:val="32"/>
          <w:szCs w:val="32"/>
          <w:lang w:val="zh-TW" w:eastAsia="zh-TW" w:bidi="zh-TW"/>
        </w:rPr>
      </w:pPr>
      <w:r>
        <w:rPr>
          <w:rFonts w:hint="eastAsia" w:ascii="仿宋_GB2312" w:hAnsi="仿宋_GB2312" w:eastAsia="仿宋_GB2312" w:cs="仿宋_GB2312"/>
          <w:color w:val="000000"/>
          <w:szCs w:val="32"/>
        </w:rPr>
        <w:t>五、</w:t>
      </w:r>
      <w:r>
        <w:rPr>
          <w:rFonts w:hint="eastAsia" w:ascii="仿宋_GB2312" w:hAnsi="仿宋_GB2312" w:eastAsia="仿宋_GB2312" w:cs="仿宋_GB2312"/>
          <w:color w:val="auto"/>
          <w:szCs w:val="32"/>
          <w:highlight w:val="none"/>
        </w:rPr>
        <w:t>该项目从批准之日起超过5年方决定开工建设，其环评文件应重新审核。</w:t>
      </w:r>
      <w:r>
        <w:rPr>
          <w:rFonts w:hint="eastAsia" w:ascii="仿宋_GB2312" w:hAnsi="仿宋_GB2312" w:eastAsia="仿宋_GB2312" w:cs="仿宋_GB2312"/>
          <w:color w:val="auto"/>
          <w:sz w:val="32"/>
          <w:szCs w:val="32"/>
          <w:lang w:val="zh-TW" w:eastAsia="zh-TW" w:bidi="zh-TW"/>
        </w:rPr>
        <w:t>如果建设地点、规模、工艺、防治污染和防止生态破坏的措施等发生重大变化时</w:t>
      </w:r>
      <w:r>
        <w:rPr>
          <w:rFonts w:hint="eastAsia" w:ascii="仿宋_GB2312" w:hAnsi="仿宋_GB2312" w:eastAsia="仿宋_GB2312" w:cs="仿宋_GB2312"/>
          <w:color w:val="auto"/>
          <w:sz w:val="32"/>
          <w:szCs w:val="32"/>
          <w:lang w:val="zh-TW" w:eastAsia="zh-CN" w:bidi="zh-TW"/>
        </w:rPr>
        <w:t>，</w:t>
      </w:r>
      <w:r>
        <w:rPr>
          <w:rFonts w:hint="eastAsia" w:ascii="仿宋_GB2312" w:hAnsi="仿宋_GB2312" w:eastAsia="仿宋_GB2312" w:cs="仿宋_GB2312"/>
          <w:color w:val="auto"/>
          <w:sz w:val="32"/>
          <w:szCs w:val="32"/>
          <w:lang w:val="zh-TW" w:eastAsia="zh-TW" w:bidi="zh-TW"/>
        </w:rPr>
        <w:t>需重新报批环评文件。</w:t>
      </w:r>
    </w:p>
    <w:p w14:paraId="3EBE8447">
      <w:pPr>
        <w:pStyle w:val="4"/>
        <w:keepNext w:val="0"/>
        <w:keepLines w:val="0"/>
        <w:pageBreakBefore w:val="0"/>
        <w:widowControl w:val="0"/>
        <w:kinsoku/>
        <w:wordWrap/>
        <w:overflowPunct/>
        <w:topLinePunct w:val="0"/>
        <w:bidi w:val="0"/>
        <w:spacing w:line="440" w:lineRule="exact"/>
        <w:ind w:left="0" w:leftChars="0" w:firstLine="0" w:firstLineChars="0"/>
        <w:rPr>
          <w:rFonts w:hint="default" w:ascii="Times New Roman" w:hAnsi="Times New Roman" w:cs="Times New Roman"/>
        </w:rPr>
      </w:pPr>
    </w:p>
    <w:p w14:paraId="3587073A">
      <w:pPr>
        <w:keepNext w:val="0"/>
        <w:keepLines w:val="0"/>
        <w:pageBreakBefore w:val="0"/>
        <w:widowControl w:val="0"/>
        <w:kinsoku/>
        <w:wordWrap/>
        <w:overflowPunct/>
        <w:topLinePunct w:val="0"/>
        <w:bidi w:val="0"/>
        <w:adjustRightInd w:val="0"/>
        <w:snapToGrid w:val="0"/>
        <w:spacing w:line="440" w:lineRule="exact"/>
        <w:ind w:right="320" w:firstLine="0" w:firstLineChars="0"/>
        <w:jc w:val="right"/>
        <w:rPr>
          <w:rFonts w:hint="eastAsia" w:ascii="仿宋_GB2312" w:hAnsi="仿宋_GB2312" w:eastAsia="仿宋_GB2312" w:cs="仿宋_GB2312"/>
          <w:szCs w:val="32"/>
        </w:rPr>
      </w:pPr>
    </w:p>
    <w:p w14:paraId="3D74DDE5">
      <w:pPr>
        <w:keepNext w:val="0"/>
        <w:keepLines w:val="0"/>
        <w:pageBreakBefore w:val="0"/>
        <w:widowControl w:val="0"/>
        <w:kinsoku/>
        <w:wordWrap/>
        <w:overflowPunct/>
        <w:topLinePunct w:val="0"/>
        <w:bidi w:val="0"/>
        <w:adjustRightInd w:val="0"/>
        <w:snapToGrid w:val="0"/>
        <w:spacing w:line="440" w:lineRule="exact"/>
        <w:ind w:right="320" w:firstLine="0" w:firstLineChars="0"/>
        <w:jc w:val="right"/>
        <w:rPr>
          <w:rFonts w:hint="eastAsia" w:ascii="仿宋_GB2312" w:hAnsi="仿宋_GB2312" w:eastAsia="仿宋_GB2312" w:cs="仿宋_GB2312"/>
          <w:szCs w:val="32"/>
        </w:rPr>
      </w:pPr>
      <w:r>
        <w:rPr>
          <w:rFonts w:hint="eastAsia" w:ascii="仿宋_GB2312" w:hAnsi="仿宋_GB2312" w:eastAsia="仿宋_GB2312" w:cs="仿宋_GB2312"/>
          <w:szCs w:val="32"/>
        </w:rPr>
        <w:t>鄂尔多斯市生态环境局</w:t>
      </w:r>
    </w:p>
    <w:p w14:paraId="4F037BAF">
      <w:pPr>
        <w:keepNext w:val="0"/>
        <w:keepLines w:val="0"/>
        <w:pageBreakBefore w:val="0"/>
        <w:widowControl w:val="0"/>
        <w:kinsoku/>
        <w:wordWrap/>
        <w:overflowPunct/>
        <w:topLinePunct w:val="0"/>
        <w:bidi w:val="0"/>
        <w:adjustRightInd w:val="0"/>
        <w:snapToGrid w:val="0"/>
        <w:spacing w:line="440" w:lineRule="exact"/>
        <w:ind w:right="320" w:firstLine="0" w:firstLineChars="0"/>
        <w:jc w:val="cente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202</w:t>
      </w:r>
      <w:r>
        <w:rPr>
          <w:rFonts w:hint="eastAsia" w:ascii="仿宋_GB2312" w:hAnsi="仿宋_GB2312" w:cs="仿宋_GB2312"/>
          <w:szCs w:val="32"/>
          <w:lang w:val="en-US" w:eastAsia="zh-CN"/>
        </w:rPr>
        <w:t>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19</w:t>
      </w:r>
      <w:r>
        <w:rPr>
          <w:rFonts w:hint="eastAsia" w:ascii="仿宋_GB2312" w:hAnsi="仿宋_GB2312" w:eastAsia="仿宋_GB2312" w:cs="仿宋_GB2312"/>
          <w:szCs w:val="32"/>
        </w:rPr>
        <w:t>日</w:t>
      </w:r>
    </w:p>
    <w:p w14:paraId="795BC513">
      <w:pPr>
        <w:pStyle w:val="19"/>
        <w:rPr>
          <w:rFonts w:hint="default"/>
        </w:rPr>
      </w:pPr>
    </w:p>
    <w:p w14:paraId="2E97B767">
      <w:pPr>
        <w:pStyle w:val="19"/>
        <w:rPr>
          <w:rFonts w:hint="default"/>
        </w:rPr>
      </w:pPr>
    </w:p>
    <w:p w14:paraId="602640F3">
      <w:pPr>
        <w:keepNext w:val="0"/>
        <w:keepLines w:val="0"/>
        <w:pageBreakBefore w:val="0"/>
        <w:widowControl w:val="0"/>
        <w:kinsoku/>
        <w:wordWrap/>
        <w:overflowPunct/>
        <w:topLinePunct w:val="0"/>
        <w:autoSpaceDE/>
        <w:autoSpaceDN/>
        <w:bidi w:val="0"/>
        <w:adjustRightInd/>
        <w:snapToGrid w:val="0"/>
        <w:spacing w:line="360" w:lineRule="exact"/>
        <w:ind w:left="840" w:leftChars="0" w:hanging="840" w:hangingChars="300"/>
        <w:textAlignment w:val="auto"/>
        <w:rPr>
          <w:rFonts w:hint="eastAsia" w:ascii="仿宋_GB2312" w:hAnsi="仿宋_GB2312" w:eastAsia="仿宋_GB2312" w:cs="仿宋_GB2312"/>
          <w:sz w:val="28"/>
          <w:szCs w:val="28"/>
          <w:lang w:val="zh-TW"/>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687695" cy="0"/>
                <wp:effectExtent l="0" t="4445" r="0" b="5080"/>
                <wp:wrapNone/>
                <wp:docPr id="1" name="Line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4pt;height:0pt;width:447.85pt;z-index:251659264;mso-width-relative:page;mso-height-relative:page;" filled="f" stroked="t"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6XMs0QAAAAIBAAAPAAAAAAAAAAEAIAAA&#10;ACIAAABkcnMvZG93bnJldi54bWxQSwECFAAUAAAACACHTuJATwQxetoBAADZAwAADgAAAAAAAAAB&#10;ACAAAAAgAQAAZHJzL2Uyb0RvYy54bWxQSwUGAAAAAAYABgBZAQAAb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抄送：鄂尔多斯市生态环境局</w:t>
      </w:r>
      <w:r>
        <w:rPr>
          <w:rFonts w:hint="eastAsia" w:ascii="仿宋_GB2312" w:hAnsi="仿宋_GB2312" w:cs="仿宋_GB2312"/>
          <w:sz w:val="28"/>
          <w:szCs w:val="28"/>
          <w:lang w:eastAsia="zh-CN"/>
        </w:rPr>
        <w:t>准格尔旗</w:t>
      </w:r>
      <w:r>
        <w:rPr>
          <w:rFonts w:hint="eastAsia" w:ascii="仿宋_GB2312" w:hAnsi="仿宋_GB2312" w:eastAsia="仿宋_GB2312" w:cs="仿宋_GB2312"/>
          <w:sz w:val="28"/>
          <w:szCs w:val="28"/>
        </w:rPr>
        <w:t>分局，</w:t>
      </w:r>
      <w:r>
        <w:rPr>
          <w:rFonts w:hint="eastAsia" w:ascii="仿宋_GB2312" w:hAnsi="仿宋_GB2312" w:eastAsia="仿宋_GB2312" w:cs="仿宋_GB2312"/>
          <w:sz w:val="28"/>
          <w:szCs w:val="28"/>
          <w:lang w:val="zh-TW" w:eastAsia="zh-TW"/>
        </w:rPr>
        <w:t>市</w:t>
      </w:r>
      <w:r>
        <w:rPr>
          <w:rFonts w:hint="eastAsia" w:ascii="仿宋_GB2312" w:hAnsi="仿宋_GB2312" w:eastAsia="仿宋_GB2312" w:cs="仿宋_GB2312"/>
          <w:sz w:val="28"/>
          <w:szCs w:val="28"/>
          <w:lang w:val="zh-TW"/>
        </w:rPr>
        <w:t>生态</w:t>
      </w:r>
      <w:r>
        <w:rPr>
          <w:rFonts w:hint="eastAsia" w:ascii="仿宋_GB2312" w:hAnsi="仿宋_GB2312" w:eastAsia="仿宋_GB2312" w:cs="仿宋_GB2312"/>
          <w:sz w:val="28"/>
          <w:szCs w:val="28"/>
          <w:lang w:val="zh-TW" w:eastAsia="zh-TW"/>
        </w:rPr>
        <w:t>环境</w:t>
      </w:r>
      <w:r>
        <w:rPr>
          <w:rFonts w:hint="eastAsia" w:ascii="仿宋_GB2312" w:hAnsi="仿宋_GB2312" w:eastAsia="仿宋_GB2312" w:cs="仿宋_GB2312"/>
          <w:sz w:val="28"/>
          <w:szCs w:val="28"/>
          <w:lang w:val="zh-TW"/>
        </w:rPr>
        <w:t>综合行政执法</w:t>
      </w:r>
      <w:r>
        <w:rPr>
          <w:rFonts w:hint="eastAsia" w:ascii="仿宋_GB2312" w:hAnsi="仿宋_GB2312" w:eastAsia="仿宋_GB2312" w:cs="仿宋_GB2312"/>
          <w:sz w:val="28"/>
          <w:szCs w:val="28"/>
          <w:lang w:val="zh-TW" w:eastAsia="zh-TW"/>
        </w:rPr>
        <w:t>支队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TW"/>
        </w:rPr>
        <w:t>市生态环境局综合保障中心</w:t>
      </w:r>
      <w:r>
        <w:rPr>
          <w:rFonts w:hint="eastAsia" w:ascii="仿宋_GB2312" w:hAnsi="仿宋_GB2312" w:eastAsia="仿宋_GB2312" w:cs="仿宋_GB2312"/>
          <w:sz w:val="28"/>
          <w:szCs w:val="28"/>
          <w:lang w:val="zh-TW" w:eastAsia="zh-CN"/>
        </w:rPr>
        <w:t>，</w:t>
      </w:r>
      <w:r>
        <w:rPr>
          <w:rFonts w:hint="eastAsia" w:ascii="仿宋_GB2312" w:hAnsi="仿宋_GB2312" w:eastAsia="仿宋_GB2312" w:cs="仿宋_GB2312"/>
          <w:sz w:val="28"/>
          <w:szCs w:val="28"/>
          <w:lang w:val="zh-TW"/>
        </w:rPr>
        <w:t>内蒙古</w:t>
      </w:r>
      <w:r>
        <w:rPr>
          <w:rFonts w:hint="eastAsia" w:ascii="仿宋_GB2312" w:hAnsi="仿宋_GB2312" w:eastAsia="仿宋_GB2312" w:cs="仿宋_GB2312"/>
          <w:sz w:val="28"/>
          <w:szCs w:val="28"/>
          <w:lang w:val="zh-TW" w:eastAsia="zh-CN"/>
        </w:rPr>
        <w:t>碳资产节能环保科技</w:t>
      </w:r>
      <w:r>
        <w:rPr>
          <w:rFonts w:hint="eastAsia" w:ascii="仿宋_GB2312" w:hAnsi="仿宋_GB2312" w:eastAsia="仿宋_GB2312" w:cs="仿宋_GB2312"/>
          <w:sz w:val="28"/>
          <w:szCs w:val="28"/>
          <w:lang w:val="zh-CN"/>
        </w:rPr>
        <w:t>有限公司</w:t>
      </w:r>
      <w:r>
        <w:rPr>
          <w:rFonts w:hint="eastAsia" w:ascii="仿宋_GB2312" w:hAnsi="仿宋_GB2312" w:eastAsia="仿宋_GB2312" w:cs="仿宋_GB2312"/>
          <w:sz w:val="28"/>
          <w:szCs w:val="28"/>
          <w:lang w:val="zh-TW"/>
        </w:rPr>
        <w:t>。</w:t>
      </w:r>
    </w:p>
    <w:p w14:paraId="1DC1DCEC">
      <w:pPr>
        <w:keepNext w:val="0"/>
        <w:keepLines w:val="0"/>
        <w:pageBreakBefore w:val="0"/>
        <w:widowControl w:val="0"/>
        <w:kinsoku/>
        <w:wordWrap/>
        <w:overflowPunct/>
        <w:topLinePunct w:val="0"/>
        <w:bidi w:val="0"/>
        <w:adjustRightInd/>
        <w:snapToGrid w:val="0"/>
        <w:ind w:left="0" w:leftChars="0"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255905</wp:posOffset>
                </wp:positionV>
                <wp:extent cx="5687695" cy="0"/>
                <wp:effectExtent l="0" t="4445" r="0" b="5080"/>
                <wp:wrapNone/>
                <wp:docPr id="3" name="Line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25pt;margin-top:20.15pt;height:0pt;width:447.85pt;z-index:251661312;mso-width-relative:page;mso-height-relative:page;" filled="f" stroked="t" coordsize="21600,21600" o:gfxdata="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wV0P0wAAAAYBAAAPAAAAAAAAAAEA&#10;IAAAACIAAABkcnMvZG93bnJldi54bWxQSwECFAAUAAAACACHTuJAFBRj5tsBAADZ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鄂尔多斯市生态环境局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cs="仿宋_GB2312"/>
          <w:color w:val="000000"/>
          <w:sz w:val="28"/>
          <w:szCs w:val="28"/>
          <w:lang w:val="en-US" w:eastAsia="zh-CN"/>
        </w:rPr>
        <w:t>19</w:t>
      </w:r>
      <w:r>
        <w:rPr>
          <w:rFonts w:hint="eastAsia" w:ascii="仿宋_GB2312" w:hAnsi="仿宋_GB2312" w:eastAsia="仿宋_GB2312" w:cs="仿宋_GB2312"/>
          <w:color w:val="000000"/>
          <w:sz w:val="28"/>
          <w:szCs w:val="28"/>
        </w:rPr>
        <w:t>日印发</w: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87695" cy="0"/>
                <wp:effectExtent l="0" t="4445" r="0" b="5080"/>
                <wp:wrapNone/>
                <wp:docPr id="2" name="Line 4"/>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6pt;height:0pt;width:447.85pt;z-index:251660288;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bdn7SAAAABAEAAA8AAAAAAAAAAQAg&#10;AAAAIgAAAGRycy9kb3ducmV2LnhtbFBLAQIUABQAAAAIAIdO4kDc+cAY2wEAANkDAAAOAAAAAAAA&#10;AAEAIAAAACEBAABkcnMvZTJvRG9jLnhtbFBLBQYAAAAABgAGAFkBAABuBQAAAAA=&#10;">
                <v:fill on="f" focussize="0,0"/>
                <v:stroke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F153">
    <w:pPr>
      <w:pStyle w:val="12"/>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9CA3">
    <w:pPr>
      <w:pStyle w:val="12"/>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744">
    <w:pPr>
      <w:pStyle w:val="12"/>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B7BC">
    <w:pPr>
      <w:pStyle w:val="13"/>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E421">
    <w:pPr>
      <w:pStyle w:val="13"/>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1264">
    <w:pPr>
      <w:pStyle w:val="13"/>
      <w:pBdr>
        <w:bottom w:val="none" w:color="auto" w:sz="0" w:space="0"/>
      </w:pBdr>
      <w:tabs>
        <w:tab w:val="clear" w:pos="4153"/>
        <w:tab w:val="clear" w:pos="8306"/>
      </w:tabs>
      <w:ind w:firstLine="360"/>
    </w:pPr>
  </w:p>
  <w:p w14:paraId="3FCAE76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E3E99"/>
    <w:multiLevelType w:val="singleLevel"/>
    <w:tmpl w:val="E4EE3E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EE"/>
    <w:rsid w:val="00012221"/>
    <w:rsid w:val="000319CE"/>
    <w:rsid w:val="0003269F"/>
    <w:rsid w:val="00033B35"/>
    <w:rsid w:val="000423CE"/>
    <w:rsid w:val="00043114"/>
    <w:rsid w:val="000441F1"/>
    <w:rsid w:val="00044ADD"/>
    <w:rsid w:val="00052225"/>
    <w:rsid w:val="00055CF2"/>
    <w:rsid w:val="00061F76"/>
    <w:rsid w:val="0006438B"/>
    <w:rsid w:val="00080E68"/>
    <w:rsid w:val="000818FF"/>
    <w:rsid w:val="00082F92"/>
    <w:rsid w:val="00084CE8"/>
    <w:rsid w:val="00087444"/>
    <w:rsid w:val="000A07AD"/>
    <w:rsid w:val="000A2A8E"/>
    <w:rsid w:val="000A2D9D"/>
    <w:rsid w:val="000B1C93"/>
    <w:rsid w:val="000C47B4"/>
    <w:rsid w:val="000D3770"/>
    <w:rsid w:val="000E2F2C"/>
    <w:rsid w:val="00100E72"/>
    <w:rsid w:val="00100EEC"/>
    <w:rsid w:val="00113E6A"/>
    <w:rsid w:val="00131BDF"/>
    <w:rsid w:val="001448E6"/>
    <w:rsid w:val="00150067"/>
    <w:rsid w:val="00156773"/>
    <w:rsid w:val="00181DB7"/>
    <w:rsid w:val="001912C2"/>
    <w:rsid w:val="0019171C"/>
    <w:rsid w:val="001A3787"/>
    <w:rsid w:val="001A489A"/>
    <w:rsid w:val="001A76B9"/>
    <w:rsid w:val="001A7709"/>
    <w:rsid w:val="001B1A16"/>
    <w:rsid w:val="001C02CA"/>
    <w:rsid w:val="001C7882"/>
    <w:rsid w:val="001D1D23"/>
    <w:rsid w:val="00204BCF"/>
    <w:rsid w:val="0021772E"/>
    <w:rsid w:val="002178E1"/>
    <w:rsid w:val="00245514"/>
    <w:rsid w:val="00247462"/>
    <w:rsid w:val="002538AB"/>
    <w:rsid w:val="002658A7"/>
    <w:rsid w:val="00287813"/>
    <w:rsid w:val="002946A6"/>
    <w:rsid w:val="002A082A"/>
    <w:rsid w:val="002A1647"/>
    <w:rsid w:val="002A68C4"/>
    <w:rsid w:val="002A76E1"/>
    <w:rsid w:val="002B00DC"/>
    <w:rsid w:val="002C56F0"/>
    <w:rsid w:val="002C5D29"/>
    <w:rsid w:val="002C7271"/>
    <w:rsid w:val="002D0B5B"/>
    <w:rsid w:val="002D6B79"/>
    <w:rsid w:val="002E3F5A"/>
    <w:rsid w:val="002E6140"/>
    <w:rsid w:val="002F2D62"/>
    <w:rsid w:val="00312944"/>
    <w:rsid w:val="00316B50"/>
    <w:rsid w:val="00331E7A"/>
    <w:rsid w:val="003412BE"/>
    <w:rsid w:val="00342A43"/>
    <w:rsid w:val="00362200"/>
    <w:rsid w:val="00362758"/>
    <w:rsid w:val="00364764"/>
    <w:rsid w:val="003663C9"/>
    <w:rsid w:val="00370DB7"/>
    <w:rsid w:val="00376BB0"/>
    <w:rsid w:val="003818E2"/>
    <w:rsid w:val="003822AA"/>
    <w:rsid w:val="00383D67"/>
    <w:rsid w:val="003A1660"/>
    <w:rsid w:val="003A4BBA"/>
    <w:rsid w:val="003C666C"/>
    <w:rsid w:val="003C7E04"/>
    <w:rsid w:val="003E0FB4"/>
    <w:rsid w:val="003F3C31"/>
    <w:rsid w:val="004044D5"/>
    <w:rsid w:val="0040512F"/>
    <w:rsid w:val="00410A19"/>
    <w:rsid w:val="00424BE1"/>
    <w:rsid w:val="0042605A"/>
    <w:rsid w:val="004343B3"/>
    <w:rsid w:val="0045631B"/>
    <w:rsid w:val="00460C5C"/>
    <w:rsid w:val="00462DB5"/>
    <w:rsid w:val="004836F5"/>
    <w:rsid w:val="00486EBC"/>
    <w:rsid w:val="004922D8"/>
    <w:rsid w:val="004A7663"/>
    <w:rsid w:val="004B4260"/>
    <w:rsid w:val="004B531E"/>
    <w:rsid w:val="004B77DA"/>
    <w:rsid w:val="004E2854"/>
    <w:rsid w:val="004E3D4D"/>
    <w:rsid w:val="004E6CF3"/>
    <w:rsid w:val="004F150A"/>
    <w:rsid w:val="00501596"/>
    <w:rsid w:val="00502EE7"/>
    <w:rsid w:val="005040CA"/>
    <w:rsid w:val="00515366"/>
    <w:rsid w:val="0051793E"/>
    <w:rsid w:val="005208ED"/>
    <w:rsid w:val="00521D46"/>
    <w:rsid w:val="00523846"/>
    <w:rsid w:val="00523C0E"/>
    <w:rsid w:val="0052543E"/>
    <w:rsid w:val="00536ACB"/>
    <w:rsid w:val="00543146"/>
    <w:rsid w:val="00545C7C"/>
    <w:rsid w:val="00570C6E"/>
    <w:rsid w:val="00583A82"/>
    <w:rsid w:val="005906B3"/>
    <w:rsid w:val="00591F5E"/>
    <w:rsid w:val="0059606A"/>
    <w:rsid w:val="005A19DC"/>
    <w:rsid w:val="005A6505"/>
    <w:rsid w:val="005A730D"/>
    <w:rsid w:val="005B723F"/>
    <w:rsid w:val="005C5916"/>
    <w:rsid w:val="005C5CC7"/>
    <w:rsid w:val="005F210E"/>
    <w:rsid w:val="005F5770"/>
    <w:rsid w:val="0060175A"/>
    <w:rsid w:val="0061280C"/>
    <w:rsid w:val="00615AB2"/>
    <w:rsid w:val="0062776A"/>
    <w:rsid w:val="00631FD5"/>
    <w:rsid w:val="00637E9E"/>
    <w:rsid w:val="0064042F"/>
    <w:rsid w:val="00645A29"/>
    <w:rsid w:val="0066595A"/>
    <w:rsid w:val="00667995"/>
    <w:rsid w:val="00677DA1"/>
    <w:rsid w:val="00684D7B"/>
    <w:rsid w:val="006855B1"/>
    <w:rsid w:val="0068791D"/>
    <w:rsid w:val="00693190"/>
    <w:rsid w:val="006962A1"/>
    <w:rsid w:val="006B5516"/>
    <w:rsid w:val="006C4B68"/>
    <w:rsid w:val="006C4EE0"/>
    <w:rsid w:val="006C532E"/>
    <w:rsid w:val="006C62AE"/>
    <w:rsid w:val="006C7698"/>
    <w:rsid w:val="006D7954"/>
    <w:rsid w:val="006E2FE6"/>
    <w:rsid w:val="006E438F"/>
    <w:rsid w:val="006E70A0"/>
    <w:rsid w:val="006F4C5E"/>
    <w:rsid w:val="006F7540"/>
    <w:rsid w:val="006F76D0"/>
    <w:rsid w:val="007009AD"/>
    <w:rsid w:val="00700C2F"/>
    <w:rsid w:val="007043A0"/>
    <w:rsid w:val="00716266"/>
    <w:rsid w:val="0072059B"/>
    <w:rsid w:val="00730937"/>
    <w:rsid w:val="00734A79"/>
    <w:rsid w:val="00735147"/>
    <w:rsid w:val="007574FE"/>
    <w:rsid w:val="007614FA"/>
    <w:rsid w:val="00765E78"/>
    <w:rsid w:val="0076638B"/>
    <w:rsid w:val="00781AE0"/>
    <w:rsid w:val="007847DF"/>
    <w:rsid w:val="0078534F"/>
    <w:rsid w:val="007864A9"/>
    <w:rsid w:val="0078728E"/>
    <w:rsid w:val="007938E5"/>
    <w:rsid w:val="007B7370"/>
    <w:rsid w:val="007C02AB"/>
    <w:rsid w:val="007D21AA"/>
    <w:rsid w:val="007F161A"/>
    <w:rsid w:val="008031A2"/>
    <w:rsid w:val="00806A62"/>
    <w:rsid w:val="00806BEC"/>
    <w:rsid w:val="00807BFD"/>
    <w:rsid w:val="008101A7"/>
    <w:rsid w:val="008124FB"/>
    <w:rsid w:val="00817D2B"/>
    <w:rsid w:val="00826A02"/>
    <w:rsid w:val="00832930"/>
    <w:rsid w:val="00843F44"/>
    <w:rsid w:val="00844CE7"/>
    <w:rsid w:val="00860879"/>
    <w:rsid w:val="00862243"/>
    <w:rsid w:val="00867D78"/>
    <w:rsid w:val="0087345C"/>
    <w:rsid w:val="008739A5"/>
    <w:rsid w:val="00873F4C"/>
    <w:rsid w:val="00876832"/>
    <w:rsid w:val="00876CB7"/>
    <w:rsid w:val="008846B8"/>
    <w:rsid w:val="008850E2"/>
    <w:rsid w:val="008A54D9"/>
    <w:rsid w:val="008B3E2D"/>
    <w:rsid w:val="008C1BAC"/>
    <w:rsid w:val="008D53CE"/>
    <w:rsid w:val="008F5024"/>
    <w:rsid w:val="008F53B3"/>
    <w:rsid w:val="00904AB6"/>
    <w:rsid w:val="00905B1B"/>
    <w:rsid w:val="00911E8F"/>
    <w:rsid w:val="009227F4"/>
    <w:rsid w:val="0092474B"/>
    <w:rsid w:val="00944060"/>
    <w:rsid w:val="0094585A"/>
    <w:rsid w:val="0096229F"/>
    <w:rsid w:val="00970506"/>
    <w:rsid w:val="009731E1"/>
    <w:rsid w:val="00982469"/>
    <w:rsid w:val="00986DDC"/>
    <w:rsid w:val="0099322B"/>
    <w:rsid w:val="00996EAE"/>
    <w:rsid w:val="009C10AA"/>
    <w:rsid w:val="009C7232"/>
    <w:rsid w:val="009D2CB3"/>
    <w:rsid w:val="009F62B0"/>
    <w:rsid w:val="00A0239B"/>
    <w:rsid w:val="00A0658E"/>
    <w:rsid w:val="00A110E5"/>
    <w:rsid w:val="00A1186C"/>
    <w:rsid w:val="00A1230E"/>
    <w:rsid w:val="00A12D3C"/>
    <w:rsid w:val="00A35CB3"/>
    <w:rsid w:val="00A52953"/>
    <w:rsid w:val="00A65778"/>
    <w:rsid w:val="00A862D8"/>
    <w:rsid w:val="00A86C61"/>
    <w:rsid w:val="00A90584"/>
    <w:rsid w:val="00AA3FA9"/>
    <w:rsid w:val="00AB4F8E"/>
    <w:rsid w:val="00AD03C8"/>
    <w:rsid w:val="00AD335E"/>
    <w:rsid w:val="00AD3DE7"/>
    <w:rsid w:val="00AD495C"/>
    <w:rsid w:val="00AD53EC"/>
    <w:rsid w:val="00AD6AD4"/>
    <w:rsid w:val="00AE13C3"/>
    <w:rsid w:val="00AE320C"/>
    <w:rsid w:val="00AE342D"/>
    <w:rsid w:val="00AF6E8E"/>
    <w:rsid w:val="00B0092F"/>
    <w:rsid w:val="00B04C86"/>
    <w:rsid w:val="00B37AAC"/>
    <w:rsid w:val="00B53D93"/>
    <w:rsid w:val="00B55779"/>
    <w:rsid w:val="00B6713D"/>
    <w:rsid w:val="00B80023"/>
    <w:rsid w:val="00B80D25"/>
    <w:rsid w:val="00B87985"/>
    <w:rsid w:val="00BA2DE0"/>
    <w:rsid w:val="00BA5CDD"/>
    <w:rsid w:val="00BA794A"/>
    <w:rsid w:val="00BB6BC2"/>
    <w:rsid w:val="00BC1E3C"/>
    <w:rsid w:val="00BC5F13"/>
    <w:rsid w:val="00BC7CD8"/>
    <w:rsid w:val="00BE6756"/>
    <w:rsid w:val="00BE7EAB"/>
    <w:rsid w:val="00BF3523"/>
    <w:rsid w:val="00BF5485"/>
    <w:rsid w:val="00C00739"/>
    <w:rsid w:val="00C24119"/>
    <w:rsid w:val="00C24B7B"/>
    <w:rsid w:val="00C3190F"/>
    <w:rsid w:val="00C37E35"/>
    <w:rsid w:val="00C75A7F"/>
    <w:rsid w:val="00C75D9E"/>
    <w:rsid w:val="00C833F3"/>
    <w:rsid w:val="00C85E72"/>
    <w:rsid w:val="00C91277"/>
    <w:rsid w:val="00C957AA"/>
    <w:rsid w:val="00CB108A"/>
    <w:rsid w:val="00CB2E5D"/>
    <w:rsid w:val="00CB5842"/>
    <w:rsid w:val="00CC0A15"/>
    <w:rsid w:val="00CD24B5"/>
    <w:rsid w:val="00CD4C57"/>
    <w:rsid w:val="00CD4D14"/>
    <w:rsid w:val="00CE1167"/>
    <w:rsid w:val="00D06226"/>
    <w:rsid w:val="00D1741A"/>
    <w:rsid w:val="00D259FF"/>
    <w:rsid w:val="00D43D63"/>
    <w:rsid w:val="00D47C5A"/>
    <w:rsid w:val="00D618F0"/>
    <w:rsid w:val="00D632C7"/>
    <w:rsid w:val="00D73499"/>
    <w:rsid w:val="00D760EF"/>
    <w:rsid w:val="00D80891"/>
    <w:rsid w:val="00D86524"/>
    <w:rsid w:val="00D9272A"/>
    <w:rsid w:val="00DB108C"/>
    <w:rsid w:val="00DB2878"/>
    <w:rsid w:val="00DC0872"/>
    <w:rsid w:val="00DD228D"/>
    <w:rsid w:val="00DD2772"/>
    <w:rsid w:val="00DD4EAF"/>
    <w:rsid w:val="00DF19B3"/>
    <w:rsid w:val="00E0195A"/>
    <w:rsid w:val="00E0307F"/>
    <w:rsid w:val="00E0492C"/>
    <w:rsid w:val="00E12740"/>
    <w:rsid w:val="00E15E43"/>
    <w:rsid w:val="00E209C7"/>
    <w:rsid w:val="00E33BD8"/>
    <w:rsid w:val="00E36E26"/>
    <w:rsid w:val="00E57D57"/>
    <w:rsid w:val="00E57D85"/>
    <w:rsid w:val="00E72309"/>
    <w:rsid w:val="00E73286"/>
    <w:rsid w:val="00E90164"/>
    <w:rsid w:val="00E9546E"/>
    <w:rsid w:val="00EA219C"/>
    <w:rsid w:val="00EA4724"/>
    <w:rsid w:val="00EA64FD"/>
    <w:rsid w:val="00EA7AC4"/>
    <w:rsid w:val="00EB54C5"/>
    <w:rsid w:val="00EB6357"/>
    <w:rsid w:val="00EC3B0F"/>
    <w:rsid w:val="00EC4C58"/>
    <w:rsid w:val="00EC6A81"/>
    <w:rsid w:val="00ED0AE9"/>
    <w:rsid w:val="00ED338B"/>
    <w:rsid w:val="00ED45AB"/>
    <w:rsid w:val="00ED6043"/>
    <w:rsid w:val="00EE4060"/>
    <w:rsid w:val="00EE6D9F"/>
    <w:rsid w:val="00EF5A25"/>
    <w:rsid w:val="00F04371"/>
    <w:rsid w:val="00F16EEB"/>
    <w:rsid w:val="00F30571"/>
    <w:rsid w:val="00F43148"/>
    <w:rsid w:val="00F459F1"/>
    <w:rsid w:val="00F627AF"/>
    <w:rsid w:val="00F647B0"/>
    <w:rsid w:val="00F725CA"/>
    <w:rsid w:val="00F732A4"/>
    <w:rsid w:val="00F92019"/>
    <w:rsid w:val="00F96DFC"/>
    <w:rsid w:val="00FA4BE2"/>
    <w:rsid w:val="00FB3C67"/>
    <w:rsid w:val="00FD4286"/>
    <w:rsid w:val="00FD5FEF"/>
    <w:rsid w:val="00FD7C9C"/>
    <w:rsid w:val="00FE14C5"/>
    <w:rsid w:val="00FE3A4F"/>
    <w:rsid w:val="00FE5DDE"/>
    <w:rsid w:val="00FE6A25"/>
    <w:rsid w:val="00FF03E3"/>
    <w:rsid w:val="00FF3623"/>
    <w:rsid w:val="00FF4249"/>
    <w:rsid w:val="00FF5132"/>
    <w:rsid w:val="00FF5608"/>
    <w:rsid w:val="0108695E"/>
    <w:rsid w:val="011706A8"/>
    <w:rsid w:val="01445366"/>
    <w:rsid w:val="014507CE"/>
    <w:rsid w:val="018441EC"/>
    <w:rsid w:val="019021AF"/>
    <w:rsid w:val="01B27768"/>
    <w:rsid w:val="023C66B8"/>
    <w:rsid w:val="02762F1E"/>
    <w:rsid w:val="02B93964"/>
    <w:rsid w:val="02C22B7E"/>
    <w:rsid w:val="02DA22F8"/>
    <w:rsid w:val="02DB550F"/>
    <w:rsid w:val="030A5E0C"/>
    <w:rsid w:val="031C2006"/>
    <w:rsid w:val="0339598B"/>
    <w:rsid w:val="034104E4"/>
    <w:rsid w:val="03E16CDF"/>
    <w:rsid w:val="03F65F4E"/>
    <w:rsid w:val="04393BC5"/>
    <w:rsid w:val="04664A43"/>
    <w:rsid w:val="04893CFE"/>
    <w:rsid w:val="048F65BE"/>
    <w:rsid w:val="04E17F19"/>
    <w:rsid w:val="04EF6F26"/>
    <w:rsid w:val="0522755B"/>
    <w:rsid w:val="058C014A"/>
    <w:rsid w:val="05CB7F36"/>
    <w:rsid w:val="05E155B5"/>
    <w:rsid w:val="062F247D"/>
    <w:rsid w:val="06796A2D"/>
    <w:rsid w:val="07F43B6B"/>
    <w:rsid w:val="08013147"/>
    <w:rsid w:val="09024F25"/>
    <w:rsid w:val="094A2FF2"/>
    <w:rsid w:val="0997362C"/>
    <w:rsid w:val="09D47A78"/>
    <w:rsid w:val="09F10E5C"/>
    <w:rsid w:val="0A12105D"/>
    <w:rsid w:val="0A422158"/>
    <w:rsid w:val="0AAE0EA2"/>
    <w:rsid w:val="0B0C71C5"/>
    <w:rsid w:val="0B4A45D7"/>
    <w:rsid w:val="0B9204CC"/>
    <w:rsid w:val="0C1C0859"/>
    <w:rsid w:val="0C677FC8"/>
    <w:rsid w:val="0C720D94"/>
    <w:rsid w:val="0D361F22"/>
    <w:rsid w:val="0D3632C8"/>
    <w:rsid w:val="0D3C6544"/>
    <w:rsid w:val="0D4A3D1F"/>
    <w:rsid w:val="0D580CE8"/>
    <w:rsid w:val="0D8B5D9E"/>
    <w:rsid w:val="0DBE509B"/>
    <w:rsid w:val="0DD0314A"/>
    <w:rsid w:val="0E3D1B16"/>
    <w:rsid w:val="0E5572C8"/>
    <w:rsid w:val="0EDD2911"/>
    <w:rsid w:val="0EF34375"/>
    <w:rsid w:val="0EFF42C1"/>
    <w:rsid w:val="0F413999"/>
    <w:rsid w:val="103D0FDB"/>
    <w:rsid w:val="10480318"/>
    <w:rsid w:val="10E82A49"/>
    <w:rsid w:val="114D5663"/>
    <w:rsid w:val="116561F2"/>
    <w:rsid w:val="116C20BA"/>
    <w:rsid w:val="119E2E48"/>
    <w:rsid w:val="11B22C86"/>
    <w:rsid w:val="11D1723E"/>
    <w:rsid w:val="12492310"/>
    <w:rsid w:val="130B0077"/>
    <w:rsid w:val="13120462"/>
    <w:rsid w:val="1377E988"/>
    <w:rsid w:val="141F1475"/>
    <w:rsid w:val="143D3908"/>
    <w:rsid w:val="14714700"/>
    <w:rsid w:val="148A59FD"/>
    <w:rsid w:val="152C201B"/>
    <w:rsid w:val="158759E9"/>
    <w:rsid w:val="15B93766"/>
    <w:rsid w:val="15C62C80"/>
    <w:rsid w:val="15E9057E"/>
    <w:rsid w:val="1613275E"/>
    <w:rsid w:val="1618469A"/>
    <w:rsid w:val="16986D06"/>
    <w:rsid w:val="16D85C88"/>
    <w:rsid w:val="17032FC3"/>
    <w:rsid w:val="172D3193"/>
    <w:rsid w:val="177A6D1A"/>
    <w:rsid w:val="17AB50CC"/>
    <w:rsid w:val="17B50D96"/>
    <w:rsid w:val="17CC2EAE"/>
    <w:rsid w:val="17FFC7B4"/>
    <w:rsid w:val="181E0BB9"/>
    <w:rsid w:val="184E316E"/>
    <w:rsid w:val="188A0ED1"/>
    <w:rsid w:val="18A76678"/>
    <w:rsid w:val="18F313B6"/>
    <w:rsid w:val="190F29E4"/>
    <w:rsid w:val="19394C12"/>
    <w:rsid w:val="194E4762"/>
    <w:rsid w:val="197874D5"/>
    <w:rsid w:val="1998580B"/>
    <w:rsid w:val="19A61CC0"/>
    <w:rsid w:val="1A042A8F"/>
    <w:rsid w:val="1A9843BB"/>
    <w:rsid w:val="1AF0586A"/>
    <w:rsid w:val="1B1863A8"/>
    <w:rsid w:val="1B7E07E3"/>
    <w:rsid w:val="1BB73F62"/>
    <w:rsid w:val="1C016508"/>
    <w:rsid w:val="1C0D7834"/>
    <w:rsid w:val="1C155A28"/>
    <w:rsid w:val="1C391ABE"/>
    <w:rsid w:val="1CA46B73"/>
    <w:rsid w:val="1CDF22A6"/>
    <w:rsid w:val="1D4833D1"/>
    <w:rsid w:val="1D8873AD"/>
    <w:rsid w:val="1D954D97"/>
    <w:rsid w:val="1DAB0A44"/>
    <w:rsid w:val="1DE765AD"/>
    <w:rsid w:val="1E202E4B"/>
    <w:rsid w:val="1E73303F"/>
    <w:rsid w:val="1EAB79C9"/>
    <w:rsid w:val="1EC148D6"/>
    <w:rsid w:val="1F1A0A0D"/>
    <w:rsid w:val="1F3D7091"/>
    <w:rsid w:val="1F441052"/>
    <w:rsid w:val="1F5A03DD"/>
    <w:rsid w:val="1F7F3F85"/>
    <w:rsid w:val="1FDF0DF6"/>
    <w:rsid w:val="1FF1791C"/>
    <w:rsid w:val="1FF7876D"/>
    <w:rsid w:val="207D7AE0"/>
    <w:rsid w:val="20A26F98"/>
    <w:rsid w:val="20EB432C"/>
    <w:rsid w:val="20F9129C"/>
    <w:rsid w:val="210821C0"/>
    <w:rsid w:val="21CA5140"/>
    <w:rsid w:val="226A1E07"/>
    <w:rsid w:val="227462F3"/>
    <w:rsid w:val="22A60B6E"/>
    <w:rsid w:val="22AD3027"/>
    <w:rsid w:val="240750AB"/>
    <w:rsid w:val="244F4CF2"/>
    <w:rsid w:val="2484392F"/>
    <w:rsid w:val="24992A7F"/>
    <w:rsid w:val="24A02EFA"/>
    <w:rsid w:val="252219CA"/>
    <w:rsid w:val="25282710"/>
    <w:rsid w:val="25403B12"/>
    <w:rsid w:val="25F724D2"/>
    <w:rsid w:val="26833388"/>
    <w:rsid w:val="271FF521"/>
    <w:rsid w:val="27823608"/>
    <w:rsid w:val="27AF1F29"/>
    <w:rsid w:val="27D35C69"/>
    <w:rsid w:val="27E32A7D"/>
    <w:rsid w:val="284D7445"/>
    <w:rsid w:val="28AF4A3D"/>
    <w:rsid w:val="28B359F2"/>
    <w:rsid w:val="293E52B8"/>
    <w:rsid w:val="295419DA"/>
    <w:rsid w:val="29A06E83"/>
    <w:rsid w:val="2A0D89A8"/>
    <w:rsid w:val="2B0C4701"/>
    <w:rsid w:val="2B25580D"/>
    <w:rsid w:val="2CA12AE7"/>
    <w:rsid w:val="2D1F6299"/>
    <w:rsid w:val="2D7B562D"/>
    <w:rsid w:val="2D7F588F"/>
    <w:rsid w:val="2DEC16AA"/>
    <w:rsid w:val="2DFE1A5C"/>
    <w:rsid w:val="2E0C0FD9"/>
    <w:rsid w:val="2E37634F"/>
    <w:rsid w:val="2E755845"/>
    <w:rsid w:val="2F424F98"/>
    <w:rsid w:val="2F45BE64"/>
    <w:rsid w:val="2F799CD3"/>
    <w:rsid w:val="2F8C16D9"/>
    <w:rsid w:val="2F9B4E7E"/>
    <w:rsid w:val="2FB91F03"/>
    <w:rsid w:val="2FDCDF74"/>
    <w:rsid w:val="2FFEC7B3"/>
    <w:rsid w:val="2FFFD1AC"/>
    <w:rsid w:val="312A127E"/>
    <w:rsid w:val="3147362B"/>
    <w:rsid w:val="31BB70AB"/>
    <w:rsid w:val="320B3F8F"/>
    <w:rsid w:val="36BFC092"/>
    <w:rsid w:val="36F72E0F"/>
    <w:rsid w:val="3729184A"/>
    <w:rsid w:val="3738096B"/>
    <w:rsid w:val="373FAEF8"/>
    <w:rsid w:val="37745EC2"/>
    <w:rsid w:val="378C0D15"/>
    <w:rsid w:val="37F7D62E"/>
    <w:rsid w:val="37FC3853"/>
    <w:rsid w:val="37FFAD1F"/>
    <w:rsid w:val="38272519"/>
    <w:rsid w:val="38671239"/>
    <w:rsid w:val="38A83F26"/>
    <w:rsid w:val="38E31861"/>
    <w:rsid w:val="39211FE9"/>
    <w:rsid w:val="3975605A"/>
    <w:rsid w:val="399F177E"/>
    <w:rsid w:val="39E7368D"/>
    <w:rsid w:val="3A1A0299"/>
    <w:rsid w:val="3A266F05"/>
    <w:rsid w:val="3A3525AE"/>
    <w:rsid w:val="3B314929"/>
    <w:rsid w:val="3B404054"/>
    <w:rsid w:val="3B5BE14E"/>
    <w:rsid w:val="3BDA7C61"/>
    <w:rsid w:val="3BF00F30"/>
    <w:rsid w:val="3BF3E2F4"/>
    <w:rsid w:val="3C974851"/>
    <w:rsid w:val="3CBBC581"/>
    <w:rsid w:val="3D0A12D4"/>
    <w:rsid w:val="3D811D09"/>
    <w:rsid w:val="3DFD8143"/>
    <w:rsid w:val="3E1BE8AF"/>
    <w:rsid w:val="3E243A02"/>
    <w:rsid w:val="3EFEBFFB"/>
    <w:rsid w:val="3F372C3F"/>
    <w:rsid w:val="3F7F0F2D"/>
    <w:rsid w:val="3F856EBE"/>
    <w:rsid w:val="3F9D3089"/>
    <w:rsid w:val="3FD3FEED"/>
    <w:rsid w:val="3FD7A6F5"/>
    <w:rsid w:val="3FDED98E"/>
    <w:rsid w:val="3FF696A5"/>
    <w:rsid w:val="3FFF35D8"/>
    <w:rsid w:val="40854466"/>
    <w:rsid w:val="408753EB"/>
    <w:rsid w:val="40AB7CCD"/>
    <w:rsid w:val="41121FAA"/>
    <w:rsid w:val="415B62D0"/>
    <w:rsid w:val="41842EEB"/>
    <w:rsid w:val="41DE0F85"/>
    <w:rsid w:val="425E3F43"/>
    <w:rsid w:val="42E31ACC"/>
    <w:rsid w:val="43376205"/>
    <w:rsid w:val="440C6C80"/>
    <w:rsid w:val="44190AED"/>
    <w:rsid w:val="443303E1"/>
    <w:rsid w:val="44F834A3"/>
    <w:rsid w:val="45E745BD"/>
    <w:rsid w:val="45FD4563"/>
    <w:rsid w:val="463361C2"/>
    <w:rsid w:val="466828D8"/>
    <w:rsid w:val="473A6169"/>
    <w:rsid w:val="47843EFF"/>
    <w:rsid w:val="47FBBF93"/>
    <w:rsid w:val="480204A1"/>
    <w:rsid w:val="4875266D"/>
    <w:rsid w:val="487D37AC"/>
    <w:rsid w:val="48AF7005"/>
    <w:rsid w:val="48C920F7"/>
    <w:rsid w:val="49071657"/>
    <w:rsid w:val="49587013"/>
    <w:rsid w:val="49742FE5"/>
    <w:rsid w:val="498F443F"/>
    <w:rsid w:val="4A4D729C"/>
    <w:rsid w:val="4AA103A2"/>
    <w:rsid w:val="4AB04296"/>
    <w:rsid w:val="4B584CDE"/>
    <w:rsid w:val="4BA6477D"/>
    <w:rsid w:val="4BB30485"/>
    <w:rsid w:val="4BF7C6D5"/>
    <w:rsid w:val="4BFBA1EC"/>
    <w:rsid w:val="4C7555B6"/>
    <w:rsid w:val="4C77081E"/>
    <w:rsid w:val="4C862886"/>
    <w:rsid w:val="4D15411C"/>
    <w:rsid w:val="4D4C5F28"/>
    <w:rsid w:val="4D5C4200"/>
    <w:rsid w:val="4DCFE36D"/>
    <w:rsid w:val="4DE144AA"/>
    <w:rsid w:val="4DF16488"/>
    <w:rsid w:val="4E8A4324"/>
    <w:rsid w:val="4EBF3921"/>
    <w:rsid w:val="4FBE7162"/>
    <w:rsid w:val="4FCF0318"/>
    <w:rsid w:val="4FD86F23"/>
    <w:rsid w:val="4FF11371"/>
    <w:rsid w:val="50765DD8"/>
    <w:rsid w:val="50FD2894"/>
    <w:rsid w:val="510319F7"/>
    <w:rsid w:val="511A4044"/>
    <w:rsid w:val="513A6E14"/>
    <w:rsid w:val="517C1AA4"/>
    <w:rsid w:val="51FC0BA7"/>
    <w:rsid w:val="52077FA0"/>
    <w:rsid w:val="521B3E89"/>
    <w:rsid w:val="5247DD60"/>
    <w:rsid w:val="530733C6"/>
    <w:rsid w:val="53090C3F"/>
    <w:rsid w:val="531639E1"/>
    <w:rsid w:val="539B7E22"/>
    <w:rsid w:val="546D2577"/>
    <w:rsid w:val="54C07820"/>
    <w:rsid w:val="55203A36"/>
    <w:rsid w:val="559857EE"/>
    <w:rsid w:val="55F423B0"/>
    <w:rsid w:val="55F7ADA1"/>
    <w:rsid w:val="55FFD6F0"/>
    <w:rsid w:val="5665BA93"/>
    <w:rsid w:val="56D87D30"/>
    <w:rsid w:val="57546F3E"/>
    <w:rsid w:val="577A0392"/>
    <w:rsid w:val="57ED6F3C"/>
    <w:rsid w:val="57F60571"/>
    <w:rsid w:val="57FF084D"/>
    <w:rsid w:val="57FFAE84"/>
    <w:rsid w:val="585E35EF"/>
    <w:rsid w:val="587B5219"/>
    <w:rsid w:val="58900B72"/>
    <w:rsid w:val="58C52932"/>
    <w:rsid w:val="58F4317F"/>
    <w:rsid w:val="594EC7D9"/>
    <w:rsid w:val="59FFADFA"/>
    <w:rsid w:val="5A0946EA"/>
    <w:rsid w:val="5A1913EF"/>
    <w:rsid w:val="5A352DF6"/>
    <w:rsid w:val="5A4F771E"/>
    <w:rsid w:val="5A946698"/>
    <w:rsid w:val="5AC03961"/>
    <w:rsid w:val="5B7EF5CC"/>
    <w:rsid w:val="5B8F7CA4"/>
    <w:rsid w:val="5BA23FE5"/>
    <w:rsid w:val="5C1818AE"/>
    <w:rsid w:val="5CAB0DB8"/>
    <w:rsid w:val="5CF68FAE"/>
    <w:rsid w:val="5D1C4FD2"/>
    <w:rsid w:val="5D7D4E91"/>
    <w:rsid w:val="5D855CC4"/>
    <w:rsid w:val="5DE5BA0A"/>
    <w:rsid w:val="5DFF129C"/>
    <w:rsid w:val="5E5B5D88"/>
    <w:rsid w:val="5E7DE282"/>
    <w:rsid w:val="5EAD0E0F"/>
    <w:rsid w:val="5ED6624C"/>
    <w:rsid w:val="5EEF3094"/>
    <w:rsid w:val="5EFB9181"/>
    <w:rsid w:val="5EFDA188"/>
    <w:rsid w:val="5F1F7844"/>
    <w:rsid w:val="5F261D2B"/>
    <w:rsid w:val="5F645172"/>
    <w:rsid w:val="5F8E1B28"/>
    <w:rsid w:val="5FF1826E"/>
    <w:rsid w:val="5FF648D1"/>
    <w:rsid w:val="6000111E"/>
    <w:rsid w:val="60B168B9"/>
    <w:rsid w:val="610E4671"/>
    <w:rsid w:val="616E2106"/>
    <w:rsid w:val="619A6687"/>
    <w:rsid w:val="61FB1949"/>
    <w:rsid w:val="61FD613B"/>
    <w:rsid w:val="62032D34"/>
    <w:rsid w:val="6259767A"/>
    <w:rsid w:val="62B7461D"/>
    <w:rsid w:val="6311765E"/>
    <w:rsid w:val="63252CE3"/>
    <w:rsid w:val="634E5336"/>
    <w:rsid w:val="635E5025"/>
    <w:rsid w:val="6384260F"/>
    <w:rsid w:val="63AE2A15"/>
    <w:rsid w:val="63FE68E8"/>
    <w:rsid w:val="64230542"/>
    <w:rsid w:val="64455112"/>
    <w:rsid w:val="64E6387C"/>
    <w:rsid w:val="655257C8"/>
    <w:rsid w:val="65C8453A"/>
    <w:rsid w:val="6630568B"/>
    <w:rsid w:val="664579E4"/>
    <w:rsid w:val="67077294"/>
    <w:rsid w:val="67633947"/>
    <w:rsid w:val="676D1155"/>
    <w:rsid w:val="679A20B0"/>
    <w:rsid w:val="67D15A64"/>
    <w:rsid w:val="67FC71D1"/>
    <w:rsid w:val="683D5155"/>
    <w:rsid w:val="68A10DF9"/>
    <w:rsid w:val="68BE798C"/>
    <w:rsid w:val="69445645"/>
    <w:rsid w:val="69D523BF"/>
    <w:rsid w:val="6A815B8A"/>
    <w:rsid w:val="6A894AAB"/>
    <w:rsid w:val="6AA8342C"/>
    <w:rsid w:val="6AC215CB"/>
    <w:rsid w:val="6ADA345D"/>
    <w:rsid w:val="6AFB7EDC"/>
    <w:rsid w:val="6BF73757"/>
    <w:rsid w:val="6C063C20"/>
    <w:rsid w:val="6C661FE0"/>
    <w:rsid w:val="6C6C708D"/>
    <w:rsid w:val="6C7C2B89"/>
    <w:rsid w:val="6C7F6964"/>
    <w:rsid w:val="6C9D0B3F"/>
    <w:rsid w:val="6D0A018C"/>
    <w:rsid w:val="6D2B7922"/>
    <w:rsid w:val="6D2C22B0"/>
    <w:rsid w:val="6D6F69ED"/>
    <w:rsid w:val="6D7E2C6A"/>
    <w:rsid w:val="6D7E9348"/>
    <w:rsid w:val="6DDA6DA0"/>
    <w:rsid w:val="6DF5241C"/>
    <w:rsid w:val="6DFBD301"/>
    <w:rsid w:val="6DFFB91B"/>
    <w:rsid w:val="6E8B460C"/>
    <w:rsid w:val="6E8F73DF"/>
    <w:rsid w:val="6EA054EC"/>
    <w:rsid w:val="6EC262C6"/>
    <w:rsid w:val="6EEE31FA"/>
    <w:rsid w:val="6F7D3C46"/>
    <w:rsid w:val="6F9DC335"/>
    <w:rsid w:val="6FBD77A4"/>
    <w:rsid w:val="6FBEA161"/>
    <w:rsid w:val="6FDFEDC7"/>
    <w:rsid w:val="6FE7F534"/>
    <w:rsid w:val="6FF7B595"/>
    <w:rsid w:val="6FFDE35C"/>
    <w:rsid w:val="6FFF8423"/>
    <w:rsid w:val="6FFFF907"/>
    <w:rsid w:val="6FFFF979"/>
    <w:rsid w:val="70315B34"/>
    <w:rsid w:val="70D41764"/>
    <w:rsid w:val="70FFA5AE"/>
    <w:rsid w:val="711858F4"/>
    <w:rsid w:val="715D5C0A"/>
    <w:rsid w:val="7179108E"/>
    <w:rsid w:val="72FFCC80"/>
    <w:rsid w:val="7312658A"/>
    <w:rsid w:val="73502E17"/>
    <w:rsid w:val="73533007"/>
    <w:rsid w:val="737F9AAA"/>
    <w:rsid w:val="73AF2444"/>
    <w:rsid w:val="73ED8EC1"/>
    <w:rsid w:val="746A200A"/>
    <w:rsid w:val="74D756A6"/>
    <w:rsid w:val="74FCA063"/>
    <w:rsid w:val="75CA3A7B"/>
    <w:rsid w:val="75D8D707"/>
    <w:rsid w:val="75FB30D3"/>
    <w:rsid w:val="75FD2533"/>
    <w:rsid w:val="75FF6B6B"/>
    <w:rsid w:val="76372A4B"/>
    <w:rsid w:val="76914287"/>
    <w:rsid w:val="76FD965A"/>
    <w:rsid w:val="77BE07CD"/>
    <w:rsid w:val="77F96739"/>
    <w:rsid w:val="77FF9CAE"/>
    <w:rsid w:val="783A3050"/>
    <w:rsid w:val="78AA67B5"/>
    <w:rsid w:val="78AF706C"/>
    <w:rsid w:val="78CC023F"/>
    <w:rsid w:val="78D36D19"/>
    <w:rsid w:val="78F5E179"/>
    <w:rsid w:val="78F7A1C0"/>
    <w:rsid w:val="794D28F9"/>
    <w:rsid w:val="795F6E2B"/>
    <w:rsid w:val="79B41A83"/>
    <w:rsid w:val="79E3BE3E"/>
    <w:rsid w:val="79F77684"/>
    <w:rsid w:val="7A3A0597"/>
    <w:rsid w:val="7A5977C7"/>
    <w:rsid w:val="7A60455C"/>
    <w:rsid w:val="7ADF1037"/>
    <w:rsid w:val="7AF20B08"/>
    <w:rsid w:val="7B3E207D"/>
    <w:rsid w:val="7B7DB19E"/>
    <w:rsid w:val="7B9336FC"/>
    <w:rsid w:val="7B9FA25F"/>
    <w:rsid w:val="7BC0030B"/>
    <w:rsid w:val="7BCED521"/>
    <w:rsid w:val="7BD8517D"/>
    <w:rsid w:val="7BDF6A45"/>
    <w:rsid w:val="7BE66DE4"/>
    <w:rsid w:val="7BEE7398"/>
    <w:rsid w:val="7BEEE0BD"/>
    <w:rsid w:val="7BFE93F4"/>
    <w:rsid w:val="7C646DC2"/>
    <w:rsid w:val="7C8161F7"/>
    <w:rsid w:val="7CE76404"/>
    <w:rsid w:val="7D5954A8"/>
    <w:rsid w:val="7D6B08B3"/>
    <w:rsid w:val="7D8A7F7D"/>
    <w:rsid w:val="7DBAE51F"/>
    <w:rsid w:val="7DBB5DC8"/>
    <w:rsid w:val="7DBD9AD6"/>
    <w:rsid w:val="7DBEC0AD"/>
    <w:rsid w:val="7DCB336C"/>
    <w:rsid w:val="7DEB2315"/>
    <w:rsid w:val="7DEB5CB3"/>
    <w:rsid w:val="7DF11F8A"/>
    <w:rsid w:val="7DF241BB"/>
    <w:rsid w:val="7DF67E8E"/>
    <w:rsid w:val="7DFFBA7C"/>
    <w:rsid w:val="7E551210"/>
    <w:rsid w:val="7E565003"/>
    <w:rsid w:val="7E77797B"/>
    <w:rsid w:val="7E7B31A7"/>
    <w:rsid w:val="7EAAC2C6"/>
    <w:rsid w:val="7EAC183C"/>
    <w:rsid w:val="7EDFB073"/>
    <w:rsid w:val="7F467B4C"/>
    <w:rsid w:val="7F6B048C"/>
    <w:rsid w:val="7F7682D0"/>
    <w:rsid w:val="7F7D6EF2"/>
    <w:rsid w:val="7F806EF0"/>
    <w:rsid w:val="7FB74980"/>
    <w:rsid w:val="7FBB5002"/>
    <w:rsid w:val="7FBD8DDC"/>
    <w:rsid w:val="7FBF5521"/>
    <w:rsid w:val="7FCF7FA1"/>
    <w:rsid w:val="7FDD35E4"/>
    <w:rsid w:val="7FDF7274"/>
    <w:rsid w:val="7FDFF9C4"/>
    <w:rsid w:val="7FE83C65"/>
    <w:rsid w:val="7FFD6994"/>
    <w:rsid w:val="7FFFE0E0"/>
    <w:rsid w:val="8DED6383"/>
    <w:rsid w:val="8E7F4E8A"/>
    <w:rsid w:val="93F734CA"/>
    <w:rsid w:val="9F7627EB"/>
    <w:rsid w:val="A94F4582"/>
    <w:rsid w:val="A99F9F39"/>
    <w:rsid w:val="AD2BB90E"/>
    <w:rsid w:val="AE3AD3D4"/>
    <w:rsid w:val="AE734B15"/>
    <w:rsid w:val="AEFD6A11"/>
    <w:rsid w:val="AFDF5513"/>
    <w:rsid w:val="B2A72DD1"/>
    <w:rsid w:val="B69991AA"/>
    <w:rsid w:val="B6FF104F"/>
    <w:rsid w:val="B76608DE"/>
    <w:rsid w:val="B7BEC952"/>
    <w:rsid w:val="B7F3CE5E"/>
    <w:rsid w:val="BABF26B1"/>
    <w:rsid w:val="BBFFFDB8"/>
    <w:rsid w:val="BC97686B"/>
    <w:rsid w:val="BDF6C7ED"/>
    <w:rsid w:val="BDF7A61A"/>
    <w:rsid w:val="BDFD08B4"/>
    <w:rsid w:val="BE3DA4FF"/>
    <w:rsid w:val="BF41E104"/>
    <w:rsid w:val="BF5E8BF0"/>
    <w:rsid w:val="BF5EAF53"/>
    <w:rsid w:val="BFCFD5A0"/>
    <w:rsid w:val="BFDB41AF"/>
    <w:rsid w:val="BFF788C1"/>
    <w:rsid w:val="BFFBD601"/>
    <w:rsid w:val="BFFE8915"/>
    <w:rsid w:val="C7B71211"/>
    <w:rsid w:val="C7FBC83E"/>
    <w:rsid w:val="CCDF3C2D"/>
    <w:rsid w:val="CEEF7303"/>
    <w:rsid w:val="CFDF2E11"/>
    <w:rsid w:val="D0FFB48A"/>
    <w:rsid w:val="D3BF95B0"/>
    <w:rsid w:val="D57ED6AC"/>
    <w:rsid w:val="D5FB17A3"/>
    <w:rsid w:val="D63D762C"/>
    <w:rsid w:val="D6F97AC0"/>
    <w:rsid w:val="D7A6B68C"/>
    <w:rsid w:val="D9BDF295"/>
    <w:rsid w:val="DAFF162B"/>
    <w:rsid w:val="DB6C2E12"/>
    <w:rsid w:val="DBEF3F79"/>
    <w:rsid w:val="DD5F0FDF"/>
    <w:rsid w:val="DD6F8727"/>
    <w:rsid w:val="DD7FB6B9"/>
    <w:rsid w:val="DDC756B3"/>
    <w:rsid w:val="DE0D537C"/>
    <w:rsid w:val="DE3FE920"/>
    <w:rsid w:val="DEFD65C3"/>
    <w:rsid w:val="DF4B9327"/>
    <w:rsid w:val="DF6F4E27"/>
    <w:rsid w:val="DFBDC708"/>
    <w:rsid w:val="DFEF0CF1"/>
    <w:rsid w:val="DFF935F3"/>
    <w:rsid w:val="DFFFF129"/>
    <w:rsid w:val="DFFFF4D5"/>
    <w:rsid w:val="E3EF6AF2"/>
    <w:rsid w:val="E3F7A6E6"/>
    <w:rsid w:val="E4FE9BBC"/>
    <w:rsid w:val="E5BE62DB"/>
    <w:rsid w:val="E6BFE984"/>
    <w:rsid w:val="E6DCE697"/>
    <w:rsid w:val="E6FE6BA9"/>
    <w:rsid w:val="E6FF920C"/>
    <w:rsid w:val="E779C4F0"/>
    <w:rsid w:val="E7F718BD"/>
    <w:rsid w:val="E9F794BA"/>
    <w:rsid w:val="E9FD38C3"/>
    <w:rsid w:val="EBFEDC22"/>
    <w:rsid w:val="ECA7148D"/>
    <w:rsid w:val="EDDB7897"/>
    <w:rsid w:val="EDFF3796"/>
    <w:rsid w:val="EDFF3AE0"/>
    <w:rsid w:val="EDFFD001"/>
    <w:rsid w:val="EE5748C5"/>
    <w:rsid w:val="EEFB53F6"/>
    <w:rsid w:val="EFCD56CD"/>
    <w:rsid w:val="EFEF38E1"/>
    <w:rsid w:val="EFF0170B"/>
    <w:rsid w:val="EFF4D4FF"/>
    <w:rsid w:val="EFFBC011"/>
    <w:rsid w:val="EFFF31B4"/>
    <w:rsid w:val="F1FA38BA"/>
    <w:rsid w:val="F3BE08C1"/>
    <w:rsid w:val="F3CE2161"/>
    <w:rsid w:val="F5FE5490"/>
    <w:rsid w:val="F5FEE8E7"/>
    <w:rsid w:val="F5FF08B6"/>
    <w:rsid w:val="F6367B73"/>
    <w:rsid w:val="F71F05C1"/>
    <w:rsid w:val="F77A1C12"/>
    <w:rsid w:val="F7977455"/>
    <w:rsid w:val="F79ABA6D"/>
    <w:rsid w:val="F7EF81BF"/>
    <w:rsid w:val="F7F53AE4"/>
    <w:rsid w:val="F7F7B8EF"/>
    <w:rsid w:val="F7F7E598"/>
    <w:rsid w:val="F7FB583A"/>
    <w:rsid w:val="F7FBC3A9"/>
    <w:rsid w:val="F8FC5AB2"/>
    <w:rsid w:val="F9377C55"/>
    <w:rsid w:val="F95F1A53"/>
    <w:rsid w:val="F969727E"/>
    <w:rsid w:val="F9793955"/>
    <w:rsid w:val="F97FAD45"/>
    <w:rsid w:val="F98F53EF"/>
    <w:rsid w:val="F9E77460"/>
    <w:rsid w:val="F9FEDDB8"/>
    <w:rsid w:val="FA7D7870"/>
    <w:rsid w:val="FAFF35A3"/>
    <w:rsid w:val="FB4F6BA9"/>
    <w:rsid w:val="FB6F3019"/>
    <w:rsid w:val="FB7BA505"/>
    <w:rsid w:val="FBB17CFF"/>
    <w:rsid w:val="FBBB65BF"/>
    <w:rsid w:val="FBF7A09A"/>
    <w:rsid w:val="FBFE9989"/>
    <w:rsid w:val="FBFF0FF0"/>
    <w:rsid w:val="FC5A4EEB"/>
    <w:rsid w:val="FC5E6834"/>
    <w:rsid w:val="FC75C477"/>
    <w:rsid w:val="FCAECC48"/>
    <w:rsid w:val="FCFF1636"/>
    <w:rsid w:val="FCFF8F22"/>
    <w:rsid w:val="FD7D671C"/>
    <w:rsid w:val="FDBF2B0E"/>
    <w:rsid w:val="FDF6F0A8"/>
    <w:rsid w:val="FDFFE222"/>
    <w:rsid w:val="FDFFE6A5"/>
    <w:rsid w:val="FEBEAB40"/>
    <w:rsid w:val="FEDD22E1"/>
    <w:rsid w:val="FEE72BA9"/>
    <w:rsid w:val="FEE92482"/>
    <w:rsid w:val="FEF6AF8C"/>
    <w:rsid w:val="FEF765B1"/>
    <w:rsid w:val="FEF770DD"/>
    <w:rsid w:val="FEF83F4B"/>
    <w:rsid w:val="FF31197A"/>
    <w:rsid w:val="FF4ED5B3"/>
    <w:rsid w:val="FF53FFAF"/>
    <w:rsid w:val="FF57AD4E"/>
    <w:rsid w:val="FF65BE5F"/>
    <w:rsid w:val="FF6B3F2E"/>
    <w:rsid w:val="FF6B68B5"/>
    <w:rsid w:val="FF7F329C"/>
    <w:rsid w:val="FFB7A128"/>
    <w:rsid w:val="FFBBB6CE"/>
    <w:rsid w:val="FFBC56BC"/>
    <w:rsid w:val="FFD6B753"/>
    <w:rsid w:val="FFDF53BC"/>
    <w:rsid w:val="FFDF5797"/>
    <w:rsid w:val="FFEE0800"/>
    <w:rsid w:val="FFEFE1E4"/>
    <w:rsid w:val="FFF6D202"/>
    <w:rsid w:val="FFFD3316"/>
    <w:rsid w:val="FFFF25AD"/>
    <w:rsid w:val="FFFF73FB"/>
    <w:rsid w:val="FFFFA6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autoSpaceDE w:val="0"/>
      <w:autoSpaceDN w:val="0"/>
      <w:adjustRightInd w:val="0"/>
      <w:jc w:val="left"/>
      <w:outlineLvl w:val="0"/>
    </w:pPr>
    <w:rPr>
      <w:rFonts w:ascii="Arial" w:hAnsi="Arial"/>
      <w:kern w:val="0"/>
      <w:sz w:val="24"/>
    </w:rPr>
  </w:style>
  <w:style w:type="paragraph" w:styleId="3">
    <w:name w:val="heading 2"/>
    <w:basedOn w:val="1"/>
    <w:next w:val="1"/>
    <w:qFormat/>
    <w:uiPriority w:val="0"/>
    <w:pPr>
      <w:keepNext/>
      <w:spacing w:line="200" w:lineRule="atLeast"/>
      <w:outlineLvl w:val="1"/>
    </w:pPr>
    <w:rPr>
      <w:color w:val="auto"/>
      <w:szCs w:val="20"/>
    </w:rPr>
  </w:style>
  <w:style w:type="character" w:default="1" w:styleId="16">
    <w:name w:val="Default Paragraph Font"/>
    <w:qFormat/>
    <w:uiPriority w:val="0"/>
    <w:rPr>
      <w:sz w:val="24"/>
      <w:szCs w:val="24"/>
    </w:rPr>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basedOn w:val="1"/>
    <w:next w:val="5"/>
    <w:link w:val="18"/>
    <w:qFormat/>
    <w:uiPriority w:val="0"/>
    <w:pPr>
      <w:ind w:firstLine="200" w:firstLineChars="200"/>
    </w:pPr>
  </w:style>
  <w:style w:type="paragraph" w:styleId="5">
    <w:name w:val="Body Text First Indent 2"/>
    <w:basedOn w:val="6"/>
    <w:next w:val="1"/>
    <w:qFormat/>
    <w:uiPriority w:val="0"/>
    <w:pPr>
      <w:ind w:firstLine="420" w:firstLineChars="200"/>
    </w:pPr>
  </w:style>
  <w:style w:type="paragraph" w:styleId="6">
    <w:name w:val="Body Text Indent"/>
    <w:basedOn w:val="1"/>
    <w:next w:val="1"/>
    <w:qFormat/>
    <w:uiPriority w:val="0"/>
    <w:pPr>
      <w:keepNext/>
      <w:widowControl w:val="0"/>
      <w:spacing w:line="360" w:lineRule="auto"/>
    </w:pPr>
    <w:rPr>
      <w:rFonts w:eastAsia="宋体"/>
      <w:sz w:val="24"/>
    </w:rPr>
  </w:style>
  <w:style w:type="paragraph" w:styleId="7">
    <w:name w:val="Document Map"/>
    <w:basedOn w:val="1"/>
    <w:qFormat/>
    <w:uiPriority w:val="0"/>
    <w:pPr>
      <w:shd w:val="clear" w:color="auto" w:fill="000080"/>
    </w:pPr>
  </w:style>
  <w:style w:type="paragraph" w:styleId="8">
    <w:name w:val="annotation text"/>
    <w:basedOn w:val="1"/>
    <w:unhideWhenUsed/>
    <w:qFormat/>
    <w:uiPriority w:val="99"/>
    <w:pPr>
      <w:jc w:val="left"/>
    </w:pPr>
  </w:style>
  <w:style w:type="paragraph" w:styleId="9">
    <w:name w:val="Body Text"/>
    <w:basedOn w:val="1"/>
    <w:qFormat/>
    <w:uiPriority w:val="0"/>
    <w:pPr>
      <w:adjustRightInd w:val="0"/>
      <w:spacing w:after="120" w:afterLines="0" w:line="480" w:lineRule="exact"/>
      <w:ind w:left="420" w:hanging="420"/>
      <w:textAlignment w:val="baseline"/>
    </w:pPr>
    <w:rPr>
      <w:spacing w:val="-2"/>
      <w:kern w:val="0"/>
      <w:sz w:val="28"/>
      <w:szCs w:val="20"/>
    </w:rPr>
  </w:style>
  <w:style w:type="paragraph" w:styleId="10">
    <w:name w:val="Date"/>
    <w:basedOn w:val="1"/>
    <w:next w:val="1"/>
    <w:qFormat/>
    <w:uiPriority w:val="0"/>
    <w:pPr>
      <w:ind w:left="25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9"/>
    <w:next w:val="1"/>
    <w:qFormat/>
    <w:uiPriority w:val="0"/>
    <w:pPr>
      <w:ind w:firstLine="420" w:firstLineChars="100"/>
    </w:pPr>
  </w:style>
  <w:style w:type="character" w:styleId="17">
    <w:name w:val="page number"/>
    <w:qFormat/>
    <w:uiPriority w:val="0"/>
  </w:style>
  <w:style w:type="character" w:customStyle="1" w:styleId="18">
    <w:name w:val="正文缩进 Char"/>
    <w:link w:val="4"/>
    <w:qFormat/>
    <w:uiPriority w:val="0"/>
    <w:rPr>
      <w:rFonts w:eastAsia="仿宋_GB2312"/>
      <w:kern w:val="2"/>
      <w:sz w:val="32"/>
      <w:szCs w:val="24"/>
    </w:rPr>
  </w:style>
  <w:style w:type="paragraph" w:customStyle="1" w:styleId="19">
    <w:name w:val="样式 正文缩进正文缩进2正文缩进 Char Char正文缩进 Char Char Char Char正文缩进 Char ..."/>
    <w:basedOn w:val="4"/>
    <w:qFormat/>
    <w:uiPriority w:val="0"/>
    <w:pPr>
      <w:spacing w:line="240" w:lineRule="auto"/>
      <w:ind w:firstLine="0" w:firstLineChars="0"/>
    </w:pPr>
    <w:rPr>
      <w:rFonts w:ascii="Times New Roman" w:eastAsia="宋体"/>
      <w:w w:val="80"/>
      <w:sz w:val="18"/>
      <w:szCs w:val="15"/>
    </w:rPr>
  </w:style>
  <w:style w:type="character" w:customStyle="1" w:styleId="20">
    <w:name w:val="环评正文 Char"/>
    <w:link w:val="21"/>
    <w:qFormat/>
    <w:uiPriority w:val="0"/>
    <w:rPr>
      <w:kern w:val="2"/>
      <w:sz w:val="24"/>
      <w:szCs w:val="24"/>
    </w:rPr>
  </w:style>
  <w:style w:type="paragraph" w:customStyle="1" w:styleId="21">
    <w:name w:val="环评正文"/>
    <w:basedOn w:val="1"/>
    <w:link w:val="20"/>
    <w:qFormat/>
    <w:uiPriority w:val="0"/>
    <w:pPr>
      <w:adjustRightInd w:val="0"/>
      <w:snapToGrid w:val="0"/>
      <w:spacing w:line="360" w:lineRule="auto"/>
      <w:ind w:firstLine="480"/>
    </w:pPr>
    <w:rPr>
      <w:rFonts w:eastAsia="宋体"/>
      <w:sz w:val="24"/>
    </w:rPr>
  </w:style>
  <w:style w:type="character" w:customStyle="1" w:styleId="22">
    <w:name w:val="xxxxx正文 Char Char"/>
    <w:link w:val="23"/>
    <w:qFormat/>
    <w:uiPriority w:val="0"/>
    <w:rPr>
      <w:rFonts w:ascii="宋体" w:hAnsi="宋体" w:eastAsia="仿宋_GB2312"/>
      <w:kern w:val="2"/>
      <w:sz w:val="24"/>
      <w:szCs w:val="24"/>
      <w:lang w:val="zh-CN"/>
    </w:rPr>
  </w:style>
  <w:style w:type="paragraph" w:customStyle="1" w:styleId="23">
    <w:name w:val="xxxxx正文"/>
    <w:basedOn w:val="1"/>
    <w:link w:val="22"/>
    <w:qFormat/>
    <w:uiPriority w:val="0"/>
    <w:pPr>
      <w:topLinePunct/>
      <w:spacing w:line="360" w:lineRule="auto"/>
      <w:ind w:firstLine="200" w:firstLineChars="200"/>
    </w:pPr>
    <w:rPr>
      <w:rFonts w:ascii="宋体" w:hAnsi="宋体"/>
      <w:sz w:val="24"/>
      <w:lang w:val="zh-CN"/>
    </w:rPr>
  </w:style>
  <w:style w:type="character" w:customStyle="1" w:styleId="24">
    <w:name w:val="正文样式 Char"/>
    <w:qFormat/>
    <w:uiPriority w:val="0"/>
    <w:rPr>
      <w:rFonts w:ascii="宋体" w:eastAsia="宋体"/>
      <w:kern w:val="2"/>
      <w:sz w:val="24"/>
      <w:szCs w:val="24"/>
      <w:lang w:val="en-US" w:eastAsia="zh-CN" w:bidi="ar-SA"/>
    </w:rPr>
  </w:style>
  <w:style w:type="character" w:customStyle="1" w:styleId="25">
    <w:name w:val="龙0正文 Char"/>
    <w:link w:val="26"/>
    <w:qFormat/>
    <w:uiPriority w:val="0"/>
    <w:rPr>
      <w:rFonts w:ascii="宋体" w:hAnsi="宋体" w:eastAsia="宋体"/>
      <w:sz w:val="24"/>
      <w:szCs w:val="24"/>
      <w:lang w:bidi="ar-SA"/>
    </w:rPr>
  </w:style>
  <w:style w:type="paragraph" w:customStyle="1" w:styleId="26">
    <w:name w:val="龙0正文"/>
    <w:basedOn w:val="1"/>
    <w:link w:val="25"/>
    <w:qFormat/>
    <w:uiPriority w:val="0"/>
    <w:pPr>
      <w:tabs>
        <w:tab w:val="left" w:pos="0"/>
        <w:tab w:val="left" w:pos="7012"/>
      </w:tabs>
      <w:autoSpaceDE w:val="0"/>
      <w:autoSpaceDN w:val="0"/>
      <w:spacing w:line="360" w:lineRule="auto"/>
    </w:pPr>
    <w:rPr>
      <w:rFonts w:ascii="宋体" w:hAnsi="宋体" w:eastAsia="宋体"/>
      <w:kern w:val="0"/>
      <w:sz w:val="24"/>
    </w:rPr>
  </w:style>
  <w:style w:type="character" w:customStyle="1" w:styleId="27">
    <w:name w:val="111111正文 Char Char"/>
    <w:link w:val="28"/>
    <w:qFormat/>
    <w:uiPriority w:val="0"/>
    <w:rPr>
      <w:rFonts w:eastAsia="仿宋_GB2312"/>
      <w:kern w:val="2"/>
      <w:sz w:val="24"/>
      <w:szCs w:val="24"/>
    </w:rPr>
  </w:style>
  <w:style w:type="paragraph" w:customStyle="1" w:styleId="28">
    <w:name w:val="111111正文"/>
    <w:basedOn w:val="1"/>
    <w:link w:val="27"/>
    <w:qFormat/>
    <w:uiPriority w:val="0"/>
    <w:pPr>
      <w:spacing w:line="360" w:lineRule="auto"/>
      <w:ind w:firstLine="200" w:firstLineChars="200"/>
    </w:pPr>
    <w:rPr>
      <w:sz w:val="24"/>
    </w:rPr>
  </w:style>
  <w:style w:type="character" w:customStyle="1" w:styleId="29">
    <w:name w:val="报告书正文 Char"/>
    <w:link w:val="30"/>
    <w:qFormat/>
    <w:uiPriority w:val="0"/>
    <w:rPr>
      <w:rFonts w:eastAsia="仿宋_GB2312"/>
      <w:kern w:val="2"/>
      <w:sz w:val="24"/>
      <w:szCs w:val="24"/>
      <w:lang w:val="en-US" w:eastAsia="zh-CN" w:bidi="ar-SA"/>
    </w:rPr>
  </w:style>
  <w:style w:type="paragraph" w:customStyle="1" w:styleId="30">
    <w:name w:val="报告书正文"/>
    <w:basedOn w:val="1"/>
    <w:next w:val="1"/>
    <w:link w:val="29"/>
    <w:qFormat/>
    <w:uiPriority w:val="0"/>
    <w:pPr>
      <w:spacing w:line="360" w:lineRule="auto"/>
      <w:ind w:firstLine="200" w:firstLineChars="200"/>
    </w:pPr>
    <w:rPr>
      <w:sz w:val="24"/>
    </w:rPr>
  </w:style>
  <w:style w:type="paragraph" w:customStyle="1" w:styleId="31">
    <w:name w:val=" Char Char Char Char Char Char"/>
    <w:basedOn w:val="1"/>
    <w:qFormat/>
    <w:uiPriority w:val="0"/>
    <w:rPr>
      <w:sz w:val="24"/>
      <w:szCs w:val="24"/>
    </w:rPr>
  </w:style>
  <w:style w:type="paragraph" w:customStyle="1" w:styleId="32">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paragraph" w:customStyle="1" w:styleId="33">
    <w:name w:val="我的报告正文"/>
    <w:basedOn w:val="1"/>
    <w:qFormat/>
    <w:uiPriority w:val="0"/>
    <w:pPr>
      <w:spacing w:line="360" w:lineRule="auto"/>
      <w:jc w:val="left"/>
    </w:pPr>
    <w:rPr>
      <w:rFonts w:eastAsia="宋体"/>
      <w:color w:val="000000"/>
      <w:sz w:val="24"/>
    </w:rPr>
  </w:style>
  <w:style w:type="paragraph" w:customStyle="1" w:styleId="34">
    <w:name w:val=" Char Char Char Char Char Char Char Char Char Char Char Char Char Char Char Char Char Char1 Char Char Char Char Char Char Char Char Char Char Char Char Char Char Char Char Char Char Char"/>
    <w:basedOn w:val="1"/>
    <w:qFormat/>
    <w:uiPriority w:val="0"/>
    <w:pPr>
      <w:spacing w:line="360" w:lineRule="auto"/>
    </w:pPr>
    <w:rPr>
      <w:rFonts w:ascii="宋体" w:eastAsia="宋体" w:cs="宋体"/>
      <w:sz w:val="24"/>
      <w:lang w:bidi="ar-SA"/>
    </w:rPr>
  </w:style>
  <w:style w:type="paragraph" w:customStyle="1" w:styleId="35">
    <w:name w:val="默认段落字体 Para Char"/>
    <w:basedOn w:val="1"/>
    <w:next w:val="1"/>
    <w:qFormat/>
    <w:uiPriority w:val="0"/>
    <w:pPr>
      <w:spacing w:line="360" w:lineRule="auto"/>
    </w:pPr>
    <w:rPr>
      <w:rFonts w:eastAsia="宋体"/>
      <w:sz w:val="21"/>
      <w:szCs w:val="20"/>
    </w:rPr>
  </w:style>
  <w:style w:type="paragraph" w:customStyle="1" w:styleId="36">
    <w:name w:val="表格文字"/>
    <w:basedOn w:val="1"/>
    <w:qFormat/>
    <w:uiPriority w:val="0"/>
    <w:pPr>
      <w:snapToGrid w:val="0"/>
      <w:jc w:val="center"/>
    </w:pPr>
    <w:rPr>
      <w:szCs w:val="21"/>
    </w:rPr>
  </w:style>
  <w:style w:type="paragraph" w:customStyle="1" w:styleId="37">
    <w:name w:val=" 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lang w:bidi="ar-SA"/>
    </w:rPr>
  </w:style>
  <w:style w:type="paragraph" w:customStyle="1" w:styleId="38">
    <w:name w:val=" Char Char"/>
    <w:basedOn w:val="1"/>
    <w:next w:val="1"/>
    <w:qFormat/>
    <w:uiPriority w:val="0"/>
    <w:pPr>
      <w:keepNext/>
      <w:keepLines/>
      <w:widowControl/>
      <w:adjustRightInd w:val="0"/>
      <w:spacing w:before="360" w:after="480" w:line="360" w:lineRule="auto"/>
      <w:jc w:val="left"/>
      <w:textAlignment w:val="baseline"/>
      <w:outlineLvl w:val="1"/>
    </w:pPr>
    <w:rPr>
      <w:rFonts w:ascii="宋体" w:eastAsia="宋体" w:cs="宋体"/>
      <w:b/>
      <w:bCs/>
      <w:kern w:val="0"/>
      <w:sz w:val="30"/>
      <w:szCs w:val="28"/>
      <w:lang w:bidi="ar-SA"/>
    </w:rPr>
  </w:style>
  <w:style w:type="paragraph" w:customStyle="1" w:styleId="39">
    <w:name w:val="0正文"/>
    <w:qFormat/>
    <w:uiPriority w:val="0"/>
    <w:pPr>
      <w:widowControl w:val="0"/>
      <w:spacing w:line="360" w:lineRule="auto"/>
      <w:ind w:firstLine="200" w:firstLineChars="200"/>
    </w:pPr>
    <w:rPr>
      <w:rFonts w:ascii="Times New Roman" w:hAnsi="Times New Roman" w:eastAsia="仿宋" w:cs="Times New Roman"/>
      <w:sz w:val="30"/>
      <w:szCs w:val="22"/>
      <w:lang w:val="en-US" w:eastAsia="zh-CN" w:bidi="ar-SA"/>
    </w:rPr>
  </w:style>
  <w:style w:type="paragraph" w:customStyle="1" w:styleId="40">
    <w:name w:val="Char Char Char Char Char Char Char"/>
    <w:basedOn w:val="1"/>
    <w:next w:val="1"/>
    <w:semiHidden/>
    <w:qFormat/>
    <w:uiPriority w:val="0"/>
    <w:pPr>
      <w:spacing w:line="360" w:lineRule="auto"/>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2168</Words>
  <Characters>2344</Characters>
  <Lines>15</Lines>
  <Paragraphs>4</Paragraphs>
  <TotalTime>1120</TotalTime>
  <ScaleCrop>false</ScaleCrop>
  <LinksUpToDate>false</LinksUpToDate>
  <CharactersWithSpaces>2406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2019-11-19T01:24:00Z</dcterms:created>
  <dc:creator>微软用户</dc:creator>
  <cp:lastModifiedBy>ℑaγ花凉</cp:lastModifiedBy>
  <cp:lastPrinted>2026-05-20T09:39:00Z</cp:lastPrinted>
  <dcterms:modified xsi:type="dcterms:W3CDTF">2026-05-20T07:56:23Z</dcterms:modified>
  <dc:title>鄂环监字〔2009〕号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11DCA5FDCF774A6D97205FA0FA3ED85F_13</vt:lpwstr>
  </property>
</Properties>
</file>