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BE1015">
      <w:pPr>
        <w:spacing w:line="600" w:lineRule="exact"/>
        <w:ind w:firstLine="0" w:firstLineChars="0"/>
        <w:jc w:val="center"/>
      </w:pPr>
    </w:p>
    <w:p w14:paraId="231FBB2F">
      <w:pPr>
        <w:spacing w:line="600" w:lineRule="exact"/>
        <w:ind w:firstLine="0" w:firstLineChars="0"/>
        <w:jc w:val="center"/>
      </w:pPr>
    </w:p>
    <w:p w14:paraId="0C41C921">
      <w:pPr>
        <w:spacing w:line="600" w:lineRule="exact"/>
        <w:ind w:firstLine="0" w:firstLineChars="0"/>
        <w:jc w:val="center"/>
      </w:pPr>
    </w:p>
    <w:p w14:paraId="0FD2D412">
      <w:pPr>
        <w:spacing w:line="600" w:lineRule="exact"/>
        <w:ind w:firstLine="0" w:firstLineChars="0"/>
        <w:jc w:val="center"/>
      </w:pPr>
    </w:p>
    <w:p w14:paraId="03670272">
      <w:pPr>
        <w:spacing w:line="600" w:lineRule="exact"/>
        <w:ind w:firstLine="0" w:firstLineChars="0"/>
        <w:jc w:val="center"/>
      </w:pPr>
    </w:p>
    <w:p w14:paraId="1B532695">
      <w:pPr>
        <w:spacing w:line="600" w:lineRule="exact"/>
        <w:ind w:firstLine="0" w:firstLineChars="0"/>
        <w:jc w:val="center"/>
      </w:pPr>
    </w:p>
    <w:p w14:paraId="78474A63">
      <w:pPr>
        <w:spacing w:line="600" w:lineRule="exact"/>
        <w:ind w:firstLine="0" w:firstLineChars="0"/>
        <w:jc w:val="center"/>
      </w:pPr>
    </w:p>
    <w:p w14:paraId="4403A544">
      <w:pPr>
        <w:pStyle w:val="3"/>
        <w:ind w:left="640" w:firstLine="400"/>
      </w:pPr>
    </w:p>
    <w:p w14:paraId="2279CB76">
      <w:pPr>
        <w:spacing w:line="600" w:lineRule="exact"/>
        <w:ind w:firstLine="0" w:firstLineChars="0"/>
        <w:jc w:val="center"/>
      </w:pPr>
    </w:p>
    <w:p w14:paraId="260F742E">
      <w:pPr>
        <w:spacing w:line="560" w:lineRule="exact"/>
        <w:ind w:firstLine="0" w:firstLineChars="0"/>
        <w:jc w:val="center"/>
      </w:pPr>
    </w:p>
    <w:p w14:paraId="2ADD5689">
      <w:pPr>
        <w:spacing w:line="560" w:lineRule="exact"/>
        <w:ind w:firstLine="0" w:firstLineChars="0"/>
        <w:jc w:val="center"/>
      </w:pPr>
      <w:r>
        <w:t>鄂环审字〔202</w:t>
      </w:r>
      <w:r>
        <w:rPr>
          <w:rFonts w:hint="eastAsia"/>
          <w:lang w:val="en-US" w:eastAsia="zh-CN"/>
        </w:rPr>
        <w:t>6</w:t>
      </w:r>
      <w:r>
        <w:t>〕</w:t>
      </w:r>
      <w:r>
        <w:rPr>
          <w:rFonts w:hint="eastAsia"/>
          <w:lang w:val="en-US" w:eastAsia="zh-CN"/>
        </w:rPr>
        <w:t>39</w:t>
      </w:r>
      <w:r>
        <w:t>号</w:t>
      </w:r>
    </w:p>
    <w:p w14:paraId="4E2007AA">
      <w:pPr>
        <w:spacing w:line="560" w:lineRule="exact"/>
        <w:ind w:firstLine="0" w:firstLineChars="0"/>
        <w:jc w:val="center"/>
      </w:pPr>
    </w:p>
    <w:p w14:paraId="4C7199E9">
      <w:pPr>
        <w:spacing w:line="540" w:lineRule="exact"/>
        <w:ind w:firstLine="0" w:firstLineChars="0"/>
        <w:jc w:val="center"/>
        <w:rPr>
          <w:rFonts w:hint="eastAsia" w:asciiTheme="majorEastAsia" w:hAnsiTheme="majorEastAsia" w:eastAsiaTheme="majorEastAsia" w:cstheme="majorEastAsia"/>
          <w:b/>
          <w:bCs w:val="0"/>
          <w:sz w:val="44"/>
          <w:szCs w:val="44"/>
        </w:rPr>
      </w:pPr>
      <w:r>
        <w:rPr>
          <w:rFonts w:hint="eastAsia" w:asciiTheme="majorEastAsia" w:hAnsiTheme="majorEastAsia" w:eastAsiaTheme="majorEastAsia" w:cstheme="majorEastAsia"/>
          <w:b/>
          <w:bCs w:val="0"/>
          <w:sz w:val="44"/>
          <w:szCs w:val="44"/>
        </w:rPr>
        <w:t>鄂尔多斯市生态环境局关于内蒙古氢电科技有限公司达拉特旗电网侧（增量配网）独立储能示范项目环境影响报告书的批复</w:t>
      </w:r>
    </w:p>
    <w:p w14:paraId="4C23E708">
      <w:pPr>
        <w:spacing w:line="520" w:lineRule="exact"/>
        <w:ind w:firstLine="0" w:firstLineChars="0"/>
        <w:jc w:val="center"/>
        <w:rPr>
          <w:szCs w:val="32"/>
        </w:rPr>
      </w:pPr>
    </w:p>
    <w:p w14:paraId="28C86828">
      <w:pPr>
        <w:adjustRightInd w:val="0"/>
        <w:snapToGrid w:val="0"/>
        <w:spacing w:line="580" w:lineRule="exact"/>
        <w:ind w:firstLine="0" w:firstLineChars="0"/>
        <w:rPr>
          <w:rFonts w:hint="eastAsia" w:ascii="仿宋" w:hAnsi="仿宋" w:eastAsia="仿宋" w:cs="仿宋"/>
          <w:sz w:val="32"/>
          <w:szCs w:val="32"/>
          <w:highlight w:val="yellow"/>
        </w:rPr>
      </w:pPr>
      <w:r>
        <w:rPr>
          <w:rFonts w:hint="eastAsia" w:ascii="仿宋" w:hAnsi="仿宋" w:eastAsia="仿宋" w:cs="仿宋"/>
          <w:sz w:val="32"/>
          <w:szCs w:val="32"/>
        </w:rPr>
        <w:t>内蒙古氢电科技有限公司</w:t>
      </w:r>
      <w:r>
        <w:rPr>
          <w:rFonts w:hint="eastAsia" w:ascii="仿宋" w:hAnsi="仿宋" w:eastAsia="仿宋" w:cs="仿宋"/>
          <w:sz w:val="32"/>
          <w:szCs w:val="32"/>
          <w:highlight w:val="none"/>
        </w:rPr>
        <w:t>：</w:t>
      </w:r>
    </w:p>
    <w:p w14:paraId="6B96CE67">
      <w:pPr>
        <w:pStyle w:val="2"/>
        <w:adjustRightInd w:val="0"/>
        <w:snapToGrid w:val="0"/>
        <w:spacing w:line="580" w:lineRule="exact"/>
        <w:ind w:firstLine="640"/>
        <w:rPr>
          <w:rFonts w:hint="eastAsia" w:ascii="仿宋" w:hAnsi="仿宋" w:eastAsia="仿宋" w:cs="仿宋"/>
          <w:sz w:val="32"/>
          <w:szCs w:val="32"/>
        </w:rPr>
      </w:pPr>
      <w:r>
        <w:rPr>
          <w:rFonts w:hint="eastAsia" w:ascii="仿宋" w:hAnsi="仿宋" w:eastAsia="仿宋" w:cs="仿宋"/>
          <w:sz w:val="32"/>
          <w:szCs w:val="32"/>
        </w:rPr>
        <w:t>你公司报送的由</w:t>
      </w:r>
      <w:r>
        <w:rPr>
          <w:rFonts w:hint="eastAsia" w:ascii="仿宋" w:hAnsi="仿宋" w:eastAsia="仿宋" w:cs="仿宋"/>
          <w:b w:val="0"/>
          <w:bCs w:val="0"/>
          <w:color w:val="000000" w:themeColor="text1"/>
          <w:sz w:val="32"/>
          <w:szCs w:val="32"/>
          <w:lang w:eastAsia="zh-CN"/>
          <w14:textFill>
            <w14:solidFill>
              <w14:schemeClr w14:val="tx1"/>
            </w14:solidFill>
          </w14:textFill>
        </w:rPr>
        <w:t>内蒙古城矿环保科技有限公司</w:t>
      </w:r>
      <w:r>
        <w:rPr>
          <w:rFonts w:hint="eastAsia" w:ascii="仿宋" w:hAnsi="仿宋" w:eastAsia="仿宋" w:cs="仿宋"/>
          <w:sz w:val="32"/>
          <w:szCs w:val="32"/>
        </w:rPr>
        <w:t>编制的《内蒙古氢电科技有限公司达拉特旗电网侧（增量配网）独立储能示范项目环境影响报告书》（以下简称《报告书》）收悉。鄂尔多斯市生态环境局综合保障中心组织专家对该项目进行了技术评估，并形成了该项目的技术评估报告。根据《报告书》和《技术评估报告》，经研究，现批复如下：</w:t>
      </w:r>
    </w:p>
    <w:p w14:paraId="4AD9D088">
      <w:pPr>
        <w:pStyle w:val="48"/>
        <w:numPr>
          <w:ilvl w:val="0"/>
          <w:numId w:val="2"/>
        </w:numPr>
        <w:spacing w:beforeLines="0" w:afterLines="0" w:line="600" w:lineRule="exact"/>
        <w:ind w:firstLine="640"/>
        <w:rPr>
          <w:rFonts w:hint="eastAsia" w:ascii="仿宋" w:hAnsi="仿宋" w:eastAsia="仿宋" w:cs="仿宋"/>
          <w:sz w:val="32"/>
          <w:szCs w:val="32"/>
        </w:rPr>
      </w:pPr>
      <w:r>
        <w:rPr>
          <w:rFonts w:hint="eastAsia" w:ascii="仿宋" w:hAnsi="仿宋" w:eastAsia="仿宋" w:cs="仿宋"/>
          <w:sz w:val="32"/>
          <w:szCs w:val="32"/>
          <w:lang w:val="en-US" w:eastAsia="zh-CN"/>
        </w:rPr>
        <w:t>内蒙古氢电科技有限公司达拉特旗电网（增量配网）独立储能示范项目（以下简称本项目）</w:t>
      </w:r>
      <w:r>
        <w:rPr>
          <w:rFonts w:hint="eastAsia" w:ascii="仿宋" w:hAnsi="仿宋" w:eastAsia="仿宋" w:cs="仿宋"/>
          <w:sz w:val="32"/>
          <w:szCs w:val="32"/>
          <w:lang w:val="zh-CN"/>
        </w:rPr>
        <w:t>位于鄂尔多斯市达拉特旗达拉特经济开发区纬七路与经三路交叉口润能5号站北东处</w:t>
      </w:r>
      <w:r>
        <w:rPr>
          <w:rFonts w:hint="eastAsia" w:ascii="仿宋" w:hAnsi="仿宋" w:eastAsia="仿宋" w:cs="仿宋"/>
          <w:sz w:val="32"/>
          <w:szCs w:val="32"/>
        </w:rPr>
        <w:t>，</w:t>
      </w:r>
      <w:bookmarkStart w:id="0" w:name="_GoBack"/>
      <w:r>
        <w:rPr>
          <w:rFonts w:hint="eastAsia" w:ascii="仿宋" w:hAnsi="仿宋" w:eastAsia="仿宋" w:cs="仿宋"/>
          <w:sz w:val="32"/>
          <w:szCs w:val="32"/>
        </w:rPr>
        <w:t>本项目为氢储能项目，</w:t>
      </w:r>
      <w:r>
        <w:rPr>
          <w:rFonts w:hint="eastAsia" w:ascii="仿宋" w:hAnsi="仿宋" w:eastAsia="仿宋" w:cs="仿宋"/>
          <w:color w:val="000000" w:themeColor="text1"/>
          <w:sz w:val="32"/>
          <w:szCs w:val="32"/>
          <w:lang w:val="en-US" w:eastAsia="zh-CN"/>
          <w14:textFill>
            <w14:solidFill>
              <w14:schemeClr w14:val="tx1"/>
            </w14:solidFill>
          </w14:textFill>
        </w:rPr>
        <w:t>占地面积42.0596亩（约2.8公顷）,</w:t>
      </w:r>
      <w:r>
        <w:rPr>
          <w:rFonts w:hint="eastAsia" w:ascii="仿宋" w:hAnsi="仿宋" w:eastAsia="仿宋" w:cs="仿宋"/>
          <w:sz w:val="32"/>
          <w:szCs w:val="32"/>
        </w:rPr>
        <w:t>配套氢燃料电池系统，储能总容量为2MW/4MWh,采用纯氢储能方案。氢储能系统包含了电解水制氢、储能和氢燃料电池三个部分，配置12套1000方碱性电解槽，2套1MW氢燃料电池发电系统组成，90000标方储氢系统。</w:t>
      </w:r>
      <w:r>
        <w:rPr>
          <w:rFonts w:hint="eastAsia" w:ascii="仿宋" w:hAnsi="仿宋" w:eastAsia="仿宋" w:cs="仿宋"/>
          <w:sz w:val="32"/>
          <w:szCs w:val="32"/>
          <w:lang w:eastAsia="zh-CN"/>
        </w:rPr>
        <w:t>主要</w:t>
      </w:r>
      <w:r>
        <w:rPr>
          <w:rFonts w:hint="eastAsia" w:ascii="仿宋" w:hAnsi="仿宋" w:eastAsia="仿宋" w:cs="仿宋"/>
          <w:sz w:val="32"/>
          <w:szCs w:val="32"/>
        </w:rPr>
        <w:t>建设</w:t>
      </w:r>
      <w:r>
        <w:rPr>
          <w:rFonts w:hint="eastAsia" w:ascii="仿宋" w:hAnsi="仿宋" w:eastAsia="仿宋" w:cs="仿宋"/>
          <w:sz w:val="32"/>
          <w:szCs w:val="32"/>
          <w:lang w:eastAsia="zh-CN"/>
        </w:rPr>
        <w:t>内容包括</w:t>
      </w:r>
      <w:r>
        <w:rPr>
          <w:rFonts w:hint="eastAsia" w:ascii="仿宋" w:hAnsi="仿宋" w:eastAsia="仿宋" w:cs="仿宋"/>
          <w:sz w:val="32"/>
          <w:szCs w:val="32"/>
        </w:rPr>
        <w:t>1座制氢能力12000Nm³/h的氢工艺楼</w:t>
      </w:r>
      <w:r>
        <w:rPr>
          <w:rFonts w:hint="eastAsia" w:ascii="仿宋" w:hAnsi="仿宋" w:eastAsia="仿宋" w:cs="仿宋"/>
          <w:sz w:val="32"/>
          <w:szCs w:val="32"/>
          <w:lang w:eastAsia="zh-CN"/>
        </w:rPr>
        <w:t>、水处理楼、公用工程间、冷却塔、储罐区、</w:t>
      </w:r>
      <w:r>
        <w:rPr>
          <w:rFonts w:hint="eastAsia" w:ascii="仿宋" w:hAnsi="仿宋" w:eastAsia="仿宋" w:cs="仿宋"/>
          <w:sz w:val="32"/>
          <w:szCs w:val="32"/>
          <w:lang w:val="en-US" w:eastAsia="zh-CN"/>
        </w:rPr>
        <w:t>6座整流变压器、</w:t>
      </w:r>
      <w:r>
        <w:rPr>
          <w:rFonts w:hint="eastAsia" w:ascii="仿宋" w:hAnsi="仿宋" w:eastAsia="仿宋" w:cs="仿宋"/>
          <w:sz w:val="32"/>
          <w:szCs w:val="32"/>
          <w:lang w:eastAsia="zh-CN"/>
        </w:rPr>
        <w:t>事故油池、固废暂存间、危废暂存间等</w:t>
      </w:r>
      <w:r>
        <w:rPr>
          <w:rFonts w:hint="eastAsia" w:ascii="仿宋" w:hAnsi="仿宋" w:eastAsia="仿宋" w:cs="仿宋"/>
          <w:sz w:val="32"/>
          <w:szCs w:val="32"/>
        </w:rPr>
        <w:t>配套公辅</w:t>
      </w:r>
      <w:r>
        <w:rPr>
          <w:rFonts w:hint="eastAsia" w:ascii="仿宋" w:hAnsi="仿宋" w:eastAsia="仿宋" w:cs="仿宋"/>
          <w:sz w:val="32"/>
          <w:szCs w:val="32"/>
          <w:lang w:eastAsia="zh-CN"/>
        </w:rPr>
        <w:t>、环保</w:t>
      </w:r>
      <w:r>
        <w:rPr>
          <w:rFonts w:hint="eastAsia" w:ascii="仿宋" w:hAnsi="仿宋" w:eastAsia="仿宋" w:cs="仿宋"/>
          <w:sz w:val="32"/>
          <w:szCs w:val="32"/>
        </w:rPr>
        <w:t>设施。</w:t>
      </w:r>
    </w:p>
    <w:bookmarkEnd w:id="0"/>
    <w:p w14:paraId="77F3C498">
      <w:pPr>
        <w:adjustRightInd w:val="0"/>
        <w:snapToGrid w:val="0"/>
        <w:spacing w:line="580" w:lineRule="exact"/>
        <w:ind w:firstLine="640"/>
        <w:rPr>
          <w:rFonts w:hint="eastAsia" w:ascii="仿宋" w:hAnsi="仿宋" w:eastAsia="仿宋" w:cs="仿宋"/>
          <w:sz w:val="32"/>
          <w:szCs w:val="32"/>
        </w:rPr>
      </w:pPr>
      <w:r>
        <w:rPr>
          <w:rFonts w:hint="eastAsia" w:ascii="仿宋" w:hAnsi="仿宋" w:eastAsia="仿宋" w:cs="仿宋"/>
          <w:sz w:val="32"/>
          <w:szCs w:val="32"/>
        </w:rPr>
        <w:t>《报告书》和《技术评估报告》认为，在全面落实各项生态环境保护措施的前提下，项目建设对环境的不利影响能够得到一定的缓解和控制。因此，我局原则同意你单位按照《报告书》所列的建设项目性质、规模、地点、工艺、生态环境保护措施进行建设。</w:t>
      </w:r>
    </w:p>
    <w:p w14:paraId="48776596">
      <w:pPr>
        <w:numPr>
          <w:ilvl w:val="0"/>
          <w:numId w:val="3"/>
        </w:numPr>
        <w:adjustRightInd w:val="0"/>
        <w:snapToGrid w:val="0"/>
        <w:spacing w:line="580" w:lineRule="exact"/>
        <w:ind w:firstLine="640"/>
        <w:rPr>
          <w:rFonts w:hint="eastAsia" w:ascii="仿宋" w:hAnsi="仿宋" w:eastAsia="仿宋" w:cs="仿宋"/>
          <w:sz w:val="32"/>
          <w:szCs w:val="32"/>
        </w:rPr>
      </w:pPr>
      <w:r>
        <w:rPr>
          <w:rFonts w:hint="eastAsia" w:ascii="仿宋" w:hAnsi="仿宋" w:eastAsia="仿宋" w:cs="仿宋"/>
          <w:sz w:val="32"/>
          <w:szCs w:val="32"/>
        </w:rPr>
        <w:t>项目建设与运行管理中应重点做好的工作：</w:t>
      </w:r>
    </w:p>
    <w:p w14:paraId="7A24AFF0">
      <w:pPr>
        <w:numPr>
          <w:ilvl w:val="0"/>
          <w:numId w:val="4"/>
        </w:numPr>
        <w:adjustRightInd w:val="0"/>
        <w:snapToGrid w:val="0"/>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加强施工期环境管理。施工单位在土石方开挖及设备安装过程中应严格按照设计要求施工，施工场地四周须建立围挡，定期进行洒水和清扫</w:t>
      </w:r>
      <w:r>
        <w:rPr>
          <w:rFonts w:hint="eastAsia" w:ascii="仿宋" w:hAnsi="仿宋" w:eastAsia="仿宋" w:cs="仿宋"/>
          <w:sz w:val="32"/>
          <w:szCs w:val="32"/>
          <w:lang w:eastAsia="zh-CN"/>
        </w:rPr>
        <w:t>，施工期颗粒物无组织排放满足《大气污染物综合排放标准》（GB16297-1996）表2 中无组织排放监控浓度限值。</w:t>
      </w:r>
      <w:r>
        <w:rPr>
          <w:rFonts w:hint="eastAsia" w:ascii="仿宋" w:hAnsi="仿宋" w:eastAsia="仿宋" w:cs="仿宋"/>
          <w:sz w:val="32"/>
          <w:szCs w:val="32"/>
        </w:rPr>
        <w:t>合理安排施工作业时间，选用低噪声机械设备或带隔声、消声的设备</w:t>
      </w:r>
      <w:r>
        <w:rPr>
          <w:rFonts w:hint="eastAsia" w:ascii="仿宋" w:hAnsi="仿宋" w:eastAsia="仿宋" w:cs="仿宋"/>
          <w:sz w:val="32"/>
          <w:szCs w:val="32"/>
          <w:lang w:eastAsia="zh-CN"/>
        </w:rPr>
        <w:t>，</w:t>
      </w:r>
      <w:r>
        <w:rPr>
          <w:rFonts w:hint="eastAsia" w:ascii="仿宋" w:hAnsi="仿宋" w:eastAsia="仿宋" w:cs="仿宋"/>
          <w:color w:val="000000" w:themeColor="text1"/>
          <w:sz w:val="32"/>
          <w:szCs w:val="32"/>
          <w:highlight w:val="none"/>
          <w14:textFill>
            <w14:solidFill>
              <w14:schemeClr w14:val="tx1"/>
            </w14:solidFill>
          </w14:textFill>
        </w:rPr>
        <w:t>施工期</w:t>
      </w:r>
      <w:r>
        <w:rPr>
          <w:rFonts w:hint="eastAsia" w:ascii="仿宋" w:hAnsi="仿宋" w:eastAsia="仿宋" w:cs="仿宋"/>
          <w:color w:val="000000" w:themeColor="text1"/>
          <w:sz w:val="32"/>
          <w:szCs w:val="32"/>
          <w:highlight w:val="none"/>
          <w:lang w:eastAsia="zh-CN"/>
          <w14:textFill>
            <w14:solidFill>
              <w14:schemeClr w14:val="tx1"/>
            </w14:solidFill>
          </w14:textFill>
        </w:rPr>
        <w:t>厂界</w:t>
      </w:r>
      <w:r>
        <w:rPr>
          <w:rFonts w:hint="eastAsia" w:ascii="仿宋" w:hAnsi="仿宋" w:eastAsia="仿宋" w:cs="仿宋"/>
          <w:color w:val="000000" w:themeColor="text1"/>
          <w:sz w:val="32"/>
          <w:szCs w:val="32"/>
          <w:highlight w:val="none"/>
          <w14:textFill>
            <w14:solidFill>
              <w14:schemeClr w14:val="tx1"/>
            </w14:solidFill>
          </w14:textFill>
        </w:rPr>
        <w:t>噪声满足《建筑施工噪声排放标准》（GB 12523-2025）</w:t>
      </w:r>
      <w:r>
        <w:rPr>
          <w:rFonts w:hint="eastAsia" w:ascii="仿宋" w:hAnsi="仿宋" w:eastAsia="仿宋" w:cs="仿宋"/>
          <w:color w:val="000000" w:themeColor="text1"/>
          <w:sz w:val="32"/>
          <w:szCs w:val="32"/>
          <w:highlight w:val="none"/>
          <w:lang w:val="en-US" w:eastAsia="zh-CN"/>
          <w14:textFill>
            <w14:solidFill>
              <w14:schemeClr w14:val="tx1"/>
            </w14:solidFill>
          </w14:textFill>
        </w:rPr>
        <w:t>中相应限值要求</w:t>
      </w:r>
      <w:r>
        <w:rPr>
          <w:rFonts w:hint="eastAsia" w:ascii="仿宋" w:hAnsi="仿宋" w:eastAsia="仿宋" w:cs="仿宋"/>
          <w:sz w:val="32"/>
          <w:szCs w:val="32"/>
          <w:lang w:eastAsia="zh-CN"/>
        </w:rPr>
        <w:t>。</w:t>
      </w:r>
      <w:r>
        <w:rPr>
          <w:rFonts w:hint="eastAsia" w:ascii="仿宋" w:hAnsi="仿宋" w:eastAsia="仿宋" w:cs="仿宋"/>
          <w:b w:val="0"/>
          <w:bCs w:val="0"/>
          <w:color w:val="000000" w:themeColor="text1"/>
          <w:sz w:val="32"/>
          <w:szCs w:val="32"/>
          <w:lang w:val="en-US" w:eastAsia="zh-CN"/>
          <w14:textFill>
            <w14:solidFill>
              <w14:schemeClr w14:val="tx1"/>
            </w14:solidFill>
          </w14:textFill>
        </w:rPr>
        <w:t>施工废水经临时沉淀池沉淀处理后回用，</w:t>
      </w:r>
      <w:r>
        <w:rPr>
          <w:rFonts w:hint="eastAsia" w:ascii="仿宋" w:hAnsi="仿宋" w:eastAsia="仿宋" w:cs="仿宋"/>
          <w:b w:val="0"/>
          <w:bCs w:val="0"/>
          <w:color w:val="000000" w:themeColor="text1"/>
          <w:sz w:val="32"/>
          <w:szCs w:val="32"/>
          <w14:textFill>
            <w14:solidFill>
              <w14:schemeClr w14:val="tx1"/>
            </w14:solidFill>
          </w14:textFill>
        </w:rPr>
        <w:t>生活污水</w:t>
      </w:r>
      <w:r>
        <w:rPr>
          <w:rFonts w:hint="eastAsia" w:ascii="仿宋" w:hAnsi="仿宋" w:eastAsia="仿宋" w:cs="仿宋"/>
          <w:bCs/>
          <w:color w:val="000000" w:themeColor="text1"/>
          <w:kern w:val="0"/>
          <w:sz w:val="32"/>
          <w:szCs w:val="32"/>
          <w:lang w:val="en-US" w:eastAsia="zh-CN" w:bidi="ar-SA"/>
          <w14:textFill>
            <w14:solidFill>
              <w14:schemeClr w14:val="tx1"/>
            </w14:solidFill>
          </w14:textFill>
        </w:rPr>
        <w:t>经化粪池收集后，拉运至当地污水处理厂处理</w:t>
      </w:r>
      <w:r>
        <w:rPr>
          <w:rFonts w:hint="eastAsia" w:ascii="仿宋" w:hAnsi="仿宋" w:eastAsia="仿宋" w:cs="仿宋"/>
          <w:color w:val="000000" w:themeColor="text1"/>
          <w:kern w:val="2"/>
          <w:sz w:val="32"/>
          <w:szCs w:val="32"/>
          <w:lang w:val="en-US" w:eastAsia="zh-CN"/>
          <w14:textFill>
            <w14:solidFill>
              <w14:schemeClr w14:val="tx1"/>
            </w14:solidFill>
          </w14:textFill>
        </w:rPr>
        <w:t>。</w:t>
      </w:r>
    </w:p>
    <w:p w14:paraId="6D45EAF4">
      <w:pPr>
        <w:spacing w:beforeLines="0" w:afterLines="0" w:line="610" w:lineRule="exact"/>
        <w:ind w:left="0" w:leftChars="0" w:firstLine="0" w:firstLineChars="0"/>
        <w:rPr>
          <w:rFonts w:hint="eastAsia" w:ascii="仿宋" w:hAnsi="仿宋" w:eastAsia="仿宋" w:cs="仿宋"/>
          <w:color w:val="000000" w:themeColor="text1"/>
          <w:sz w:val="32"/>
          <w:szCs w:val="32"/>
          <w:lang w:eastAsia="zh-CN"/>
          <w14:textFill>
            <w14:solidFill>
              <w14:schemeClr w14:val="tx1"/>
            </w14:solidFill>
          </w14:textFill>
        </w:rPr>
      </w:pPr>
      <w:r>
        <w:rPr>
          <w:rFonts w:hint="eastAsia" w:ascii="仿宋" w:hAnsi="仿宋" w:eastAsia="仿宋" w:cs="仿宋"/>
          <w:color w:val="000000" w:themeColor="text1"/>
          <w:sz w:val="32"/>
          <w:szCs w:val="32"/>
          <w:lang w:eastAsia="zh-CN"/>
          <w14:textFill>
            <w14:solidFill>
              <w14:schemeClr w14:val="tx1"/>
            </w14:solidFill>
          </w14:textFill>
        </w:rPr>
        <w:t>建筑垃圾中可回收利用的分类收集回收利用，不能回用的及时清运至建筑垃圾填埋场处置；生活垃圾集中、分类收集后，交由环卫部门统一处置。</w:t>
      </w:r>
    </w:p>
    <w:p w14:paraId="54F942FD">
      <w:pPr>
        <w:pStyle w:val="2"/>
        <w:numPr>
          <w:ilvl w:val="0"/>
          <w:numId w:val="0"/>
        </w:numPr>
        <w:spacing w:line="580" w:lineRule="exact"/>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（二）</w:t>
      </w:r>
      <w:r>
        <w:rPr>
          <w:rFonts w:hint="eastAsia" w:ascii="仿宋" w:hAnsi="仿宋" w:eastAsia="仿宋" w:cs="仿宋"/>
          <w:color w:val="000000"/>
          <w:sz w:val="32"/>
          <w:szCs w:val="32"/>
        </w:rPr>
        <w:t>严格落实各项水污染防治措施。</w:t>
      </w:r>
      <w:r>
        <w:rPr>
          <w:rFonts w:hint="eastAsia" w:ascii="仿宋" w:hAnsi="仿宋" w:eastAsia="仿宋" w:cs="仿宋"/>
          <w:sz w:val="32"/>
          <w:szCs w:val="32"/>
        </w:rPr>
        <w:t>按照“雨污分流、清污分流、分质处理、回收利用”的原则，</w:t>
      </w:r>
      <w:r>
        <w:rPr>
          <w:rFonts w:hint="eastAsia" w:ascii="仿宋" w:hAnsi="仿宋" w:eastAsia="仿宋" w:cs="仿宋"/>
          <w:color w:val="000000" w:themeColor="text1"/>
          <w:sz w:val="32"/>
          <w:szCs w:val="32"/>
          <w14:textFill>
            <w14:solidFill>
              <w14:schemeClr w14:val="tx1"/>
            </w14:solidFill>
          </w14:textFill>
        </w:rPr>
        <w:t>纯水制备产生的废水作为冷却水排入循环系统使用，项目生活污水经化粪池处理后与循环冷却系统排水一同排入园区污水管网</w:t>
      </w:r>
      <w:r>
        <w:rPr>
          <w:rFonts w:hint="eastAsia" w:ascii="仿宋" w:hAnsi="仿宋" w:eastAsia="仿宋" w:cs="仿宋"/>
          <w:color w:val="000000" w:themeColor="text1"/>
          <w:sz w:val="32"/>
          <w:szCs w:val="32"/>
          <w:lang w:eastAsia="zh-CN"/>
          <w14:textFill>
            <w14:solidFill>
              <w14:schemeClr w14:val="tx1"/>
            </w14:solidFill>
          </w14:textFill>
        </w:rPr>
        <w:t>由园区污水处理厂处理</w:t>
      </w:r>
      <w:r>
        <w:rPr>
          <w:rFonts w:hint="eastAsia" w:ascii="仿宋" w:hAnsi="仿宋" w:eastAsia="仿宋" w:cs="仿宋"/>
          <w:color w:val="000000" w:themeColor="text1"/>
          <w:sz w:val="32"/>
          <w:szCs w:val="32"/>
          <w:lang w:val="en-US" w:eastAsia="zh-CN"/>
          <w14:textFill>
            <w14:solidFill>
              <w14:schemeClr w14:val="tx1"/>
            </w14:solidFill>
          </w14:textFill>
        </w:rPr>
        <w:t>。</w:t>
      </w:r>
    </w:p>
    <w:p w14:paraId="1C1EFFF3">
      <w:pPr>
        <w:pStyle w:val="2"/>
        <w:numPr>
          <w:ilvl w:val="0"/>
          <w:numId w:val="0"/>
        </w:numPr>
        <w:spacing w:line="580" w:lineRule="exact"/>
        <w:ind w:firstLine="640" w:firstLineChars="200"/>
        <w:rPr>
          <w:rFonts w:hint="eastAsia" w:ascii="仿宋" w:hAnsi="仿宋" w:eastAsia="仿宋" w:cs="仿宋"/>
          <w:sz w:val="32"/>
          <w:szCs w:val="32"/>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三</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严格落实声环境保护措施。</w:t>
      </w:r>
      <w:r>
        <w:rPr>
          <w:rFonts w:hint="eastAsia" w:ascii="仿宋" w:hAnsi="仿宋" w:eastAsia="仿宋" w:cs="仿宋"/>
          <w:sz w:val="32"/>
          <w:szCs w:val="32"/>
        </w:rPr>
        <w:t>通过选用低噪声设备，合理布局，基础减振和厂房隔声等措施，确保运营期厂界噪声可满足《工业企业厂界环境噪声排放标准》（GB12348-2008）中的3类标准限值。</w:t>
      </w:r>
    </w:p>
    <w:p w14:paraId="68A2857E">
      <w:pPr>
        <w:numPr>
          <w:ilvl w:val="0"/>
          <w:numId w:val="0"/>
        </w:numPr>
        <w:adjustRightInd w:val="0"/>
        <w:snapToGrid w:val="0"/>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四</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地下水和土壤污染防治措施。严格按照《环境影响评价技术导则 地下水》（HJ 610-2016）、《环境影响评价技术导则 土壤环境（试行）》（HJ 964-2018）及《地下水环境监测</w:t>
      </w:r>
      <w:r>
        <w:rPr>
          <w:rFonts w:hint="eastAsia" w:ascii="仿宋" w:hAnsi="仿宋" w:eastAsia="仿宋" w:cs="仿宋"/>
          <w:sz w:val="32"/>
          <w:szCs w:val="32"/>
        </w:rPr>
        <w:t>技术规范》（HJ164-2020）等要求，对厂区采取分区防渗措施，建立完善的土壤和地下水监测制度，</w:t>
      </w:r>
      <w:r>
        <w:rPr>
          <w:rFonts w:hint="eastAsia" w:ascii="仿宋" w:hAnsi="仿宋" w:eastAsia="仿宋" w:cs="仿宋"/>
          <w:kern w:val="0"/>
          <w:szCs w:val="32"/>
        </w:rPr>
        <w:t>定期开展土壤及地下水定期监测工作，以免造成地下水和土壤污染</w:t>
      </w:r>
      <w:r>
        <w:rPr>
          <w:rFonts w:hint="eastAsia" w:ascii="仿宋" w:hAnsi="仿宋" w:eastAsia="仿宋" w:cs="仿宋"/>
          <w:kern w:val="0"/>
          <w:szCs w:val="32"/>
          <w:lang w:eastAsia="zh-CN"/>
        </w:rPr>
        <w:t>。</w:t>
      </w:r>
    </w:p>
    <w:p w14:paraId="18699299">
      <w:pPr>
        <w:spacing w:beforeLines="0" w:afterLines="0" w:line="61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五</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严格落实固体废物污染防治措施</w:t>
      </w:r>
      <w:r>
        <w:rPr>
          <w:rFonts w:hint="eastAsia" w:ascii="仿宋" w:hAnsi="仿宋" w:eastAsia="仿宋" w:cs="仿宋"/>
          <w:color w:val="000000"/>
          <w:sz w:val="32"/>
          <w:szCs w:val="32"/>
          <w:lang w:eastAsia="zh-CN"/>
        </w:rPr>
        <w:t>。</w:t>
      </w:r>
      <w:r>
        <w:rPr>
          <w:rFonts w:hint="eastAsia" w:ascii="仿宋" w:hAnsi="仿宋" w:eastAsia="仿宋" w:cs="仿宋"/>
          <w:sz w:val="32"/>
          <w:szCs w:val="32"/>
        </w:rPr>
        <w:t>按照《一般工业固体废物贮存和填埋污染控制标准》（GB18599-2020）及《危险废物贮存污染控制标准》（GB18597-2023）要求对一般固废和危险废物进行处置</w:t>
      </w:r>
      <w:r>
        <w:rPr>
          <w:rFonts w:hint="eastAsia" w:ascii="仿宋" w:hAnsi="仿宋" w:eastAsia="仿宋" w:cs="仿宋"/>
          <w:sz w:val="32"/>
          <w:szCs w:val="32"/>
          <w:lang w:eastAsia="zh-CN"/>
        </w:rPr>
        <w:t>。</w:t>
      </w:r>
      <w:r>
        <w:rPr>
          <w:rFonts w:hint="eastAsia" w:ascii="仿宋" w:hAnsi="仿宋" w:eastAsia="仿宋" w:cs="仿宋"/>
          <w:color w:val="000000" w:themeColor="text1"/>
          <w:kern w:val="0"/>
          <w:sz w:val="32"/>
          <w:szCs w:val="32"/>
          <w14:textFill>
            <w14:solidFill>
              <w14:schemeClr w14:val="tx1"/>
            </w14:solidFill>
          </w14:textFill>
        </w:rPr>
        <w:t>纯水机原水预处理过程产生废滤料</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废RO反渗透膜（废脱盐滤膜）</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纯水机EDI系统废EDI树脂、树脂吸附系统废抛光树脂</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废质子交换膜</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废电极材料</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废脱氧催化剂</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废分子筛</w:t>
      </w:r>
      <w:r>
        <w:rPr>
          <w:rFonts w:hint="eastAsia" w:ascii="仿宋" w:hAnsi="仿宋" w:eastAsia="仿宋" w:cs="仿宋"/>
          <w:color w:val="000000" w:themeColor="text1"/>
          <w:kern w:val="0"/>
          <w:sz w:val="32"/>
          <w:szCs w:val="32"/>
          <w:lang w:eastAsia="zh-CN"/>
          <w14:textFill>
            <w14:solidFill>
              <w14:schemeClr w14:val="tx1"/>
            </w14:solidFill>
          </w14:textFill>
        </w:rPr>
        <w:t>均由</w:t>
      </w:r>
      <w:r>
        <w:rPr>
          <w:rFonts w:hint="eastAsia" w:ascii="仿宋" w:hAnsi="仿宋" w:eastAsia="仿宋" w:cs="仿宋"/>
          <w:color w:val="000000" w:themeColor="text1"/>
          <w:kern w:val="0"/>
          <w:sz w:val="32"/>
          <w:szCs w:val="32"/>
          <w14:textFill>
            <w14:solidFill>
              <w14:schemeClr w14:val="tx1"/>
            </w14:solidFill>
          </w14:textFill>
        </w:rPr>
        <w:t>由设备厂家定期更换回收，不在厂区内暂存。隔膜式氢气压缩机膜片</w:t>
      </w:r>
      <w:r>
        <w:rPr>
          <w:rFonts w:hint="eastAsia" w:ascii="仿宋" w:hAnsi="仿宋" w:eastAsia="仿宋" w:cs="仿宋"/>
          <w:color w:val="000000" w:themeColor="text1"/>
          <w:kern w:val="0"/>
          <w:sz w:val="32"/>
          <w:szCs w:val="32"/>
          <w:lang w:eastAsia="zh-CN"/>
          <w14:textFill>
            <w14:solidFill>
              <w14:schemeClr w14:val="tx1"/>
            </w14:solidFill>
          </w14:textFill>
        </w:rPr>
        <w:t>产生的废膜片外售综合利用；</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变压器中机油</w:t>
      </w:r>
      <w:r>
        <w:rPr>
          <w:rFonts w:hint="eastAsia" w:ascii="仿宋" w:hAnsi="仿宋" w:eastAsia="仿宋" w:cs="仿宋"/>
          <w:color w:val="000000" w:themeColor="text1"/>
          <w:kern w:val="0"/>
          <w:sz w:val="32"/>
          <w:szCs w:val="32"/>
          <w:highlight w:val="none"/>
          <w14:textFill>
            <w14:solidFill>
              <w14:schemeClr w14:val="tx1"/>
            </w14:solidFill>
          </w14:textFill>
        </w:rPr>
        <w:t>更换时直接由有资质单位</w:t>
      </w:r>
      <w:r>
        <w:rPr>
          <w:rFonts w:hint="eastAsia" w:ascii="仿宋" w:hAnsi="仿宋" w:eastAsia="仿宋" w:cs="仿宋"/>
          <w:color w:val="000000" w:themeColor="text1"/>
          <w:kern w:val="0"/>
          <w:sz w:val="32"/>
          <w:szCs w:val="32"/>
          <w:highlight w:val="none"/>
          <w:lang w:eastAsia="zh-CN"/>
          <w14:textFill>
            <w14:solidFill>
              <w14:schemeClr w14:val="tx1"/>
            </w14:solidFill>
          </w14:textFill>
        </w:rPr>
        <w:t>清运</w:t>
      </w:r>
      <w:r>
        <w:rPr>
          <w:rFonts w:hint="eastAsia" w:ascii="仿宋" w:hAnsi="仿宋" w:eastAsia="仿宋" w:cs="仿宋"/>
          <w:color w:val="000000" w:themeColor="text1"/>
          <w:kern w:val="0"/>
          <w:sz w:val="32"/>
          <w:szCs w:val="32"/>
          <w:highlight w:val="none"/>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废电解液</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highlight w:val="none"/>
          <w14:textFill>
            <w14:solidFill>
              <w14:schemeClr w14:val="tx1"/>
            </w14:solidFill>
          </w14:textFill>
        </w:rPr>
        <w:t>日常产生的</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检修</w:t>
      </w:r>
      <w:r>
        <w:rPr>
          <w:rFonts w:hint="eastAsia" w:ascii="仿宋" w:hAnsi="仿宋" w:eastAsia="仿宋" w:cs="仿宋"/>
          <w:color w:val="000000" w:themeColor="text1"/>
          <w:kern w:val="0"/>
          <w:sz w:val="32"/>
          <w:szCs w:val="32"/>
          <w:highlight w:val="none"/>
          <w14:textFill>
            <w14:solidFill>
              <w14:schemeClr w14:val="tx1"/>
            </w14:solidFill>
          </w14:textFill>
        </w:rPr>
        <w:t>废油</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及事故状态下产生的废油</w:t>
      </w:r>
      <w:r>
        <w:rPr>
          <w:rFonts w:hint="eastAsia" w:ascii="仿宋" w:hAnsi="仿宋" w:eastAsia="仿宋" w:cs="仿宋"/>
          <w:color w:val="000000" w:themeColor="text1"/>
          <w:kern w:val="0"/>
          <w:sz w:val="32"/>
          <w:szCs w:val="32"/>
          <w:highlight w:val="none"/>
          <w:lang w:eastAsia="zh-CN"/>
          <w14:textFill>
            <w14:solidFill>
              <w14:schemeClr w14:val="tx1"/>
            </w14:solidFill>
          </w14:textFill>
        </w:rPr>
        <w:t>在</w:t>
      </w:r>
      <w:r>
        <w:rPr>
          <w:rFonts w:hint="eastAsia" w:ascii="仿宋" w:hAnsi="仿宋" w:eastAsia="仿宋" w:cs="仿宋"/>
          <w:color w:val="000000" w:themeColor="text1"/>
          <w:kern w:val="0"/>
          <w:sz w:val="32"/>
          <w:szCs w:val="32"/>
          <w:highlight w:val="none"/>
          <w14:textFill>
            <w14:solidFill>
              <w14:schemeClr w14:val="tx1"/>
            </w14:solidFill>
          </w14:textFill>
        </w:rPr>
        <w:t>危</w:t>
      </w:r>
      <w:r>
        <w:rPr>
          <w:rFonts w:hint="eastAsia" w:ascii="仿宋" w:hAnsi="仿宋" w:eastAsia="仿宋" w:cs="仿宋"/>
          <w:color w:val="000000" w:themeColor="text1"/>
          <w:kern w:val="0"/>
          <w:sz w:val="32"/>
          <w:szCs w:val="32"/>
          <w14:textFill>
            <w14:solidFill>
              <w14:schemeClr w14:val="tx1"/>
            </w14:solidFill>
          </w14:textFill>
        </w:rPr>
        <w:t>废暂存库暂存，</w:t>
      </w:r>
      <w:r>
        <w:rPr>
          <w:rFonts w:hint="eastAsia" w:ascii="仿宋" w:hAnsi="仿宋" w:eastAsia="仿宋" w:cs="仿宋"/>
          <w:color w:val="000000" w:themeColor="text1"/>
          <w:kern w:val="0"/>
          <w:sz w:val="32"/>
          <w:szCs w:val="32"/>
          <w:lang w:val="en-US" w:eastAsia="zh-CN"/>
          <w14:textFill>
            <w14:solidFill>
              <w14:schemeClr w14:val="tx1"/>
            </w14:solidFill>
          </w14:textFill>
        </w:rPr>
        <w:t>定期</w:t>
      </w:r>
      <w:r>
        <w:rPr>
          <w:rFonts w:hint="eastAsia" w:ascii="仿宋" w:hAnsi="仿宋" w:eastAsia="仿宋" w:cs="仿宋"/>
          <w:color w:val="000000" w:themeColor="text1"/>
          <w:kern w:val="0"/>
          <w:sz w:val="32"/>
          <w:szCs w:val="32"/>
          <w:highlight w:val="none"/>
          <w14:textFill>
            <w14:solidFill>
              <w14:schemeClr w14:val="tx1"/>
            </w14:solidFill>
          </w14:textFill>
        </w:rPr>
        <w:t>委托有资质单位</w:t>
      </w:r>
      <w:r>
        <w:rPr>
          <w:rFonts w:hint="eastAsia" w:ascii="仿宋" w:hAnsi="仿宋" w:eastAsia="仿宋" w:cs="仿宋"/>
          <w:color w:val="000000" w:themeColor="text1"/>
          <w:kern w:val="0"/>
          <w:sz w:val="32"/>
          <w:szCs w:val="32"/>
          <w:highlight w:val="none"/>
          <w:lang w:val="en-US" w:eastAsia="zh-CN"/>
          <w14:textFill>
            <w14:solidFill>
              <w14:schemeClr w14:val="tx1"/>
            </w14:solidFill>
          </w14:textFill>
        </w:rPr>
        <w:t>处置</w:t>
      </w:r>
      <w:r>
        <w:rPr>
          <w:rFonts w:hint="eastAsia" w:ascii="仿宋" w:hAnsi="仿宋" w:eastAsia="仿宋" w:cs="仿宋"/>
          <w:color w:val="000000" w:themeColor="text1"/>
          <w:kern w:val="0"/>
          <w:sz w:val="32"/>
          <w:szCs w:val="32"/>
          <w:highlight w:val="none"/>
          <w14:textFill>
            <w14:solidFill>
              <w14:schemeClr w14:val="tx1"/>
            </w14:solidFill>
          </w14:textFill>
        </w:rPr>
        <w:t>。</w:t>
      </w:r>
    </w:p>
    <w:p w14:paraId="44CEA90D">
      <w:pPr>
        <w:spacing w:beforeLines="0" w:afterLines="0" w:line="610" w:lineRule="exact"/>
        <w:ind w:firstLine="640" w:firstLineChars="200"/>
        <w:rPr>
          <w:rFonts w:hint="eastAsia" w:ascii="仿宋" w:hAnsi="仿宋" w:eastAsia="仿宋" w:cs="仿宋"/>
          <w:color w:val="000000" w:themeColor="text1"/>
          <w:kern w:val="0"/>
          <w:sz w:val="32"/>
          <w:szCs w:val="32"/>
          <w:lang w:eastAsia="zh-CN"/>
          <w14:textFill>
            <w14:solidFill>
              <w14:schemeClr w14:val="tx1"/>
            </w14:solidFill>
          </w14:textFill>
        </w:rPr>
      </w:pP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lang w:val="en-US" w:eastAsia="zh-CN"/>
          <w14:textFill>
            <w14:solidFill>
              <w14:schemeClr w14:val="tx1"/>
            </w14:solidFill>
          </w14:textFill>
        </w:rPr>
        <w:t>六</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强化</w:t>
      </w:r>
      <w:r>
        <w:rPr>
          <w:rFonts w:hint="eastAsia" w:ascii="仿宋" w:hAnsi="仿宋" w:eastAsia="仿宋" w:cs="仿宋"/>
          <w:color w:val="000000" w:themeColor="text1"/>
          <w:kern w:val="0"/>
          <w:sz w:val="32"/>
          <w:szCs w:val="32"/>
          <w:lang w:eastAsia="zh-CN"/>
          <w14:textFill>
            <w14:solidFill>
              <w14:schemeClr w14:val="tx1"/>
            </w14:solidFill>
          </w14:textFill>
        </w:rPr>
        <w:t>环境风险防范，</w:t>
      </w:r>
      <w:r>
        <w:rPr>
          <w:rFonts w:hint="eastAsia" w:ascii="仿宋" w:hAnsi="仿宋" w:eastAsia="仿宋" w:cs="仿宋"/>
          <w:b w:val="0"/>
          <w:i w:val="0"/>
          <w:caps w:val="0"/>
          <w:color w:val="000000" w:themeColor="text1"/>
          <w:spacing w:val="0"/>
          <w:kern w:val="2"/>
          <w:sz w:val="32"/>
          <w:szCs w:val="32"/>
          <w:highlight w:val="none"/>
          <w:shd w:val="clear"/>
          <w:lang w:bidi="ar-SA"/>
          <w14:textFill>
            <w14:solidFill>
              <w14:schemeClr w14:val="tx1"/>
            </w14:solidFill>
          </w14:textFill>
        </w:rPr>
        <w:t>本项目</w:t>
      </w:r>
      <w:r>
        <w:rPr>
          <w:rFonts w:hint="eastAsia" w:ascii="仿宋" w:hAnsi="仿宋" w:eastAsia="仿宋" w:cs="仿宋"/>
          <w:b w:val="0"/>
          <w:i w:val="0"/>
          <w:caps w:val="0"/>
          <w:color w:val="000000" w:themeColor="text1"/>
          <w:spacing w:val="0"/>
          <w:kern w:val="2"/>
          <w:sz w:val="32"/>
          <w:szCs w:val="32"/>
          <w:highlight w:val="none"/>
          <w:shd w:val="clear"/>
          <w:lang w:eastAsia="zh-CN" w:bidi="ar-SA"/>
          <w14:textFill>
            <w14:solidFill>
              <w14:schemeClr w14:val="tx1"/>
            </w14:solidFill>
          </w14:textFill>
        </w:rPr>
        <w:t>需</w:t>
      </w:r>
      <w:r>
        <w:rPr>
          <w:rFonts w:hint="eastAsia" w:ascii="仿宋" w:hAnsi="仿宋" w:eastAsia="仿宋" w:cs="仿宋"/>
          <w:b w:val="0"/>
          <w:i w:val="0"/>
          <w:caps w:val="0"/>
          <w:color w:val="000000" w:themeColor="text1"/>
          <w:spacing w:val="0"/>
          <w:kern w:val="2"/>
          <w:sz w:val="32"/>
          <w:szCs w:val="32"/>
          <w:highlight w:val="none"/>
          <w:shd w:val="clear"/>
          <w:lang w:bidi="ar-SA"/>
          <w14:textFill>
            <w14:solidFill>
              <w14:schemeClr w14:val="tx1"/>
            </w14:solidFill>
          </w14:textFill>
        </w:rPr>
        <w:t>设置“单元-厂区-园区”</w:t>
      </w:r>
      <w:r>
        <w:rPr>
          <w:rFonts w:hint="eastAsia" w:ascii="仿宋" w:hAnsi="仿宋" w:eastAsia="仿宋" w:cs="仿宋"/>
          <w:b w:val="0"/>
          <w:i w:val="0"/>
          <w:caps w:val="0"/>
          <w:color w:val="000000" w:themeColor="text1"/>
          <w:spacing w:val="0"/>
          <w:kern w:val="2"/>
          <w:sz w:val="32"/>
          <w:szCs w:val="32"/>
          <w:highlight w:val="none"/>
          <w:shd w:val="clear"/>
          <w:lang w:eastAsia="zh-CN" w:bidi="ar-SA"/>
          <w14:textFill>
            <w14:solidFill>
              <w14:schemeClr w14:val="tx1"/>
            </w14:solidFill>
          </w14:textFill>
        </w:rPr>
        <w:t>事故废水三级</w:t>
      </w:r>
      <w:r>
        <w:rPr>
          <w:rFonts w:hint="eastAsia" w:ascii="仿宋" w:hAnsi="仿宋" w:eastAsia="仿宋" w:cs="仿宋"/>
          <w:b w:val="0"/>
          <w:i w:val="0"/>
          <w:caps w:val="0"/>
          <w:color w:val="000000" w:themeColor="text1"/>
          <w:spacing w:val="0"/>
          <w:kern w:val="2"/>
          <w:sz w:val="32"/>
          <w:szCs w:val="32"/>
          <w:highlight w:val="none"/>
          <w:shd w:val="clear"/>
          <w:lang w:bidi="ar-SA"/>
          <w14:textFill>
            <w14:solidFill>
              <w14:schemeClr w14:val="tx1"/>
            </w14:solidFill>
          </w14:textFill>
        </w:rPr>
        <w:t>的防控体系</w:t>
      </w:r>
      <w:r>
        <w:rPr>
          <w:rFonts w:hint="eastAsia" w:ascii="仿宋" w:hAnsi="仿宋" w:eastAsia="仿宋" w:cs="仿宋"/>
          <w:b w:val="0"/>
          <w:i w:val="0"/>
          <w:caps w:val="0"/>
          <w:color w:val="000000" w:themeColor="text1"/>
          <w:spacing w:val="0"/>
          <w:kern w:val="2"/>
          <w:sz w:val="32"/>
          <w:szCs w:val="32"/>
          <w:highlight w:val="none"/>
          <w:shd w:val="clear"/>
          <w:lang w:val="zh-CN" w:eastAsia="zh-CN" w:bidi="ar-SA"/>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项目运营前须建成与园区事故水池的联通管网</w:t>
      </w:r>
      <w:r>
        <w:rPr>
          <w:rFonts w:hint="eastAsia" w:ascii="仿宋" w:hAnsi="仿宋" w:eastAsia="仿宋" w:cs="仿宋"/>
          <w:color w:val="000000" w:themeColor="text1"/>
          <w:sz w:val="32"/>
          <w:szCs w:val="32"/>
          <w:highlight w:val="none"/>
          <w:lang w:val="zh-CN"/>
          <w14:textFill>
            <w14:solidFill>
              <w14:schemeClr w14:val="tx1"/>
            </w14:solidFill>
          </w14:textFill>
        </w:rPr>
        <w:t>，以满足三级防控要求。</w:t>
      </w:r>
      <w:r>
        <w:rPr>
          <w:rFonts w:hint="eastAsia" w:ascii="仿宋" w:hAnsi="仿宋" w:eastAsia="仿宋" w:cs="仿宋"/>
          <w:color w:val="000000" w:themeColor="text1"/>
          <w:kern w:val="0"/>
          <w:sz w:val="32"/>
          <w:szCs w:val="32"/>
          <w:lang w:eastAsia="zh-CN"/>
          <w14:textFill>
            <w14:solidFill>
              <w14:schemeClr w14:val="tx1"/>
            </w14:solidFill>
          </w14:textFill>
        </w:rPr>
        <w:t>制定环境风险应急预案，落实环保设施安全生产要求，项目污染防治设施须与主体工程一起按照安全生产要求设计，有效防范因污染物事故排放或安全生产事故可能引发的环境风险。</w:t>
      </w:r>
    </w:p>
    <w:p w14:paraId="0C7B55BF">
      <w:pPr>
        <w:pStyle w:val="39"/>
        <w:numPr>
          <w:ilvl w:val="0"/>
          <w:numId w:val="0"/>
        </w:numPr>
        <w:spacing w:line="580" w:lineRule="exact"/>
        <w:ind w:firstLine="640" w:firstLineChars="200"/>
        <w:rPr>
          <w:rFonts w:hint="eastAsia" w:ascii="仿宋" w:hAnsi="仿宋" w:eastAsia="仿宋" w:cs="仿宋"/>
          <w:sz w:val="32"/>
          <w:szCs w:val="32"/>
          <w:lang w:eastAsia="zh-CN"/>
        </w:rPr>
      </w:pPr>
      <w:r>
        <w:rPr>
          <w:rFonts w:hint="eastAsia" w:ascii="仿宋" w:hAnsi="仿宋" w:eastAsia="仿宋" w:cs="仿宋"/>
          <w:sz w:val="32"/>
          <w:szCs w:val="32"/>
          <w:lang w:val="en-US" w:eastAsia="zh-CN"/>
        </w:rPr>
        <w:t>三、</w:t>
      </w:r>
      <w:r>
        <w:rPr>
          <w:rFonts w:hint="eastAsia" w:ascii="仿宋" w:hAnsi="仿宋" w:eastAsia="仿宋" w:cs="仿宋"/>
          <w:sz w:val="32"/>
          <w:szCs w:val="32"/>
        </w:rPr>
        <w:t>建设单位在</w:t>
      </w:r>
      <w:r>
        <w:rPr>
          <w:rFonts w:hint="eastAsia" w:ascii="仿宋" w:hAnsi="仿宋" w:eastAsia="仿宋" w:cs="仿宋"/>
          <w:sz w:val="32"/>
          <w:szCs w:val="32"/>
          <w:lang w:val="en-US" w:eastAsia="zh-CN"/>
        </w:rPr>
        <w:t>取</w:t>
      </w:r>
      <w:r>
        <w:rPr>
          <w:rFonts w:hint="eastAsia" w:ascii="仿宋" w:hAnsi="仿宋" w:eastAsia="仿宋" w:cs="仿宋"/>
          <w:sz w:val="32"/>
          <w:szCs w:val="32"/>
        </w:rPr>
        <w:t>得</w:t>
      </w:r>
      <w:r>
        <w:rPr>
          <w:rFonts w:hint="eastAsia" w:ascii="仿宋" w:hAnsi="仿宋" w:eastAsia="仿宋" w:cs="仿宋"/>
          <w:sz w:val="32"/>
          <w:szCs w:val="32"/>
          <w:lang w:val="en-US" w:eastAsia="zh-CN"/>
        </w:rPr>
        <w:t>水利、</w:t>
      </w:r>
      <w:r>
        <w:rPr>
          <w:rFonts w:hint="eastAsia" w:ascii="仿宋" w:hAnsi="仿宋" w:eastAsia="仿宋" w:cs="仿宋"/>
          <w:sz w:val="32"/>
          <w:szCs w:val="32"/>
        </w:rPr>
        <w:t>文物</w:t>
      </w:r>
      <w:r>
        <w:rPr>
          <w:rFonts w:hint="eastAsia" w:ascii="仿宋" w:hAnsi="仿宋" w:eastAsia="仿宋" w:cs="仿宋"/>
          <w:sz w:val="32"/>
          <w:szCs w:val="32"/>
          <w:lang w:val="en-US" w:eastAsia="zh-CN"/>
        </w:rPr>
        <w:t>等</w:t>
      </w:r>
      <w:r>
        <w:rPr>
          <w:rFonts w:hint="eastAsia" w:ascii="仿宋" w:hAnsi="仿宋" w:eastAsia="仿宋" w:cs="仿宋"/>
          <w:sz w:val="32"/>
          <w:szCs w:val="32"/>
        </w:rPr>
        <w:t>部门同意后方可开工建设，在实施过程中发现文物古迹应立即停止施工并报告有关部门进行妥善处理。</w:t>
      </w:r>
      <w:r>
        <w:rPr>
          <w:rFonts w:hint="eastAsia" w:ascii="仿宋" w:hAnsi="仿宋" w:eastAsia="仿宋" w:cs="仿宋"/>
          <w:sz w:val="32"/>
          <w:szCs w:val="32"/>
          <w:lang w:eastAsia="zh-CN"/>
        </w:rPr>
        <w:t>必须严格执行环境保护“三同时”制度，项目竣工后，按照规定程序实施竣工环境保护验收，经验收合格后，方可正式投入运行。</w:t>
      </w:r>
    </w:p>
    <w:p w14:paraId="3D69F802">
      <w:pPr>
        <w:pStyle w:val="39"/>
        <w:numPr>
          <w:ilvl w:val="0"/>
          <w:numId w:val="0"/>
        </w:numPr>
        <w:spacing w:line="580" w:lineRule="exact"/>
        <w:ind w:firstLine="640" w:firstLineChars="200"/>
        <w:rPr>
          <w:rFonts w:hint="eastAsia" w:ascii="仿宋" w:hAnsi="仿宋" w:eastAsia="仿宋" w:cs="仿宋"/>
          <w:color w:val="000000"/>
          <w:kern w:val="0"/>
          <w:sz w:val="32"/>
          <w:szCs w:val="32"/>
          <w:lang w:val="zh-CN"/>
        </w:rPr>
      </w:pPr>
      <w:r>
        <w:rPr>
          <w:rFonts w:hint="eastAsia" w:ascii="仿宋" w:hAnsi="仿宋" w:eastAsia="仿宋" w:cs="仿宋"/>
          <w:color w:val="000000"/>
          <w:kern w:val="0"/>
          <w:sz w:val="32"/>
          <w:szCs w:val="32"/>
          <w:lang w:val="en-US" w:eastAsia="zh-CN"/>
        </w:rPr>
        <w:t>四、</w:t>
      </w:r>
      <w:r>
        <w:rPr>
          <w:rFonts w:hint="eastAsia" w:ascii="仿宋" w:hAnsi="仿宋" w:eastAsia="仿宋" w:cs="仿宋"/>
          <w:color w:val="000000"/>
          <w:kern w:val="0"/>
          <w:sz w:val="32"/>
          <w:szCs w:val="32"/>
          <w:lang w:val="zh-CN"/>
        </w:rPr>
        <w:t>你公司应在收到本批复20日内，将《报告书》（报批版）及批复文件送至鄂尔多斯市生态环境局</w:t>
      </w:r>
      <w:r>
        <w:rPr>
          <w:rFonts w:hint="eastAsia" w:ascii="仿宋" w:hAnsi="仿宋" w:eastAsia="仿宋" w:cs="仿宋"/>
          <w:color w:val="000000"/>
          <w:kern w:val="0"/>
          <w:sz w:val="32"/>
          <w:szCs w:val="32"/>
          <w:lang w:val="en-US" w:eastAsia="zh-CN"/>
        </w:rPr>
        <w:t>达拉特旗</w:t>
      </w:r>
      <w:r>
        <w:rPr>
          <w:rFonts w:hint="eastAsia" w:ascii="仿宋" w:hAnsi="仿宋" w:eastAsia="仿宋" w:cs="仿宋"/>
          <w:color w:val="000000"/>
          <w:kern w:val="0"/>
          <w:sz w:val="32"/>
          <w:szCs w:val="32"/>
          <w:lang w:val="zh-CN"/>
        </w:rPr>
        <w:t>分局，我局委托鄂尔多斯市生态环境局</w:t>
      </w:r>
      <w:r>
        <w:rPr>
          <w:rFonts w:hint="eastAsia" w:ascii="仿宋" w:hAnsi="仿宋" w:eastAsia="仿宋" w:cs="仿宋"/>
          <w:color w:val="000000"/>
          <w:kern w:val="0"/>
          <w:sz w:val="32"/>
          <w:szCs w:val="32"/>
          <w:lang w:val="en-US" w:eastAsia="zh-CN"/>
        </w:rPr>
        <w:t>达拉特旗</w:t>
      </w:r>
      <w:r>
        <w:rPr>
          <w:rFonts w:hint="eastAsia" w:ascii="仿宋" w:hAnsi="仿宋" w:eastAsia="仿宋" w:cs="仿宋"/>
          <w:color w:val="000000"/>
          <w:kern w:val="0"/>
          <w:sz w:val="32"/>
          <w:szCs w:val="32"/>
          <w:lang w:val="zh-CN"/>
        </w:rPr>
        <w:t>分局负责该项目的日常监管工作。</w:t>
      </w:r>
    </w:p>
    <w:p w14:paraId="46543282">
      <w:pPr>
        <w:pStyle w:val="39"/>
        <w:numPr>
          <w:ilvl w:val="0"/>
          <w:numId w:val="0"/>
        </w:numPr>
        <w:spacing w:line="58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五、该项目从批准之日起超过5年方决定开工建设，其环评文件需重新审核。如果建设项目性质、规模、地点、工艺、生态环境保护措施等发生重大变化时，需重新报批环评文件。</w:t>
      </w:r>
    </w:p>
    <w:p w14:paraId="023755FC">
      <w:pPr>
        <w:tabs>
          <w:tab w:val="left" w:pos="6660"/>
          <w:tab w:val="left" w:pos="6840"/>
          <w:tab w:val="left" w:pos="7020"/>
          <w:tab w:val="left" w:pos="8080"/>
          <w:tab w:val="left" w:pos="8222"/>
        </w:tabs>
        <w:adjustRightInd w:val="0"/>
        <w:snapToGrid w:val="0"/>
        <w:spacing w:line="560" w:lineRule="exact"/>
        <w:ind w:firstLine="4960" w:firstLineChars="1550"/>
        <w:rPr>
          <w:rFonts w:hint="eastAsia" w:ascii="仿宋" w:hAnsi="仿宋" w:eastAsia="仿宋" w:cs="仿宋"/>
          <w:sz w:val="32"/>
          <w:szCs w:val="32"/>
        </w:rPr>
      </w:pPr>
    </w:p>
    <w:p w14:paraId="721B9C74">
      <w:pPr>
        <w:pStyle w:val="3"/>
        <w:ind w:left="0" w:leftChars="0" w:firstLine="0" w:firstLineChars="0"/>
        <w:rPr>
          <w:rFonts w:hint="eastAsia" w:ascii="仿宋" w:hAnsi="仿宋" w:eastAsia="仿宋" w:cs="仿宋"/>
          <w:sz w:val="32"/>
          <w:szCs w:val="32"/>
        </w:rPr>
      </w:pPr>
    </w:p>
    <w:p w14:paraId="2079B32C">
      <w:pPr>
        <w:tabs>
          <w:tab w:val="left" w:pos="6660"/>
          <w:tab w:val="left" w:pos="6840"/>
          <w:tab w:val="left" w:pos="7020"/>
          <w:tab w:val="left" w:pos="8080"/>
          <w:tab w:val="left" w:pos="8222"/>
        </w:tabs>
        <w:adjustRightInd w:val="0"/>
        <w:snapToGrid w:val="0"/>
        <w:spacing w:line="560" w:lineRule="exact"/>
        <w:ind w:left="0" w:leftChars="0" w:firstLine="4800" w:firstLineChars="1500"/>
        <w:rPr>
          <w:rFonts w:hint="eastAsia" w:ascii="仿宋" w:hAnsi="仿宋" w:eastAsia="仿宋" w:cs="仿宋"/>
          <w:sz w:val="32"/>
          <w:szCs w:val="32"/>
        </w:rPr>
      </w:pPr>
      <w:r>
        <w:rPr>
          <w:rFonts w:hint="eastAsia" w:ascii="仿宋" w:hAnsi="仿宋" w:eastAsia="仿宋" w:cs="仿宋"/>
          <w:sz w:val="32"/>
          <w:szCs w:val="32"/>
        </w:rPr>
        <w:t>鄂尔多斯市生态环境局</w:t>
      </w:r>
    </w:p>
    <w:p w14:paraId="06099E8B">
      <w:pPr>
        <w:tabs>
          <w:tab w:val="left" w:pos="6660"/>
          <w:tab w:val="left" w:pos="6840"/>
          <w:tab w:val="left" w:pos="7020"/>
        </w:tabs>
        <w:adjustRightInd w:val="0"/>
        <w:snapToGrid w:val="0"/>
        <w:spacing w:line="560" w:lineRule="exact"/>
        <w:ind w:firstLine="5120" w:firstLineChars="1600"/>
        <w:rPr>
          <w:rFonts w:hint="eastAsia" w:ascii="仿宋" w:hAnsi="仿宋" w:eastAsia="仿宋" w:cs="仿宋"/>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4</w:t>
      </w:r>
      <w:r>
        <w:rPr>
          <w:rFonts w:hint="eastAsia" w:ascii="仿宋" w:hAnsi="仿宋" w:eastAsia="仿宋" w:cs="仿宋"/>
          <w:sz w:val="32"/>
          <w:szCs w:val="32"/>
        </w:rPr>
        <w:t>月</w:t>
      </w:r>
      <w:r>
        <w:rPr>
          <w:rFonts w:hint="eastAsia" w:ascii="仿宋" w:hAnsi="仿宋" w:eastAsia="仿宋" w:cs="仿宋"/>
          <w:sz w:val="32"/>
          <w:szCs w:val="32"/>
          <w:lang w:val="en-US" w:eastAsia="zh-CN"/>
        </w:rPr>
        <w:t>3</w:t>
      </w:r>
      <w:r>
        <w:rPr>
          <w:rFonts w:hint="eastAsia" w:ascii="仿宋" w:hAnsi="仿宋" w:eastAsia="仿宋" w:cs="仿宋"/>
          <w:sz w:val="32"/>
          <w:szCs w:val="32"/>
        </w:rPr>
        <w:t>日</w:t>
      </w:r>
    </w:p>
    <w:p w14:paraId="3B71CDFA">
      <w:pPr>
        <w:pStyle w:val="3"/>
        <w:ind w:left="640" w:firstLine="400"/>
        <w:rPr>
          <w:rFonts w:eastAsia="仿宋"/>
          <w:szCs w:val="32"/>
        </w:rPr>
      </w:pPr>
    </w:p>
    <w:p w14:paraId="049BC67B">
      <w:pPr>
        <w:ind w:firstLine="640"/>
      </w:pPr>
    </w:p>
    <w:p w14:paraId="397BBC5A">
      <w:pPr>
        <w:ind w:firstLine="640"/>
      </w:pPr>
    </w:p>
    <w:p w14:paraId="1D7256F1">
      <w:pPr>
        <w:pStyle w:val="2"/>
        <w:ind w:left="0" w:leftChars="0" w:firstLine="0" w:firstLineChars="0"/>
      </w:pPr>
    </w:p>
    <w:p w14:paraId="100A0924">
      <w:pPr>
        <w:ind w:left="0" w:leftChars="0" w:firstLine="0" w:firstLineChars="0"/>
      </w:pPr>
    </w:p>
    <w:p w14:paraId="71CE87D3">
      <w:pPr>
        <w:pStyle w:val="2"/>
      </w:pPr>
    </w:p>
    <w:p w14:paraId="009A4A07">
      <w:pPr>
        <w:pStyle w:val="3"/>
      </w:pPr>
    </w:p>
    <w:p w14:paraId="5798D9CC"/>
    <w:p w14:paraId="56F5AA54">
      <w:pPr>
        <w:pStyle w:val="2"/>
      </w:pPr>
    </w:p>
    <w:p w14:paraId="704F4B9B">
      <w:pPr>
        <w:pStyle w:val="3"/>
      </w:pPr>
    </w:p>
    <w:p w14:paraId="154E5365"/>
    <w:p w14:paraId="77207F3E">
      <w:pPr>
        <w:pStyle w:val="2"/>
      </w:pPr>
    </w:p>
    <w:p w14:paraId="32AE1EFF">
      <w:pPr>
        <w:pStyle w:val="3"/>
      </w:pPr>
    </w:p>
    <w:p w14:paraId="76CAE6E2"/>
    <w:p w14:paraId="253AC997">
      <w:pPr>
        <w:pStyle w:val="2"/>
      </w:pPr>
    </w:p>
    <w:p w14:paraId="04BE7073">
      <w:pPr>
        <w:pStyle w:val="3"/>
      </w:pPr>
    </w:p>
    <w:p w14:paraId="6C439ECF"/>
    <w:p w14:paraId="03C74360">
      <w:pPr>
        <w:pStyle w:val="2"/>
      </w:pPr>
    </w:p>
    <w:p w14:paraId="53FBB21A">
      <w:pPr>
        <w:pStyle w:val="3"/>
      </w:pPr>
    </w:p>
    <w:p w14:paraId="47159EC9"/>
    <w:p w14:paraId="2FE76208">
      <w:pPr>
        <w:pStyle w:val="2"/>
      </w:pPr>
    </w:p>
    <w:p w14:paraId="67C144EF">
      <w:pPr>
        <w:pStyle w:val="3"/>
      </w:pPr>
    </w:p>
    <w:p w14:paraId="3F8072B8"/>
    <w:p w14:paraId="65A2AA8E">
      <w:pPr>
        <w:pStyle w:val="2"/>
      </w:pPr>
    </w:p>
    <w:p w14:paraId="1FE1A9BB">
      <w:pPr>
        <w:pStyle w:val="3"/>
      </w:pPr>
    </w:p>
    <w:p w14:paraId="1F90C1B2"/>
    <w:p w14:paraId="707BA216">
      <w:pPr>
        <w:pStyle w:val="2"/>
      </w:pPr>
    </w:p>
    <w:p w14:paraId="3A03A155">
      <w:pPr>
        <w:pStyle w:val="3"/>
      </w:pPr>
    </w:p>
    <w:p w14:paraId="6C1ED700"/>
    <w:p w14:paraId="45F29175">
      <w:pPr>
        <w:pStyle w:val="3"/>
        <w:ind w:left="0" w:leftChars="0" w:firstLine="0" w:firstLineChars="0"/>
      </w:pPr>
    </w:p>
    <w:p w14:paraId="3A518AAE"/>
    <w:p w14:paraId="58CB8FBD">
      <w:pPr>
        <w:ind w:left="0" w:leftChars="0" w:firstLine="0" w:firstLineChars="0"/>
      </w:pPr>
    </w:p>
    <w:p w14:paraId="116C3312">
      <w:pPr>
        <w:pStyle w:val="2"/>
      </w:pPr>
    </w:p>
    <w:p w14:paraId="73C6656B">
      <w:pPr>
        <w:pStyle w:val="3"/>
      </w:pPr>
    </w:p>
    <w:p w14:paraId="1D5FD3A5"/>
    <w:p w14:paraId="765FF956">
      <w:pPr>
        <w:pStyle w:val="2"/>
      </w:pPr>
    </w:p>
    <w:p w14:paraId="5FDBD82D">
      <w:pPr>
        <w:pStyle w:val="3"/>
      </w:pPr>
    </w:p>
    <w:p w14:paraId="0838191C"/>
    <w:p w14:paraId="07236FD7">
      <w:pPr>
        <w:pStyle w:val="2"/>
      </w:pPr>
    </w:p>
    <w:p w14:paraId="2B96221E">
      <w:pPr>
        <w:pStyle w:val="3"/>
      </w:pPr>
    </w:p>
    <w:p w14:paraId="5B481AFD"/>
    <w:p w14:paraId="78447CAD">
      <w:pPr>
        <w:pStyle w:val="2"/>
      </w:pPr>
    </w:p>
    <w:p w14:paraId="5D968CD4"/>
    <w:p w14:paraId="013E0869">
      <w:pPr>
        <w:pStyle w:val="2"/>
      </w:pPr>
    </w:p>
    <w:p w14:paraId="26EBA864">
      <w:pPr>
        <w:spacing w:line="440" w:lineRule="exact"/>
        <w:ind w:left="926" w:leftChars="27" w:hanging="840" w:hangingChars="300"/>
        <w:rPr>
          <w:rFonts w:eastAsia="仿宋"/>
          <w:sz w:val="28"/>
          <w:szCs w:val="28"/>
        </w:rPr>
      </w:pPr>
      <w:r>
        <w:rPr>
          <w:rFonts w:eastAsia="仿宋"/>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-6985</wp:posOffset>
                </wp:positionV>
                <wp:extent cx="5615940" cy="0"/>
                <wp:effectExtent l="0" t="4445" r="0" b="5080"/>
                <wp:wrapNone/>
                <wp:docPr id="1" name="直线 3"/>
                <wp:cNvGraphicFramePr/>
                <a:graphic xmlns:a="http://schemas.openxmlformats.org/drawingml/2006/main">
                  <a:graphicData uri="http://schemas.microsoft.com/office/word/2010/wordprocessingShape">
                    <wps:wsp>
                      <wps:cNvCnPr/>
                      <wps:spPr>
                        <a:xfrm>
                          <a:off x="0" y="0"/>
                          <a:ext cx="561594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直线 3" o:spid="_x0000_s1026" o:spt="20" style="position:absolute;left:0pt;margin-left:0pt;margin-top:-0.55pt;height:0pt;width:442.2pt;z-index:251659264;mso-width-relative:page;mso-height-relative:page;" filled="f" stroked="t" coordsize="21600,21600" o:gfxdata="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elsM91QAAAAYBAAAPAAAA&#10;AAAAAAEAIAAAACIAAABkcnMvZG93bnJldi54bWxQSwECFAAUAAAACACHTuJAj2Tf398BAADPAwAA&#10;DgAAAAAAAAABACAAAAAkAQAAZHJzL2Uyb0RvYy54bWxQSwUGAAAAAAYABgBZAQAAdQUAAAAA&#10;">
                <v:fill on="f" focussize="0,0"/>
                <v:stroke weight="0.35pt" color="#000000" joinstyle="round"/>
                <v:imagedata o:title=""/>
                <o:lock v:ext="edit" aspectratio="f"/>
              </v:line>
            </w:pict>
          </mc:Fallback>
        </mc:AlternateContent>
      </w:r>
      <w:r>
        <w:rPr>
          <w:rFonts w:eastAsia="仿宋"/>
          <w:sz w:val="28"/>
          <w:szCs w:val="28"/>
        </w:rPr>
        <w:t>抄送：鄂尔多斯市生态</w:t>
      </w:r>
      <w:r>
        <w:rPr>
          <w:rFonts w:eastAsia="仿宋"/>
          <w:snapToGrid w:val="0"/>
          <w:sz w:val="28"/>
          <w:szCs w:val="28"/>
        </w:rPr>
        <w:t>环境局</w:t>
      </w:r>
      <w:r>
        <w:rPr>
          <w:rFonts w:hint="eastAsia" w:eastAsia="仿宋"/>
          <w:snapToGrid w:val="0"/>
          <w:sz w:val="28"/>
          <w:szCs w:val="28"/>
          <w:lang w:val="en-US" w:eastAsia="zh-CN"/>
        </w:rPr>
        <w:t>达拉特旗</w:t>
      </w:r>
      <w:r>
        <w:rPr>
          <w:rFonts w:hint="eastAsia" w:eastAsia="仿宋"/>
          <w:snapToGrid w:val="0"/>
          <w:sz w:val="28"/>
          <w:szCs w:val="28"/>
        </w:rPr>
        <w:t>分局</w:t>
      </w:r>
      <w:r>
        <w:rPr>
          <w:rFonts w:eastAsia="仿宋"/>
          <w:sz w:val="28"/>
          <w:szCs w:val="28"/>
        </w:rPr>
        <w:t>，</w:t>
      </w:r>
      <w:r>
        <w:rPr>
          <w:rFonts w:eastAsia="仿宋"/>
          <w:snapToGrid w:val="0"/>
          <w:sz w:val="28"/>
          <w:szCs w:val="28"/>
        </w:rPr>
        <w:t>鄂</w:t>
      </w:r>
      <w:r>
        <w:rPr>
          <w:rFonts w:eastAsia="仿宋"/>
          <w:sz w:val="28"/>
          <w:szCs w:val="28"/>
        </w:rPr>
        <w:t>尔多斯市生态环境综合行政执法支队，鄂尔多斯市生态环境局综合保障中心，</w:t>
      </w:r>
      <w:r>
        <w:rPr>
          <w:rFonts w:hint="eastAsia" w:eastAsia="仿宋"/>
          <w:sz w:val="28"/>
          <w:szCs w:val="28"/>
          <w:lang w:eastAsia="zh-CN"/>
        </w:rPr>
        <w:t>内蒙古城矿环保科技有限公司</w:t>
      </w:r>
      <w:r>
        <w:rPr>
          <w:rFonts w:eastAsia="仿宋"/>
          <w:sz w:val="28"/>
          <w:szCs w:val="28"/>
        </w:rPr>
        <w:t>。</w:t>
      </w:r>
    </w:p>
    <w:p w14:paraId="536CE954">
      <w:pPr>
        <w:spacing w:line="440" w:lineRule="exact"/>
        <w:ind w:left="86" w:leftChars="27" w:firstLine="0" w:firstLineChars="0"/>
        <w:rPr>
          <w:rFonts w:eastAsia="仿宋"/>
          <w:sz w:val="28"/>
          <w:szCs w:val="28"/>
        </w:rPr>
      </w:pPr>
      <w:r>
        <w:rPr>
          <w:rFonts w:eastAsia="仿宋"/>
          <w:sz w:val="28"/>
          <w:szCs w:val="28"/>
        </w:rPr>
        <mc:AlternateContent>
          <mc:Choice Requires="wps">
            <w:drawing>
              <wp:anchor distT="0" distB="0" distL="114300" distR="114300" simplePos="0" relativeHeight="251661312" behindDoc="0" locked="0" layoutInCell="1" allowOverlap="1">
                <wp:simplePos x="0" y="0"/>
                <wp:positionH relativeFrom="column">
                  <wp:posOffset>20955</wp:posOffset>
                </wp:positionH>
                <wp:positionV relativeFrom="paragraph">
                  <wp:posOffset>335280</wp:posOffset>
                </wp:positionV>
                <wp:extent cx="5615940" cy="0"/>
                <wp:effectExtent l="0" t="4445" r="0" b="5080"/>
                <wp:wrapNone/>
                <wp:docPr id="3" name="直线 4"/>
                <wp:cNvGraphicFramePr/>
                <a:graphic xmlns:a="http://schemas.openxmlformats.org/drawingml/2006/main">
                  <a:graphicData uri="http://schemas.microsoft.com/office/word/2010/wordprocessingShape">
                    <wps:wsp>
                      <wps:cNvCnPr/>
                      <wps:spPr>
                        <a:xfrm>
                          <a:off x="0" y="0"/>
                          <a:ext cx="5615940" cy="0"/>
                        </a:xfrm>
                        <a:prstGeom prst="line">
                          <a:avLst/>
                        </a:prstGeom>
                        <a:ln w="4445" cap="flat" cmpd="sng">
                          <a:solidFill>
                            <a:srgbClr val="000000"/>
                          </a:solidFill>
                          <a:prstDash val="solid"/>
                          <a:headEnd type="none" w="med" len="med"/>
                          <a:tailEnd type="none" w="med" len="med"/>
                        </a:ln>
                      </wps:spPr>
                      <wps:bodyPr/>
                    </wps:wsp>
                  </a:graphicData>
                </a:graphic>
              </wp:anchor>
            </w:drawing>
          </mc:Choice>
          <mc:Fallback>
            <w:pict>
              <v:line id="直线 4" o:spid="_x0000_s1026" o:spt="20" style="position:absolute;left:0pt;margin-left:1.65pt;margin-top:26.4pt;height:0pt;width:442.2pt;z-index:251661312;mso-width-relative:page;mso-height-relative:page;" filled="f" stroked="t" coordsize="21600,21600" o:gfxdata="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Av2mg1wAAAAcBAAAP&#10;AAAAAAAAAAEAIAAAACIAAABkcnMvZG93bnJldi54bWxQSwECFAAUAAAACACHTuJA5zAVxOABAADP&#10;AwAADgAAAAAAAAABACAAAAAmAQAAZHJzL2Uyb0RvYy54bWxQSwUGAAAAAAYABgBZAQAAeAUAAAAA&#10;">
                <v:fill on="f" focussize="0,0"/>
                <v:stroke weight="0.35pt" color="#000000" joinstyle="round"/>
                <v:imagedata o:title=""/>
                <o:lock v:ext="edit" aspectratio="f"/>
              </v:line>
            </w:pict>
          </mc:Fallback>
        </mc:AlternateContent>
      </w:r>
      <w:r>
        <w:rPr>
          <w:rFonts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7620</wp:posOffset>
                </wp:positionV>
                <wp:extent cx="5615940" cy="0"/>
                <wp:effectExtent l="0" t="4445" r="0" b="5080"/>
                <wp:wrapNone/>
                <wp:docPr id="2" name="直线 5"/>
                <wp:cNvGraphicFramePr/>
                <a:graphic xmlns:a="http://schemas.openxmlformats.org/drawingml/2006/main">
                  <a:graphicData uri="http://schemas.microsoft.com/office/word/2010/wordprocessingShape">
                    <wps:wsp>
                      <wps:cNvCnPr/>
                      <wps:spPr>
                        <a:xfrm>
                          <a:off x="0" y="0"/>
                          <a:ext cx="5615940" cy="0"/>
                        </a:xfrm>
                        <a:prstGeom prst="line">
                          <a:avLst/>
                        </a:prstGeom>
                        <a:ln w="3175" cap="flat" cmpd="sng">
                          <a:solidFill>
                            <a:srgbClr val="000000"/>
                          </a:solidFill>
                          <a:prstDash val="solid"/>
                          <a:headEnd type="none" w="med" len="med"/>
                          <a:tailEnd type="none" w="med" len="med"/>
                        </a:ln>
                      </wps:spPr>
                      <wps:bodyPr/>
                    </wps:wsp>
                  </a:graphicData>
                </a:graphic>
              </wp:anchor>
            </w:drawing>
          </mc:Choice>
          <mc:Fallback>
            <w:pict>
              <v:line id="直线 5" o:spid="_x0000_s1026" o:spt="20" style="position:absolute;left:0pt;margin-left:0pt;margin-top:0.6pt;height:0pt;width:442.2pt;z-index:251660288;mso-width-relative:page;mso-height-relative:page;" filled="f" stroked="t" coordsize="21600,21600" o:gfxdata="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EzTV27UAAAABAEAAA8AAAAA&#10;AAAAAQAgAAAAIgAAAGRycy9kb3ducmV2LnhtbFBLAQIUABQAAAAIAIdO4kCgpUZ13wEAAM8DAAAO&#10;AAAAAAAAAAEAIAAAACMBAABkcnMvZTJvRG9jLnhtbFBLBQYAAAAABgAGAFkBAAB0BQAAAAA=&#10;">
                <v:fill on="f" focussize="0,0"/>
                <v:stroke weight="0.25pt" color="#000000" joinstyle="round"/>
                <v:imagedata o:title=""/>
                <o:lock v:ext="edit" aspectratio="f"/>
              </v:line>
            </w:pict>
          </mc:Fallback>
        </mc:AlternateContent>
      </w:r>
      <w:r>
        <w:rPr>
          <w:rFonts w:eastAsia="仿宋"/>
          <w:sz w:val="28"/>
          <w:szCs w:val="28"/>
        </w:rPr>
        <w:t>鄂尔多斯市生态环境局                       202</w:t>
      </w:r>
      <w:r>
        <w:rPr>
          <w:rFonts w:hint="eastAsia" w:eastAsia="仿宋"/>
          <w:sz w:val="28"/>
          <w:szCs w:val="28"/>
          <w:lang w:val="en-US" w:eastAsia="zh-CN"/>
        </w:rPr>
        <w:t>6</w:t>
      </w:r>
      <w:r>
        <w:rPr>
          <w:rFonts w:eastAsia="仿宋"/>
          <w:sz w:val="28"/>
          <w:szCs w:val="28"/>
        </w:rPr>
        <w:t>年</w:t>
      </w:r>
      <w:r>
        <w:rPr>
          <w:rFonts w:hint="eastAsia" w:eastAsia="仿宋"/>
          <w:sz w:val="28"/>
          <w:szCs w:val="28"/>
          <w:lang w:val="en-US" w:eastAsia="zh-CN"/>
        </w:rPr>
        <w:t>4</w:t>
      </w:r>
      <w:r>
        <w:rPr>
          <w:rFonts w:eastAsia="仿宋"/>
          <w:sz w:val="28"/>
          <w:szCs w:val="28"/>
        </w:rPr>
        <w:t>月</w:t>
      </w:r>
      <w:r>
        <w:rPr>
          <w:rFonts w:hint="eastAsia" w:eastAsia="仿宋"/>
          <w:sz w:val="28"/>
          <w:szCs w:val="28"/>
          <w:lang w:val="en-US" w:eastAsia="zh-CN"/>
        </w:rPr>
        <w:t>3</w:t>
      </w:r>
      <w:r>
        <w:rPr>
          <w:rFonts w:eastAsia="仿宋"/>
          <w:sz w:val="28"/>
          <w:szCs w:val="28"/>
        </w:rPr>
        <w:t>日印发</w:t>
      </w:r>
    </w:p>
    <w:sectPr>
      <w:headerReference r:id="rId7" w:type="first"/>
      <w:footerReference r:id="rId10" w:type="first"/>
      <w:headerReference r:id="rId5" w:type="default"/>
      <w:footerReference r:id="rId8" w:type="default"/>
      <w:headerReference r:id="rId6" w:type="even"/>
      <w:footerReference r:id="rId9" w:type="even"/>
      <w:pgSz w:w="11906" w:h="16838"/>
      <w:pgMar w:top="1701" w:right="1531" w:bottom="1418" w:left="1531" w:header="851" w:footer="851" w:gutter="0"/>
      <w:pgNumType w:fmt="numberInDash"/>
      <w:cols w:space="720" w:num="1"/>
      <w:titlePg/>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1" w:fontKey="{8A011EBF-FDD4-4780-B1A0-330CEE4B01F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713AA">
    <w:pPr>
      <w:pStyle w:val="13"/>
      <w:tabs>
        <w:tab w:val="clear" w:pos="4153"/>
        <w:tab w:val="clear" w:pos="8306"/>
      </w:tabs>
      <w:ind w:right="333" w:rightChars="104" w:firstLine="560"/>
      <w:jc w:val="right"/>
      <w:rPr>
        <w:rFonts w:ascii="宋体"/>
        <w:sz w:val="28"/>
        <w:szCs w:val="28"/>
      </w:rPr>
    </w:pP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ascii="宋体"/>
        <w:sz w:val="28"/>
        <w:szCs w:val="28"/>
        <w:lang w:val="zh-CN"/>
      </w:rPr>
      <w:t>-</w:t>
    </w:r>
    <w:r>
      <w:rPr>
        <w:rFonts w:ascii="宋体"/>
        <w:sz w:val="28"/>
        <w:szCs w:val="28"/>
      </w:rPr>
      <w:t xml:space="preserve"> 3 -</w:t>
    </w:r>
    <w:r>
      <w:rPr>
        <w:rFonts w:hint="eastAsia" w:ascii="宋体"/>
        <w:sz w:val="28"/>
        <w:szCs w:val="28"/>
      </w:rPr>
      <w:fldChar w:fldCharType="end"/>
    </w:r>
  </w:p>
  <w:p w14:paraId="74A8CF65">
    <w:pPr>
      <w:pStyle w:val="13"/>
      <w:tabs>
        <w:tab w:val="clear" w:pos="4153"/>
        <w:tab w:val="clear" w:pos="8306"/>
      </w:tabs>
      <w:ind w:firstLine="560"/>
      <w:rPr>
        <w:rFonts w:ascii="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5308A">
    <w:pPr>
      <w:pStyle w:val="13"/>
      <w:tabs>
        <w:tab w:val="clear" w:pos="4153"/>
        <w:tab w:val="clear" w:pos="8306"/>
      </w:tabs>
      <w:ind w:firstLine="560"/>
      <w:rPr>
        <w:rFonts w:ascii="宋体"/>
        <w:sz w:val="28"/>
        <w:szCs w:val="28"/>
      </w:rPr>
    </w:pPr>
    <w:r>
      <w:rPr>
        <w:rFonts w:hint="eastAsia" w:ascii="宋体"/>
        <w:sz w:val="28"/>
        <w:szCs w:val="28"/>
      </w:rPr>
      <w:fldChar w:fldCharType="begin"/>
    </w:r>
    <w:r>
      <w:rPr>
        <w:rFonts w:hint="eastAsia" w:ascii="宋体"/>
        <w:sz w:val="28"/>
        <w:szCs w:val="28"/>
      </w:rPr>
      <w:instrText xml:space="preserve"> PAGE   \* MERGEFORMAT </w:instrText>
    </w:r>
    <w:r>
      <w:rPr>
        <w:rFonts w:hint="eastAsia" w:ascii="宋体"/>
        <w:sz w:val="28"/>
        <w:szCs w:val="28"/>
      </w:rPr>
      <w:fldChar w:fldCharType="separate"/>
    </w:r>
    <w:r>
      <w:rPr>
        <w:rFonts w:ascii="宋体"/>
        <w:sz w:val="28"/>
        <w:szCs w:val="28"/>
        <w:lang w:val="zh-CN"/>
      </w:rPr>
      <w:t>-</w:t>
    </w:r>
    <w:r>
      <w:rPr>
        <w:rFonts w:ascii="宋体"/>
        <w:sz w:val="28"/>
        <w:szCs w:val="28"/>
      </w:rPr>
      <w:t xml:space="preserve"> 4 -</w:t>
    </w:r>
    <w:r>
      <w:rPr>
        <w:rFonts w:hint="eastAsia" w:ascii="宋体"/>
        <w:sz w:val="28"/>
        <w:szCs w:val="28"/>
      </w:rPr>
      <w:fldChar w:fldCharType="end"/>
    </w:r>
  </w:p>
  <w:p w14:paraId="31409560">
    <w:pPr>
      <w:pStyle w:val="13"/>
      <w:tabs>
        <w:tab w:val="clear" w:pos="4153"/>
        <w:tab w:val="clear" w:pos="8306"/>
      </w:tabs>
      <w:ind w:firstLine="560"/>
      <w:rPr>
        <w:rFonts w:ascii="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B3226">
    <w:pPr>
      <w:pStyle w:val="13"/>
      <w:tabs>
        <w:tab w:val="clear" w:pos="4153"/>
        <w:tab w:val="clear" w:pos="8306"/>
      </w:tabs>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E8885">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65AF3">
    <w:pPr>
      <w:pStyle w:val="14"/>
      <w:pBdr>
        <w:bottom w:val="none" w:color="auto" w:sz="0" w:space="0"/>
      </w:pBdr>
      <w:tabs>
        <w:tab w:val="left" w:pos="4200"/>
        <w:tab w:val="left" w:pos="4620"/>
        <w:tab w:val="left" w:pos="5040"/>
        <w:tab w:val="left" w:pos="5520"/>
        <w:tab w:val="clear" w:pos="4153"/>
        <w:tab w:val="clear" w:pos="8306"/>
      </w:tabs>
      <w:ind w:firstLine="360"/>
      <w:jc w:val="left"/>
    </w:pPr>
    <w:r>
      <w:tab/>
    </w:r>
    <w:r>
      <w:tab/>
    </w:r>
    <w:r>
      <w:tab/>
    </w: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DAC79">
    <w:pPr>
      <w:ind w:firstLine="64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D3486"/>
    <w:multiLevelType w:val="singleLevel"/>
    <w:tmpl w:val="8AED3486"/>
    <w:lvl w:ilvl="0" w:tentative="0">
      <w:start w:val="1"/>
      <w:numFmt w:val="bullet"/>
      <w:pStyle w:val="9"/>
      <w:lvlText w:val=""/>
      <w:lvlJc w:val="left"/>
      <w:pPr>
        <w:tabs>
          <w:tab w:val="left" w:pos="2040"/>
        </w:tabs>
        <w:ind w:left="2040" w:hanging="360"/>
      </w:pPr>
      <w:rPr>
        <w:rFonts w:hint="default" w:ascii="Wingdings" w:hAnsi="Wingdings"/>
      </w:rPr>
    </w:lvl>
  </w:abstractNum>
  <w:abstractNum w:abstractNumId="1">
    <w:nsid w:val="EDA445A2"/>
    <w:multiLevelType w:val="singleLevel"/>
    <w:tmpl w:val="EDA445A2"/>
    <w:lvl w:ilvl="0" w:tentative="0">
      <w:start w:val="2"/>
      <w:numFmt w:val="chineseCounting"/>
      <w:suff w:val="nothing"/>
      <w:lvlText w:val="%1、"/>
      <w:lvlJc w:val="left"/>
      <w:rPr>
        <w:rFonts w:hint="eastAsia"/>
      </w:rPr>
    </w:lvl>
  </w:abstractNum>
  <w:abstractNum w:abstractNumId="2">
    <w:nsid w:val="41CC719F"/>
    <w:multiLevelType w:val="singleLevel"/>
    <w:tmpl w:val="41CC719F"/>
    <w:lvl w:ilvl="0" w:tentative="0">
      <w:start w:val="1"/>
      <w:numFmt w:val="chineseCounting"/>
      <w:suff w:val="nothing"/>
      <w:lvlText w:val="（%1）"/>
      <w:lvlJc w:val="left"/>
      <w:rPr>
        <w:rFonts w:hint="eastAsia"/>
      </w:rPr>
    </w:lvl>
  </w:abstractNum>
  <w:abstractNum w:abstractNumId="3">
    <w:nsid w:val="60169FE7"/>
    <w:multiLevelType w:val="singleLevel"/>
    <w:tmpl w:val="60169FE7"/>
    <w:lvl w:ilvl="0" w:tentative="0">
      <w:start w:val="1"/>
      <w:numFmt w:val="chineseCounting"/>
      <w:suff w:val="nothing"/>
      <w:lvlText w:val="%1、"/>
      <w:lvlJc w:val="left"/>
      <w:rPr>
        <w:rFonts w:hint="eastAsia"/>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60"/>
  <w:drawingGridVerticalSpacing w:val="435"/>
  <w:displayHorizontalDrawingGridEvery w:val="1"/>
  <w:displayVerticalDrawingGridEvery w:val="1"/>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5OWQxM2NlNTU3ZjA0ZjkzODUyMmVlYWVlMDVjZmMifQ=="/>
  </w:docVars>
  <w:rsids>
    <w:rsidRoot w:val="00172A27"/>
    <w:rsid w:val="0000163F"/>
    <w:rsid w:val="00003B34"/>
    <w:rsid w:val="00013897"/>
    <w:rsid w:val="00022228"/>
    <w:rsid w:val="00022CF2"/>
    <w:rsid w:val="00034811"/>
    <w:rsid w:val="00034A31"/>
    <w:rsid w:val="00034E34"/>
    <w:rsid w:val="00037248"/>
    <w:rsid w:val="00043F0C"/>
    <w:rsid w:val="00052284"/>
    <w:rsid w:val="00076210"/>
    <w:rsid w:val="000769E5"/>
    <w:rsid w:val="000859A8"/>
    <w:rsid w:val="00087E51"/>
    <w:rsid w:val="00091BD8"/>
    <w:rsid w:val="00091FF4"/>
    <w:rsid w:val="000943A5"/>
    <w:rsid w:val="000B1637"/>
    <w:rsid w:val="000B3900"/>
    <w:rsid w:val="000B3C5E"/>
    <w:rsid w:val="000B603E"/>
    <w:rsid w:val="000B658C"/>
    <w:rsid w:val="000B74D4"/>
    <w:rsid w:val="000C5A5B"/>
    <w:rsid w:val="000D3AD9"/>
    <w:rsid w:val="000D55B7"/>
    <w:rsid w:val="000E3181"/>
    <w:rsid w:val="000E6DF7"/>
    <w:rsid w:val="000F03F6"/>
    <w:rsid w:val="00115654"/>
    <w:rsid w:val="00126B3C"/>
    <w:rsid w:val="00132EBD"/>
    <w:rsid w:val="00140625"/>
    <w:rsid w:val="0014072D"/>
    <w:rsid w:val="00141E8E"/>
    <w:rsid w:val="00145D8B"/>
    <w:rsid w:val="001635BA"/>
    <w:rsid w:val="001655C2"/>
    <w:rsid w:val="00166F45"/>
    <w:rsid w:val="00172A27"/>
    <w:rsid w:val="00183067"/>
    <w:rsid w:val="001A4D0B"/>
    <w:rsid w:val="001B34A3"/>
    <w:rsid w:val="001C0BEB"/>
    <w:rsid w:val="001C3E49"/>
    <w:rsid w:val="001D15E7"/>
    <w:rsid w:val="001D2295"/>
    <w:rsid w:val="001D72BA"/>
    <w:rsid w:val="001E0AD8"/>
    <w:rsid w:val="001E37FC"/>
    <w:rsid w:val="001F2347"/>
    <w:rsid w:val="002038CA"/>
    <w:rsid w:val="00210D5B"/>
    <w:rsid w:val="00212F11"/>
    <w:rsid w:val="002147F4"/>
    <w:rsid w:val="00216E3C"/>
    <w:rsid w:val="00220EB2"/>
    <w:rsid w:val="0022217C"/>
    <w:rsid w:val="00231A02"/>
    <w:rsid w:val="002323A2"/>
    <w:rsid w:val="00234BA3"/>
    <w:rsid w:val="00244A4E"/>
    <w:rsid w:val="00252C74"/>
    <w:rsid w:val="00260D94"/>
    <w:rsid w:val="0027165F"/>
    <w:rsid w:val="00277207"/>
    <w:rsid w:val="00281354"/>
    <w:rsid w:val="00284610"/>
    <w:rsid w:val="00286A5A"/>
    <w:rsid w:val="00291171"/>
    <w:rsid w:val="00292619"/>
    <w:rsid w:val="00294D83"/>
    <w:rsid w:val="00294F6C"/>
    <w:rsid w:val="002A3AF8"/>
    <w:rsid w:val="002A6B82"/>
    <w:rsid w:val="002B01A3"/>
    <w:rsid w:val="002B02AD"/>
    <w:rsid w:val="002B1341"/>
    <w:rsid w:val="002B468D"/>
    <w:rsid w:val="002B48AE"/>
    <w:rsid w:val="002C1D2B"/>
    <w:rsid w:val="002C6600"/>
    <w:rsid w:val="002C721A"/>
    <w:rsid w:val="002D17C0"/>
    <w:rsid w:val="002D326F"/>
    <w:rsid w:val="002E3998"/>
    <w:rsid w:val="003073A8"/>
    <w:rsid w:val="00314DBC"/>
    <w:rsid w:val="003152BC"/>
    <w:rsid w:val="003152E0"/>
    <w:rsid w:val="00317FFB"/>
    <w:rsid w:val="00321072"/>
    <w:rsid w:val="0032325A"/>
    <w:rsid w:val="00326133"/>
    <w:rsid w:val="00327CF5"/>
    <w:rsid w:val="00332E89"/>
    <w:rsid w:val="0034039A"/>
    <w:rsid w:val="00340553"/>
    <w:rsid w:val="00351319"/>
    <w:rsid w:val="0035305A"/>
    <w:rsid w:val="00360E30"/>
    <w:rsid w:val="003665F1"/>
    <w:rsid w:val="00370D05"/>
    <w:rsid w:val="0037232B"/>
    <w:rsid w:val="00373890"/>
    <w:rsid w:val="003777F3"/>
    <w:rsid w:val="0038263E"/>
    <w:rsid w:val="00393354"/>
    <w:rsid w:val="00397A6C"/>
    <w:rsid w:val="003A2D2F"/>
    <w:rsid w:val="003A40A1"/>
    <w:rsid w:val="003B0417"/>
    <w:rsid w:val="003B0AA5"/>
    <w:rsid w:val="003B1C60"/>
    <w:rsid w:val="003C3103"/>
    <w:rsid w:val="003D5668"/>
    <w:rsid w:val="003D6606"/>
    <w:rsid w:val="003D6DFE"/>
    <w:rsid w:val="003D6E7F"/>
    <w:rsid w:val="004011FD"/>
    <w:rsid w:val="004140D6"/>
    <w:rsid w:val="004223BB"/>
    <w:rsid w:val="004357E4"/>
    <w:rsid w:val="00447D25"/>
    <w:rsid w:val="004574C6"/>
    <w:rsid w:val="00464743"/>
    <w:rsid w:val="00466CA6"/>
    <w:rsid w:val="00476133"/>
    <w:rsid w:val="00494D8A"/>
    <w:rsid w:val="004B48BE"/>
    <w:rsid w:val="004C75CE"/>
    <w:rsid w:val="004F1679"/>
    <w:rsid w:val="00505D7C"/>
    <w:rsid w:val="00523924"/>
    <w:rsid w:val="005323F0"/>
    <w:rsid w:val="005335E6"/>
    <w:rsid w:val="0053370D"/>
    <w:rsid w:val="005358D9"/>
    <w:rsid w:val="00545882"/>
    <w:rsid w:val="00573B84"/>
    <w:rsid w:val="00574CB5"/>
    <w:rsid w:val="00574D39"/>
    <w:rsid w:val="0058523E"/>
    <w:rsid w:val="00594863"/>
    <w:rsid w:val="00594C2B"/>
    <w:rsid w:val="00595F42"/>
    <w:rsid w:val="005971FE"/>
    <w:rsid w:val="005973D8"/>
    <w:rsid w:val="005A7BF4"/>
    <w:rsid w:val="005A7D91"/>
    <w:rsid w:val="005B4277"/>
    <w:rsid w:val="005B4DC1"/>
    <w:rsid w:val="005B6B95"/>
    <w:rsid w:val="005B73F2"/>
    <w:rsid w:val="005C2C12"/>
    <w:rsid w:val="005C4BA3"/>
    <w:rsid w:val="005C6D08"/>
    <w:rsid w:val="005D325B"/>
    <w:rsid w:val="005D52D5"/>
    <w:rsid w:val="005E3D93"/>
    <w:rsid w:val="005E60C3"/>
    <w:rsid w:val="005F67D1"/>
    <w:rsid w:val="005F6EA1"/>
    <w:rsid w:val="005F772D"/>
    <w:rsid w:val="00603137"/>
    <w:rsid w:val="00607636"/>
    <w:rsid w:val="0061477B"/>
    <w:rsid w:val="00623EF7"/>
    <w:rsid w:val="00635839"/>
    <w:rsid w:val="00654571"/>
    <w:rsid w:val="00655C9B"/>
    <w:rsid w:val="0066328B"/>
    <w:rsid w:val="00670489"/>
    <w:rsid w:val="00673E3A"/>
    <w:rsid w:val="00675E95"/>
    <w:rsid w:val="006842EF"/>
    <w:rsid w:val="006858AE"/>
    <w:rsid w:val="00693147"/>
    <w:rsid w:val="006A2965"/>
    <w:rsid w:val="006A3BFA"/>
    <w:rsid w:val="006A402B"/>
    <w:rsid w:val="006A4B57"/>
    <w:rsid w:val="006A7F01"/>
    <w:rsid w:val="006B264B"/>
    <w:rsid w:val="006C1C66"/>
    <w:rsid w:val="006D005C"/>
    <w:rsid w:val="006E4B6D"/>
    <w:rsid w:val="00705F27"/>
    <w:rsid w:val="00711216"/>
    <w:rsid w:val="00714598"/>
    <w:rsid w:val="00725AE5"/>
    <w:rsid w:val="007273DC"/>
    <w:rsid w:val="00731875"/>
    <w:rsid w:val="00731B4C"/>
    <w:rsid w:val="0073401B"/>
    <w:rsid w:val="00734314"/>
    <w:rsid w:val="007438A8"/>
    <w:rsid w:val="00753DF2"/>
    <w:rsid w:val="007756C4"/>
    <w:rsid w:val="00776E6C"/>
    <w:rsid w:val="00780C4A"/>
    <w:rsid w:val="00786F97"/>
    <w:rsid w:val="00790734"/>
    <w:rsid w:val="007960CA"/>
    <w:rsid w:val="00797BD9"/>
    <w:rsid w:val="007A1CC7"/>
    <w:rsid w:val="007B29EE"/>
    <w:rsid w:val="007B3F17"/>
    <w:rsid w:val="007B3F9E"/>
    <w:rsid w:val="007B7053"/>
    <w:rsid w:val="007D2911"/>
    <w:rsid w:val="007D6AF9"/>
    <w:rsid w:val="007F387A"/>
    <w:rsid w:val="00801EBE"/>
    <w:rsid w:val="008111A0"/>
    <w:rsid w:val="00814F27"/>
    <w:rsid w:val="00830F08"/>
    <w:rsid w:val="00836B89"/>
    <w:rsid w:val="00850544"/>
    <w:rsid w:val="008569C5"/>
    <w:rsid w:val="0085716B"/>
    <w:rsid w:val="008603F0"/>
    <w:rsid w:val="00863AA0"/>
    <w:rsid w:val="0086670F"/>
    <w:rsid w:val="00867A7C"/>
    <w:rsid w:val="0087030D"/>
    <w:rsid w:val="0087097C"/>
    <w:rsid w:val="00872323"/>
    <w:rsid w:val="00875B21"/>
    <w:rsid w:val="00876B7A"/>
    <w:rsid w:val="00881E26"/>
    <w:rsid w:val="00894E86"/>
    <w:rsid w:val="0089697D"/>
    <w:rsid w:val="008A34A3"/>
    <w:rsid w:val="008B64FD"/>
    <w:rsid w:val="008D04D7"/>
    <w:rsid w:val="008D392F"/>
    <w:rsid w:val="008D657A"/>
    <w:rsid w:val="008F03AF"/>
    <w:rsid w:val="008F1655"/>
    <w:rsid w:val="008F3F77"/>
    <w:rsid w:val="008F6A88"/>
    <w:rsid w:val="0090168D"/>
    <w:rsid w:val="00901CF6"/>
    <w:rsid w:val="009109C4"/>
    <w:rsid w:val="00910F6B"/>
    <w:rsid w:val="009116A8"/>
    <w:rsid w:val="00912F04"/>
    <w:rsid w:val="00920CF6"/>
    <w:rsid w:val="0092434D"/>
    <w:rsid w:val="0093218D"/>
    <w:rsid w:val="00947B4A"/>
    <w:rsid w:val="00952CF3"/>
    <w:rsid w:val="00955B81"/>
    <w:rsid w:val="00964E58"/>
    <w:rsid w:val="00967257"/>
    <w:rsid w:val="00975971"/>
    <w:rsid w:val="00977810"/>
    <w:rsid w:val="00981C2A"/>
    <w:rsid w:val="009869A9"/>
    <w:rsid w:val="0099052A"/>
    <w:rsid w:val="0099190F"/>
    <w:rsid w:val="00994A34"/>
    <w:rsid w:val="009A00F6"/>
    <w:rsid w:val="009A5EDF"/>
    <w:rsid w:val="009B08BE"/>
    <w:rsid w:val="009B5701"/>
    <w:rsid w:val="009C1672"/>
    <w:rsid w:val="009C1CD9"/>
    <w:rsid w:val="009C3754"/>
    <w:rsid w:val="009C56E1"/>
    <w:rsid w:val="009D157A"/>
    <w:rsid w:val="009E6A85"/>
    <w:rsid w:val="00A0485E"/>
    <w:rsid w:val="00A2366A"/>
    <w:rsid w:val="00A3099D"/>
    <w:rsid w:val="00A3325D"/>
    <w:rsid w:val="00A4149A"/>
    <w:rsid w:val="00A427AA"/>
    <w:rsid w:val="00A4424E"/>
    <w:rsid w:val="00A47062"/>
    <w:rsid w:val="00A516B7"/>
    <w:rsid w:val="00A51F8A"/>
    <w:rsid w:val="00A6267E"/>
    <w:rsid w:val="00A71F6F"/>
    <w:rsid w:val="00A74D7A"/>
    <w:rsid w:val="00A80DAE"/>
    <w:rsid w:val="00A81FA5"/>
    <w:rsid w:val="00A971E1"/>
    <w:rsid w:val="00AA0CC0"/>
    <w:rsid w:val="00AA2DFC"/>
    <w:rsid w:val="00AA4B8E"/>
    <w:rsid w:val="00AC0E06"/>
    <w:rsid w:val="00AE458B"/>
    <w:rsid w:val="00B13670"/>
    <w:rsid w:val="00B14110"/>
    <w:rsid w:val="00B15608"/>
    <w:rsid w:val="00B160AA"/>
    <w:rsid w:val="00B21CB1"/>
    <w:rsid w:val="00B23161"/>
    <w:rsid w:val="00B27209"/>
    <w:rsid w:val="00B273EB"/>
    <w:rsid w:val="00B27928"/>
    <w:rsid w:val="00B43B4C"/>
    <w:rsid w:val="00B44540"/>
    <w:rsid w:val="00B549B0"/>
    <w:rsid w:val="00B67348"/>
    <w:rsid w:val="00B9315C"/>
    <w:rsid w:val="00B95B40"/>
    <w:rsid w:val="00B96279"/>
    <w:rsid w:val="00BA6BC8"/>
    <w:rsid w:val="00BA6CF6"/>
    <w:rsid w:val="00BB573D"/>
    <w:rsid w:val="00BD1FFD"/>
    <w:rsid w:val="00BD3C49"/>
    <w:rsid w:val="00BD3D63"/>
    <w:rsid w:val="00BE689E"/>
    <w:rsid w:val="00C005EF"/>
    <w:rsid w:val="00C06F47"/>
    <w:rsid w:val="00C14176"/>
    <w:rsid w:val="00C304F5"/>
    <w:rsid w:val="00C31C3A"/>
    <w:rsid w:val="00C533A4"/>
    <w:rsid w:val="00C635B4"/>
    <w:rsid w:val="00C65E8A"/>
    <w:rsid w:val="00C84B02"/>
    <w:rsid w:val="00C916C1"/>
    <w:rsid w:val="00C97B2E"/>
    <w:rsid w:val="00CA0421"/>
    <w:rsid w:val="00CA35C8"/>
    <w:rsid w:val="00CA4CD5"/>
    <w:rsid w:val="00CB3D45"/>
    <w:rsid w:val="00CB7ADB"/>
    <w:rsid w:val="00CC0528"/>
    <w:rsid w:val="00CC797E"/>
    <w:rsid w:val="00CD4203"/>
    <w:rsid w:val="00CE1725"/>
    <w:rsid w:val="00CE56A4"/>
    <w:rsid w:val="00CF01F1"/>
    <w:rsid w:val="00D03EC7"/>
    <w:rsid w:val="00D12A53"/>
    <w:rsid w:val="00D139C3"/>
    <w:rsid w:val="00D14E71"/>
    <w:rsid w:val="00D250E9"/>
    <w:rsid w:val="00D25F4F"/>
    <w:rsid w:val="00D348DA"/>
    <w:rsid w:val="00D3508A"/>
    <w:rsid w:val="00D366C2"/>
    <w:rsid w:val="00D41FD3"/>
    <w:rsid w:val="00D43311"/>
    <w:rsid w:val="00D436B5"/>
    <w:rsid w:val="00D54997"/>
    <w:rsid w:val="00D55A82"/>
    <w:rsid w:val="00D56335"/>
    <w:rsid w:val="00D572FF"/>
    <w:rsid w:val="00D60712"/>
    <w:rsid w:val="00D75281"/>
    <w:rsid w:val="00D815E5"/>
    <w:rsid w:val="00D824AA"/>
    <w:rsid w:val="00D846BD"/>
    <w:rsid w:val="00D9674D"/>
    <w:rsid w:val="00DA22F2"/>
    <w:rsid w:val="00DB283F"/>
    <w:rsid w:val="00DC3AA5"/>
    <w:rsid w:val="00DC4E0A"/>
    <w:rsid w:val="00DD3BBC"/>
    <w:rsid w:val="00DD3FB1"/>
    <w:rsid w:val="00DE5A70"/>
    <w:rsid w:val="00DF3135"/>
    <w:rsid w:val="00DF5A2C"/>
    <w:rsid w:val="00DF72E3"/>
    <w:rsid w:val="00E07B26"/>
    <w:rsid w:val="00E11133"/>
    <w:rsid w:val="00E1767E"/>
    <w:rsid w:val="00E2095B"/>
    <w:rsid w:val="00E21D8D"/>
    <w:rsid w:val="00E21F49"/>
    <w:rsid w:val="00E25759"/>
    <w:rsid w:val="00E2746D"/>
    <w:rsid w:val="00E35E8F"/>
    <w:rsid w:val="00E47A6B"/>
    <w:rsid w:val="00E52907"/>
    <w:rsid w:val="00E53894"/>
    <w:rsid w:val="00E64836"/>
    <w:rsid w:val="00E6591B"/>
    <w:rsid w:val="00E66565"/>
    <w:rsid w:val="00E71520"/>
    <w:rsid w:val="00E82B13"/>
    <w:rsid w:val="00E86E2D"/>
    <w:rsid w:val="00E92F33"/>
    <w:rsid w:val="00E97918"/>
    <w:rsid w:val="00EA0F9C"/>
    <w:rsid w:val="00EA434C"/>
    <w:rsid w:val="00EB1C0E"/>
    <w:rsid w:val="00EB240E"/>
    <w:rsid w:val="00ED16C1"/>
    <w:rsid w:val="00ED23E0"/>
    <w:rsid w:val="00ED4E87"/>
    <w:rsid w:val="00EE08A5"/>
    <w:rsid w:val="00EE15E5"/>
    <w:rsid w:val="00EE7F3A"/>
    <w:rsid w:val="00EF420B"/>
    <w:rsid w:val="00F077AE"/>
    <w:rsid w:val="00F11EE8"/>
    <w:rsid w:val="00F124D1"/>
    <w:rsid w:val="00F200A2"/>
    <w:rsid w:val="00F21E2A"/>
    <w:rsid w:val="00F23126"/>
    <w:rsid w:val="00F33FF1"/>
    <w:rsid w:val="00F344BA"/>
    <w:rsid w:val="00F35272"/>
    <w:rsid w:val="00F41B73"/>
    <w:rsid w:val="00F426D3"/>
    <w:rsid w:val="00F42D16"/>
    <w:rsid w:val="00F52B48"/>
    <w:rsid w:val="00F52FCA"/>
    <w:rsid w:val="00F544AE"/>
    <w:rsid w:val="00F54A06"/>
    <w:rsid w:val="00F5672C"/>
    <w:rsid w:val="00F96F3A"/>
    <w:rsid w:val="00FA0489"/>
    <w:rsid w:val="00FA1F57"/>
    <w:rsid w:val="00FA668E"/>
    <w:rsid w:val="00FB37C9"/>
    <w:rsid w:val="00FC51B8"/>
    <w:rsid w:val="00FC6DD2"/>
    <w:rsid w:val="00FD1798"/>
    <w:rsid w:val="00FD17FA"/>
    <w:rsid w:val="00FD2893"/>
    <w:rsid w:val="00FD397F"/>
    <w:rsid w:val="00FE1ACD"/>
    <w:rsid w:val="00FE4F09"/>
    <w:rsid w:val="00FE694C"/>
    <w:rsid w:val="0180531D"/>
    <w:rsid w:val="01963C8A"/>
    <w:rsid w:val="01B91D0C"/>
    <w:rsid w:val="01DA7C98"/>
    <w:rsid w:val="02102371"/>
    <w:rsid w:val="02143EDB"/>
    <w:rsid w:val="022D2FCD"/>
    <w:rsid w:val="02426E64"/>
    <w:rsid w:val="029151E1"/>
    <w:rsid w:val="02A013AA"/>
    <w:rsid w:val="02D20ACD"/>
    <w:rsid w:val="02D312B7"/>
    <w:rsid w:val="02D33135"/>
    <w:rsid w:val="02E50D6A"/>
    <w:rsid w:val="02FA438B"/>
    <w:rsid w:val="030259DE"/>
    <w:rsid w:val="039E3D73"/>
    <w:rsid w:val="03B2577C"/>
    <w:rsid w:val="045A77D7"/>
    <w:rsid w:val="046A5DDC"/>
    <w:rsid w:val="047C774D"/>
    <w:rsid w:val="04C65772"/>
    <w:rsid w:val="04CC1D57"/>
    <w:rsid w:val="04EC6319"/>
    <w:rsid w:val="05544B7B"/>
    <w:rsid w:val="056F7EF6"/>
    <w:rsid w:val="05743B6C"/>
    <w:rsid w:val="05802F92"/>
    <w:rsid w:val="06682716"/>
    <w:rsid w:val="06BF4970"/>
    <w:rsid w:val="06C15F9C"/>
    <w:rsid w:val="06C32EC1"/>
    <w:rsid w:val="071B341A"/>
    <w:rsid w:val="07646DC2"/>
    <w:rsid w:val="077741FC"/>
    <w:rsid w:val="07A10406"/>
    <w:rsid w:val="07C75183"/>
    <w:rsid w:val="07CA2ED7"/>
    <w:rsid w:val="07D54769"/>
    <w:rsid w:val="07EF3766"/>
    <w:rsid w:val="08017F69"/>
    <w:rsid w:val="08B1721D"/>
    <w:rsid w:val="08FA6E92"/>
    <w:rsid w:val="097F12A3"/>
    <w:rsid w:val="09A1777D"/>
    <w:rsid w:val="09A6526C"/>
    <w:rsid w:val="0A4F1BBF"/>
    <w:rsid w:val="0AC566C4"/>
    <w:rsid w:val="0B4F2296"/>
    <w:rsid w:val="0B855BB7"/>
    <w:rsid w:val="0BB84DE3"/>
    <w:rsid w:val="0BE7494E"/>
    <w:rsid w:val="0BFC73C5"/>
    <w:rsid w:val="0C411D42"/>
    <w:rsid w:val="0C620020"/>
    <w:rsid w:val="0C821170"/>
    <w:rsid w:val="0C8C7B66"/>
    <w:rsid w:val="0CAC0DEC"/>
    <w:rsid w:val="0D5F7A52"/>
    <w:rsid w:val="0D9803D8"/>
    <w:rsid w:val="0E165EF5"/>
    <w:rsid w:val="0EA11A35"/>
    <w:rsid w:val="0EBB20C0"/>
    <w:rsid w:val="0EE34D8D"/>
    <w:rsid w:val="0EF067DF"/>
    <w:rsid w:val="0F1113DA"/>
    <w:rsid w:val="0F4777DC"/>
    <w:rsid w:val="0F704352"/>
    <w:rsid w:val="0F790917"/>
    <w:rsid w:val="0F9963B2"/>
    <w:rsid w:val="0FCB3337"/>
    <w:rsid w:val="0FD3569A"/>
    <w:rsid w:val="101277DE"/>
    <w:rsid w:val="10427083"/>
    <w:rsid w:val="10901CAC"/>
    <w:rsid w:val="10D26947"/>
    <w:rsid w:val="10DA7A4D"/>
    <w:rsid w:val="11001706"/>
    <w:rsid w:val="116951E8"/>
    <w:rsid w:val="11AA0C89"/>
    <w:rsid w:val="124D4DE7"/>
    <w:rsid w:val="12841571"/>
    <w:rsid w:val="12D93FBD"/>
    <w:rsid w:val="12E05BA6"/>
    <w:rsid w:val="130A686C"/>
    <w:rsid w:val="130D3C66"/>
    <w:rsid w:val="13222CE3"/>
    <w:rsid w:val="13497394"/>
    <w:rsid w:val="1362577F"/>
    <w:rsid w:val="13872E75"/>
    <w:rsid w:val="1388252A"/>
    <w:rsid w:val="13E4357A"/>
    <w:rsid w:val="14196876"/>
    <w:rsid w:val="14262BA5"/>
    <w:rsid w:val="142E18C9"/>
    <w:rsid w:val="14CE23B0"/>
    <w:rsid w:val="15416391"/>
    <w:rsid w:val="155B6F0B"/>
    <w:rsid w:val="156C217D"/>
    <w:rsid w:val="156F6E5A"/>
    <w:rsid w:val="158717DE"/>
    <w:rsid w:val="159E33BF"/>
    <w:rsid w:val="15C52F2D"/>
    <w:rsid w:val="15EB4D8F"/>
    <w:rsid w:val="15FC1073"/>
    <w:rsid w:val="16020709"/>
    <w:rsid w:val="1653052A"/>
    <w:rsid w:val="171966F1"/>
    <w:rsid w:val="17470DF8"/>
    <w:rsid w:val="17734BE8"/>
    <w:rsid w:val="1794534E"/>
    <w:rsid w:val="17AC6144"/>
    <w:rsid w:val="180C2112"/>
    <w:rsid w:val="180D3ED3"/>
    <w:rsid w:val="180D6A39"/>
    <w:rsid w:val="18312EA1"/>
    <w:rsid w:val="188C7C46"/>
    <w:rsid w:val="18907475"/>
    <w:rsid w:val="18975EE2"/>
    <w:rsid w:val="192734BB"/>
    <w:rsid w:val="19977B24"/>
    <w:rsid w:val="19B015E4"/>
    <w:rsid w:val="19D90D46"/>
    <w:rsid w:val="1A056AC1"/>
    <w:rsid w:val="1A9500F8"/>
    <w:rsid w:val="1AAD50D9"/>
    <w:rsid w:val="1B0818E3"/>
    <w:rsid w:val="1B6B6A0B"/>
    <w:rsid w:val="1B907DF8"/>
    <w:rsid w:val="1B966EEF"/>
    <w:rsid w:val="1BB1223F"/>
    <w:rsid w:val="1BDC5F2D"/>
    <w:rsid w:val="1C004789"/>
    <w:rsid w:val="1C552376"/>
    <w:rsid w:val="1C556922"/>
    <w:rsid w:val="1CA05239"/>
    <w:rsid w:val="1CC659C3"/>
    <w:rsid w:val="1D352737"/>
    <w:rsid w:val="1D356474"/>
    <w:rsid w:val="1D7758B3"/>
    <w:rsid w:val="1D7968A5"/>
    <w:rsid w:val="1D7E52FC"/>
    <w:rsid w:val="1D7F7FDE"/>
    <w:rsid w:val="1DE507E4"/>
    <w:rsid w:val="1DFF258B"/>
    <w:rsid w:val="1ED44E0B"/>
    <w:rsid w:val="1ED72F0E"/>
    <w:rsid w:val="1F2F1E61"/>
    <w:rsid w:val="1F6B68E4"/>
    <w:rsid w:val="1F757AC2"/>
    <w:rsid w:val="1F9829EC"/>
    <w:rsid w:val="1FE65F6B"/>
    <w:rsid w:val="20067091"/>
    <w:rsid w:val="203A5729"/>
    <w:rsid w:val="20855784"/>
    <w:rsid w:val="2098257A"/>
    <w:rsid w:val="20D46FF8"/>
    <w:rsid w:val="210642E6"/>
    <w:rsid w:val="210F4A7D"/>
    <w:rsid w:val="216B2BCB"/>
    <w:rsid w:val="219B4471"/>
    <w:rsid w:val="219D000A"/>
    <w:rsid w:val="21C8292E"/>
    <w:rsid w:val="21CA5B44"/>
    <w:rsid w:val="21FE1453"/>
    <w:rsid w:val="220A1A9C"/>
    <w:rsid w:val="222F152D"/>
    <w:rsid w:val="2246008A"/>
    <w:rsid w:val="22492989"/>
    <w:rsid w:val="22571DAC"/>
    <w:rsid w:val="226D4721"/>
    <w:rsid w:val="227A192B"/>
    <w:rsid w:val="23007343"/>
    <w:rsid w:val="232D6803"/>
    <w:rsid w:val="23423DA1"/>
    <w:rsid w:val="23AE4FF1"/>
    <w:rsid w:val="23C6058D"/>
    <w:rsid w:val="23D700A4"/>
    <w:rsid w:val="242877DE"/>
    <w:rsid w:val="242A0B1C"/>
    <w:rsid w:val="245931AF"/>
    <w:rsid w:val="247022A7"/>
    <w:rsid w:val="24876AA6"/>
    <w:rsid w:val="249B7324"/>
    <w:rsid w:val="250403C0"/>
    <w:rsid w:val="252437BD"/>
    <w:rsid w:val="252C08C4"/>
    <w:rsid w:val="25551BC9"/>
    <w:rsid w:val="257D421F"/>
    <w:rsid w:val="25AC1193"/>
    <w:rsid w:val="25BB41CC"/>
    <w:rsid w:val="25C509A5"/>
    <w:rsid w:val="25D95F60"/>
    <w:rsid w:val="25EA0571"/>
    <w:rsid w:val="26AD53D1"/>
    <w:rsid w:val="26C50B62"/>
    <w:rsid w:val="26CF4EF1"/>
    <w:rsid w:val="26F92A28"/>
    <w:rsid w:val="271A593B"/>
    <w:rsid w:val="27203213"/>
    <w:rsid w:val="274D379A"/>
    <w:rsid w:val="2757487A"/>
    <w:rsid w:val="27633F15"/>
    <w:rsid w:val="278B1478"/>
    <w:rsid w:val="27BB2457"/>
    <w:rsid w:val="27DB2E59"/>
    <w:rsid w:val="28934DFF"/>
    <w:rsid w:val="289A2F1A"/>
    <w:rsid w:val="28BE7A85"/>
    <w:rsid w:val="290441D9"/>
    <w:rsid w:val="294B1B74"/>
    <w:rsid w:val="295C2DFA"/>
    <w:rsid w:val="29F26D06"/>
    <w:rsid w:val="2A583806"/>
    <w:rsid w:val="2A5B2ABE"/>
    <w:rsid w:val="2A661D36"/>
    <w:rsid w:val="2B68186D"/>
    <w:rsid w:val="2B982059"/>
    <w:rsid w:val="2BB6248A"/>
    <w:rsid w:val="2BFF06BF"/>
    <w:rsid w:val="2C293467"/>
    <w:rsid w:val="2C3677D8"/>
    <w:rsid w:val="2C3762A5"/>
    <w:rsid w:val="2C44491F"/>
    <w:rsid w:val="2C8114F5"/>
    <w:rsid w:val="2C855302"/>
    <w:rsid w:val="2CDE533B"/>
    <w:rsid w:val="2D3455BE"/>
    <w:rsid w:val="2DBD6096"/>
    <w:rsid w:val="2DC435A5"/>
    <w:rsid w:val="2E4D54CD"/>
    <w:rsid w:val="2E5B49FA"/>
    <w:rsid w:val="2E834D6B"/>
    <w:rsid w:val="2EA840B7"/>
    <w:rsid w:val="2EEA15D4"/>
    <w:rsid w:val="2EEE3634"/>
    <w:rsid w:val="2F105551"/>
    <w:rsid w:val="2F2A13C8"/>
    <w:rsid w:val="2F3A1DA0"/>
    <w:rsid w:val="2F483AA2"/>
    <w:rsid w:val="2F4D2095"/>
    <w:rsid w:val="2F807842"/>
    <w:rsid w:val="2FEB570C"/>
    <w:rsid w:val="2FEF251C"/>
    <w:rsid w:val="300C1150"/>
    <w:rsid w:val="30927BC2"/>
    <w:rsid w:val="31004D43"/>
    <w:rsid w:val="31101099"/>
    <w:rsid w:val="323B6E74"/>
    <w:rsid w:val="32427031"/>
    <w:rsid w:val="32627818"/>
    <w:rsid w:val="330D4FFF"/>
    <w:rsid w:val="335C4122"/>
    <w:rsid w:val="33673251"/>
    <w:rsid w:val="339A10EE"/>
    <w:rsid w:val="33A022B5"/>
    <w:rsid w:val="3424001A"/>
    <w:rsid w:val="342E2B27"/>
    <w:rsid w:val="34394463"/>
    <w:rsid w:val="344F5734"/>
    <w:rsid w:val="347A0A28"/>
    <w:rsid w:val="34B20AE7"/>
    <w:rsid w:val="34B87F54"/>
    <w:rsid w:val="34CB53C0"/>
    <w:rsid w:val="350D601C"/>
    <w:rsid w:val="35246FC7"/>
    <w:rsid w:val="353C245D"/>
    <w:rsid w:val="35700359"/>
    <w:rsid w:val="357C4F4F"/>
    <w:rsid w:val="35C506A4"/>
    <w:rsid w:val="35D629F5"/>
    <w:rsid w:val="363C7FB8"/>
    <w:rsid w:val="36527804"/>
    <w:rsid w:val="3694431E"/>
    <w:rsid w:val="369835B8"/>
    <w:rsid w:val="36A032D3"/>
    <w:rsid w:val="36B05798"/>
    <w:rsid w:val="36B92FB6"/>
    <w:rsid w:val="36BF7D2B"/>
    <w:rsid w:val="36C7324A"/>
    <w:rsid w:val="36D56E8A"/>
    <w:rsid w:val="373040D9"/>
    <w:rsid w:val="37CD6E03"/>
    <w:rsid w:val="380311BF"/>
    <w:rsid w:val="382C7F0C"/>
    <w:rsid w:val="386D0B7F"/>
    <w:rsid w:val="38EE770F"/>
    <w:rsid w:val="38F742A0"/>
    <w:rsid w:val="39017341"/>
    <w:rsid w:val="39442F96"/>
    <w:rsid w:val="3A0B3150"/>
    <w:rsid w:val="3A3B1F75"/>
    <w:rsid w:val="3A690764"/>
    <w:rsid w:val="3A920D71"/>
    <w:rsid w:val="3ABB2076"/>
    <w:rsid w:val="3ACA050B"/>
    <w:rsid w:val="3ACC3C0C"/>
    <w:rsid w:val="3B0147FF"/>
    <w:rsid w:val="3B247ABF"/>
    <w:rsid w:val="3B3B1793"/>
    <w:rsid w:val="3B3E6803"/>
    <w:rsid w:val="3BD437B2"/>
    <w:rsid w:val="3BDC0242"/>
    <w:rsid w:val="3BFC443B"/>
    <w:rsid w:val="3C154DB3"/>
    <w:rsid w:val="3C5E0F0B"/>
    <w:rsid w:val="3C8B5A78"/>
    <w:rsid w:val="3D13731E"/>
    <w:rsid w:val="3D2567DB"/>
    <w:rsid w:val="3D882B40"/>
    <w:rsid w:val="3DA80607"/>
    <w:rsid w:val="3DD8234F"/>
    <w:rsid w:val="3E0C4D16"/>
    <w:rsid w:val="3EF25EC7"/>
    <w:rsid w:val="3F033CAD"/>
    <w:rsid w:val="3F1735F3"/>
    <w:rsid w:val="3F5D7BA0"/>
    <w:rsid w:val="3F8A0C59"/>
    <w:rsid w:val="3F9833D5"/>
    <w:rsid w:val="3FBF4426"/>
    <w:rsid w:val="3FD9014F"/>
    <w:rsid w:val="402210BD"/>
    <w:rsid w:val="40273D0A"/>
    <w:rsid w:val="403074C2"/>
    <w:rsid w:val="4099576A"/>
    <w:rsid w:val="40A13D96"/>
    <w:rsid w:val="411E2B5B"/>
    <w:rsid w:val="413F2F26"/>
    <w:rsid w:val="414552B1"/>
    <w:rsid w:val="415D31EC"/>
    <w:rsid w:val="41C10FF6"/>
    <w:rsid w:val="41F66C78"/>
    <w:rsid w:val="42333357"/>
    <w:rsid w:val="42E91AEA"/>
    <w:rsid w:val="43410984"/>
    <w:rsid w:val="43A0005B"/>
    <w:rsid w:val="43A8628C"/>
    <w:rsid w:val="43AE09CA"/>
    <w:rsid w:val="43FC3498"/>
    <w:rsid w:val="442826F8"/>
    <w:rsid w:val="444F25F6"/>
    <w:rsid w:val="44611D27"/>
    <w:rsid w:val="44744147"/>
    <w:rsid w:val="44ED5522"/>
    <w:rsid w:val="451934B4"/>
    <w:rsid w:val="451F1453"/>
    <w:rsid w:val="459314CE"/>
    <w:rsid w:val="45F11360"/>
    <w:rsid w:val="461A0599"/>
    <w:rsid w:val="462E64A2"/>
    <w:rsid w:val="46326F64"/>
    <w:rsid w:val="465E18E7"/>
    <w:rsid w:val="467D4758"/>
    <w:rsid w:val="4681606A"/>
    <w:rsid w:val="46835183"/>
    <w:rsid w:val="46A30D3E"/>
    <w:rsid w:val="46A62CDC"/>
    <w:rsid w:val="47347438"/>
    <w:rsid w:val="47476EAB"/>
    <w:rsid w:val="47524663"/>
    <w:rsid w:val="477B1347"/>
    <w:rsid w:val="47F555DA"/>
    <w:rsid w:val="480E496E"/>
    <w:rsid w:val="48310CBB"/>
    <w:rsid w:val="489D725F"/>
    <w:rsid w:val="489F18A2"/>
    <w:rsid w:val="48CC544E"/>
    <w:rsid w:val="490D6193"/>
    <w:rsid w:val="491E0DFB"/>
    <w:rsid w:val="493279A7"/>
    <w:rsid w:val="49375FC1"/>
    <w:rsid w:val="49477898"/>
    <w:rsid w:val="49670DEA"/>
    <w:rsid w:val="49767DC7"/>
    <w:rsid w:val="49CD76D0"/>
    <w:rsid w:val="4A0F0210"/>
    <w:rsid w:val="4A162F95"/>
    <w:rsid w:val="4A192915"/>
    <w:rsid w:val="4A343491"/>
    <w:rsid w:val="4A4E6A63"/>
    <w:rsid w:val="4AD819B9"/>
    <w:rsid w:val="4AF339C2"/>
    <w:rsid w:val="4B5941DA"/>
    <w:rsid w:val="4B5A31E5"/>
    <w:rsid w:val="4B636AF4"/>
    <w:rsid w:val="4BB31088"/>
    <w:rsid w:val="4BFE4729"/>
    <w:rsid w:val="4C076CBC"/>
    <w:rsid w:val="4C1A71C0"/>
    <w:rsid w:val="4C6562E6"/>
    <w:rsid w:val="4C6E5771"/>
    <w:rsid w:val="4C79738C"/>
    <w:rsid w:val="4CAC181F"/>
    <w:rsid w:val="4CE145B5"/>
    <w:rsid w:val="4D014059"/>
    <w:rsid w:val="4D422183"/>
    <w:rsid w:val="4D5123C6"/>
    <w:rsid w:val="4D695623"/>
    <w:rsid w:val="4D9112DB"/>
    <w:rsid w:val="4DB12E65"/>
    <w:rsid w:val="4DEE6D01"/>
    <w:rsid w:val="4E064C58"/>
    <w:rsid w:val="4E1D124E"/>
    <w:rsid w:val="4E231BDA"/>
    <w:rsid w:val="4E485577"/>
    <w:rsid w:val="4E502A70"/>
    <w:rsid w:val="4E613D2C"/>
    <w:rsid w:val="4EA01857"/>
    <w:rsid w:val="4EB838B9"/>
    <w:rsid w:val="4ED44905"/>
    <w:rsid w:val="4EF34827"/>
    <w:rsid w:val="4F4C5F6D"/>
    <w:rsid w:val="4FDC795D"/>
    <w:rsid w:val="4FFD7F4B"/>
    <w:rsid w:val="50076346"/>
    <w:rsid w:val="506722EA"/>
    <w:rsid w:val="508B6F43"/>
    <w:rsid w:val="509E3B74"/>
    <w:rsid w:val="50B87F6C"/>
    <w:rsid w:val="51196355"/>
    <w:rsid w:val="51237D2E"/>
    <w:rsid w:val="5157538C"/>
    <w:rsid w:val="515B1BE3"/>
    <w:rsid w:val="51EFCC5F"/>
    <w:rsid w:val="522F5206"/>
    <w:rsid w:val="52341595"/>
    <w:rsid w:val="524015D9"/>
    <w:rsid w:val="5285323E"/>
    <w:rsid w:val="52975ADB"/>
    <w:rsid w:val="52BA6B03"/>
    <w:rsid w:val="52C938E1"/>
    <w:rsid w:val="52DC03AA"/>
    <w:rsid w:val="5336155F"/>
    <w:rsid w:val="534B7C7A"/>
    <w:rsid w:val="53C837B9"/>
    <w:rsid w:val="53D33174"/>
    <w:rsid w:val="54517EE5"/>
    <w:rsid w:val="54607305"/>
    <w:rsid w:val="5466640E"/>
    <w:rsid w:val="54691DF5"/>
    <w:rsid w:val="548E41FC"/>
    <w:rsid w:val="550324CE"/>
    <w:rsid w:val="555630D8"/>
    <w:rsid w:val="55674E7D"/>
    <w:rsid w:val="55726A3C"/>
    <w:rsid w:val="55CE3D83"/>
    <w:rsid w:val="55D95F14"/>
    <w:rsid w:val="566B44F9"/>
    <w:rsid w:val="568A51DA"/>
    <w:rsid w:val="56A62938"/>
    <w:rsid w:val="56AB1BBF"/>
    <w:rsid w:val="573E1C0D"/>
    <w:rsid w:val="57A965D7"/>
    <w:rsid w:val="57CF0AB7"/>
    <w:rsid w:val="57D03F5B"/>
    <w:rsid w:val="57F8000E"/>
    <w:rsid w:val="58534355"/>
    <w:rsid w:val="58A44906"/>
    <w:rsid w:val="58AE25DB"/>
    <w:rsid w:val="58B06ECC"/>
    <w:rsid w:val="59001D0E"/>
    <w:rsid w:val="59243336"/>
    <w:rsid w:val="5967213C"/>
    <w:rsid w:val="597E755C"/>
    <w:rsid w:val="599563C7"/>
    <w:rsid w:val="59A0270B"/>
    <w:rsid w:val="5A7105F6"/>
    <w:rsid w:val="5A8E4C59"/>
    <w:rsid w:val="5AC40B88"/>
    <w:rsid w:val="5ADB3E73"/>
    <w:rsid w:val="5B0B768F"/>
    <w:rsid w:val="5B495C24"/>
    <w:rsid w:val="5B501F0F"/>
    <w:rsid w:val="5BD31393"/>
    <w:rsid w:val="5C443E0B"/>
    <w:rsid w:val="5C537F09"/>
    <w:rsid w:val="5C8C186B"/>
    <w:rsid w:val="5C9B365E"/>
    <w:rsid w:val="5CC07C5D"/>
    <w:rsid w:val="5CC21822"/>
    <w:rsid w:val="5CD149CB"/>
    <w:rsid w:val="5CE24971"/>
    <w:rsid w:val="5CEC24AF"/>
    <w:rsid w:val="5D4943AA"/>
    <w:rsid w:val="5D5F7ECE"/>
    <w:rsid w:val="5DD010E5"/>
    <w:rsid w:val="5E225DE5"/>
    <w:rsid w:val="5E4A4694"/>
    <w:rsid w:val="5E713203"/>
    <w:rsid w:val="5E8C0F8B"/>
    <w:rsid w:val="5E8D77DB"/>
    <w:rsid w:val="5E943DB8"/>
    <w:rsid w:val="5EA031AD"/>
    <w:rsid w:val="5EB741C1"/>
    <w:rsid w:val="5ED25075"/>
    <w:rsid w:val="5F16108D"/>
    <w:rsid w:val="5F184D31"/>
    <w:rsid w:val="5F5B292D"/>
    <w:rsid w:val="5F7C07D8"/>
    <w:rsid w:val="5FCC7F7E"/>
    <w:rsid w:val="5FD57738"/>
    <w:rsid w:val="603C0CB4"/>
    <w:rsid w:val="60457B68"/>
    <w:rsid w:val="604A15F8"/>
    <w:rsid w:val="606A4E15"/>
    <w:rsid w:val="608073AC"/>
    <w:rsid w:val="60872B30"/>
    <w:rsid w:val="609B18AF"/>
    <w:rsid w:val="60AB1FCE"/>
    <w:rsid w:val="60B95B72"/>
    <w:rsid w:val="60ED0B46"/>
    <w:rsid w:val="614B7400"/>
    <w:rsid w:val="61B63670"/>
    <w:rsid w:val="61D01BCB"/>
    <w:rsid w:val="61F6216A"/>
    <w:rsid w:val="61F86201"/>
    <w:rsid w:val="624A4266"/>
    <w:rsid w:val="628E3171"/>
    <w:rsid w:val="629E5C56"/>
    <w:rsid w:val="62BC567A"/>
    <w:rsid w:val="62D5362F"/>
    <w:rsid w:val="62F36DB2"/>
    <w:rsid w:val="63750765"/>
    <w:rsid w:val="63EB4CF4"/>
    <w:rsid w:val="63F95552"/>
    <w:rsid w:val="6410048D"/>
    <w:rsid w:val="641905C5"/>
    <w:rsid w:val="641B27B0"/>
    <w:rsid w:val="644A5041"/>
    <w:rsid w:val="64A64271"/>
    <w:rsid w:val="64AA5EA7"/>
    <w:rsid w:val="64CC1DB0"/>
    <w:rsid w:val="653D4C8D"/>
    <w:rsid w:val="65653AE9"/>
    <w:rsid w:val="65855537"/>
    <w:rsid w:val="65FC4EF3"/>
    <w:rsid w:val="666D7477"/>
    <w:rsid w:val="66F5748E"/>
    <w:rsid w:val="66FD7B03"/>
    <w:rsid w:val="67075148"/>
    <w:rsid w:val="67087411"/>
    <w:rsid w:val="679DAB2E"/>
    <w:rsid w:val="67A6267B"/>
    <w:rsid w:val="67E338F6"/>
    <w:rsid w:val="68120FE3"/>
    <w:rsid w:val="68574CA9"/>
    <w:rsid w:val="68843D19"/>
    <w:rsid w:val="68AC7E8E"/>
    <w:rsid w:val="68B2414A"/>
    <w:rsid w:val="68D14399"/>
    <w:rsid w:val="69095A72"/>
    <w:rsid w:val="692C7B17"/>
    <w:rsid w:val="692D75A7"/>
    <w:rsid w:val="69B031D2"/>
    <w:rsid w:val="69B66380"/>
    <w:rsid w:val="69E07DF2"/>
    <w:rsid w:val="69E36441"/>
    <w:rsid w:val="6A20153E"/>
    <w:rsid w:val="6A71051E"/>
    <w:rsid w:val="6A886ED6"/>
    <w:rsid w:val="6AC55906"/>
    <w:rsid w:val="6AE21E3A"/>
    <w:rsid w:val="6B5E0DE9"/>
    <w:rsid w:val="6B7632CC"/>
    <w:rsid w:val="6BA02A3F"/>
    <w:rsid w:val="6BA76F54"/>
    <w:rsid w:val="6BF05F44"/>
    <w:rsid w:val="6C101972"/>
    <w:rsid w:val="6C702411"/>
    <w:rsid w:val="6CB15C53"/>
    <w:rsid w:val="6D1053C7"/>
    <w:rsid w:val="6D107750"/>
    <w:rsid w:val="6D390A55"/>
    <w:rsid w:val="6D6B25BB"/>
    <w:rsid w:val="6D8172BF"/>
    <w:rsid w:val="6D893CD9"/>
    <w:rsid w:val="6E297F6F"/>
    <w:rsid w:val="6E3122A2"/>
    <w:rsid w:val="6E370755"/>
    <w:rsid w:val="6E480B9D"/>
    <w:rsid w:val="6E52760B"/>
    <w:rsid w:val="6E9F5445"/>
    <w:rsid w:val="6EF23592"/>
    <w:rsid w:val="6F5E29F5"/>
    <w:rsid w:val="6F99231A"/>
    <w:rsid w:val="70427A3C"/>
    <w:rsid w:val="70BE3E77"/>
    <w:rsid w:val="7119320A"/>
    <w:rsid w:val="713E488C"/>
    <w:rsid w:val="71621DF9"/>
    <w:rsid w:val="71630796"/>
    <w:rsid w:val="71B64A2B"/>
    <w:rsid w:val="71C1726B"/>
    <w:rsid w:val="71F736F4"/>
    <w:rsid w:val="723B36FC"/>
    <w:rsid w:val="72507D26"/>
    <w:rsid w:val="72556427"/>
    <w:rsid w:val="72CE2DEF"/>
    <w:rsid w:val="731971E5"/>
    <w:rsid w:val="737D3C8F"/>
    <w:rsid w:val="73E03AD1"/>
    <w:rsid w:val="745D5260"/>
    <w:rsid w:val="74A5053E"/>
    <w:rsid w:val="74B62489"/>
    <w:rsid w:val="74CB28DA"/>
    <w:rsid w:val="74EF5310"/>
    <w:rsid w:val="757100A2"/>
    <w:rsid w:val="767424A1"/>
    <w:rsid w:val="76837EBE"/>
    <w:rsid w:val="778B45A3"/>
    <w:rsid w:val="77AB69F3"/>
    <w:rsid w:val="77DC167D"/>
    <w:rsid w:val="77F5A702"/>
    <w:rsid w:val="77F9150C"/>
    <w:rsid w:val="77F96420"/>
    <w:rsid w:val="78953FCE"/>
    <w:rsid w:val="794A3D1A"/>
    <w:rsid w:val="79532E9E"/>
    <w:rsid w:val="7A301431"/>
    <w:rsid w:val="7A470D0F"/>
    <w:rsid w:val="7A7F8243"/>
    <w:rsid w:val="7A97325F"/>
    <w:rsid w:val="7AB03A59"/>
    <w:rsid w:val="7ABC0BCA"/>
    <w:rsid w:val="7B046591"/>
    <w:rsid w:val="7B3A3419"/>
    <w:rsid w:val="7C4C149D"/>
    <w:rsid w:val="7CCF6908"/>
    <w:rsid w:val="7CF130FA"/>
    <w:rsid w:val="7D0F1986"/>
    <w:rsid w:val="7D7D15ED"/>
    <w:rsid w:val="7D9D7924"/>
    <w:rsid w:val="7DAB14FB"/>
    <w:rsid w:val="7DDC6C17"/>
    <w:rsid w:val="7DFA4993"/>
    <w:rsid w:val="7E7324E0"/>
    <w:rsid w:val="7E860C58"/>
    <w:rsid w:val="7E9B2F4F"/>
    <w:rsid w:val="7ECC4A3D"/>
    <w:rsid w:val="7F180027"/>
    <w:rsid w:val="7F2D2E18"/>
    <w:rsid w:val="7F4219EB"/>
    <w:rsid w:val="7F7D2B31"/>
    <w:rsid w:val="7F807DDD"/>
    <w:rsid w:val="7FFF7F4B"/>
    <w:rsid w:val="AECAB514"/>
    <w:rsid w:val="D5EECC16"/>
    <w:rsid w:val="DFFE7693"/>
    <w:rsid w:val="EDCF8CA9"/>
    <w:rsid w:val="EFD53451"/>
    <w:rsid w:val="F7FE9215"/>
    <w:rsid w:val="FDEA3D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Times New Roman" w:hAnsi="Times New Roman" w:eastAsia="仿宋_GB2312" w:cs="Times New Roman"/>
      <w:kern w:val="2"/>
      <w:sz w:val="32"/>
      <w:szCs w:val="24"/>
      <w:lang w:val="en-US" w:eastAsia="zh-CN" w:bidi="ar-SA"/>
    </w:rPr>
  </w:style>
  <w:style w:type="paragraph" w:styleId="5">
    <w:name w:val="heading 3"/>
    <w:basedOn w:val="1"/>
    <w:next w:val="1"/>
    <w:qFormat/>
    <w:uiPriority w:val="0"/>
    <w:pPr>
      <w:spacing w:before="100" w:beforeAutospacing="1" w:after="100" w:afterAutospacing="1"/>
      <w:jc w:val="left"/>
      <w:outlineLvl w:val="2"/>
    </w:pPr>
    <w:rPr>
      <w:rFonts w:hint="eastAsia" w:ascii="宋体" w:hAnsi="宋体" w:eastAsia="宋体"/>
      <w:b/>
      <w:kern w:val="0"/>
      <w:sz w:val="27"/>
      <w:szCs w:val="27"/>
    </w:rPr>
  </w:style>
  <w:style w:type="paragraph" w:styleId="6">
    <w:name w:val="heading 4"/>
    <w:basedOn w:val="1"/>
    <w:next w:val="1"/>
    <w:qFormat/>
    <w:uiPriority w:val="1"/>
    <w:pPr>
      <w:keepNext/>
      <w:keepLines/>
      <w:spacing w:before="280" w:after="290" w:line="376" w:lineRule="auto"/>
      <w:outlineLvl w:val="3"/>
    </w:pPr>
    <w:rPr>
      <w:rFonts w:ascii="Arial" w:hAnsi="Arial" w:eastAsia="黑体"/>
      <w:b/>
      <w:bCs/>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link w:val="22"/>
    <w:qFormat/>
    <w:uiPriority w:val="0"/>
    <w:pPr>
      <w:ind w:firstLine="420"/>
    </w:pPr>
  </w:style>
  <w:style w:type="paragraph" w:styleId="3">
    <w:name w:val="Body Text First Indent 2"/>
    <w:basedOn w:val="4"/>
    <w:next w:val="1"/>
    <w:qFormat/>
    <w:uiPriority w:val="0"/>
    <w:pPr>
      <w:spacing w:after="120"/>
      <w:ind w:left="420" w:leftChars="200" w:firstLine="420"/>
    </w:pPr>
    <w:rPr>
      <w:rFonts w:ascii="Calibri" w:hAnsi="Calibri" w:eastAsia="宋体"/>
      <w:sz w:val="20"/>
      <w:szCs w:val="21"/>
    </w:rPr>
  </w:style>
  <w:style w:type="paragraph" w:styleId="4">
    <w:name w:val="Body Text Indent"/>
    <w:basedOn w:val="1"/>
    <w:next w:val="1"/>
    <w:qFormat/>
    <w:uiPriority w:val="0"/>
    <w:pPr>
      <w:ind w:firstLine="525"/>
    </w:pPr>
    <w:rPr>
      <w:rFonts w:ascii="宋体"/>
      <w:kern w:val="0"/>
      <w:sz w:val="28"/>
    </w:rPr>
  </w:style>
  <w:style w:type="paragraph" w:styleId="7">
    <w:name w:val="annotation text"/>
    <w:basedOn w:val="1"/>
    <w:unhideWhenUsed/>
    <w:qFormat/>
    <w:uiPriority w:val="0"/>
    <w:rPr>
      <w:rFonts w:ascii="Calibri" w:hAnsi="Calibri"/>
      <w:sz w:val="20"/>
      <w:szCs w:val="20"/>
    </w:rPr>
  </w:style>
  <w:style w:type="paragraph" w:styleId="8">
    <w:name w:val="Body Text"/>
    <w:basedOn w:val="1"/>
    <w:next w:val="9"/>
    <w:qFormat/>
    <w:uiPriority w:val="0"/>
    <w:pPr>
      <w:spacing w:after="120"/>
    </w:pPr>
    <w:rPr>
      <w:rFonts w:eastAsia="宋体"/>
    </w:rPr>
  </w:style>
  <w:style w:type="paragraph" w:styleId="9">
    <w:name w:val="List Bullet 5"/>
    <w:basedOn w:val="1"/>
    <w:qFormat/>
    <w:uiPriority w:val="0"/>
    <w:pPr>
      <w:numPr>
        <w:ilvl w:val="0"/>
        <w:numId w:val="1"/>
      </w:numPr>
    </w:pPr>
  </w:style>
  <w:style w:type="paragraph" w:styleId="10">
    <w:name w:val="Date"/>
    <w:basedOn w:val="1"/>
    <w:next w:val="1"/>
    <w:link w:val="23"/>
    <w:qFormat/>
    <w:uiPriority w:val="0"/>
    <w:pPr>
      <w:ind w:left="100" w:leftChars="2500"/>
    </w:pPr>
  </w:style>
  <w:style w:type="paragraph" w:styleId="11">
    <w:name w:val="Body Text Indent 2"/>
    <w:basedOn w:val="1"/>
    <w:next w:val="1"/>
    <w:qFormat/>
    <w:uiPriority w:val="0"/>
    <w:pPr>
      <w:spacing w:after="120" w:line="480" w:lineRule="auto"/>
      <w:ind w:left="420" w:leftChars="200"/>
    </w:pPr>
  </w:style>
  <w:style w:type="paragraph" w:styleId="12">
    <w:name w:val="Balloon Text"/>
    <w:basedOn w:val="1"/>
    <w:link w:val="24"/>
    <w:qFormat/>
    <w:uiPriority w:val="0"/>
    <w:rPr>
      <w:sz w:val="18"/>
      <w:szCs w:val="18"/>
    </w:rPr>
  </w:style>
  <w:style w:type="paragraph" w:styleId="13">
    <w:name w:val="footer"/>
    <w:basedOn w:val="1"/>
    <w:next w:val="1"/>
    <w:qFormat/>
    <w:uiPriority w:val="0"/>
    <w:pPr>
      <w:tabs>
        <w:tab w:val="center" w:pos="4153"/>
        <w:tab w:val="right" w:pos="8306"/>
      </w:tabs>
      <w:snapToGrid w:val="0"/>
      <w:jc w:val="left"/>
    </w:pPr>
    <w:rPr>
      <w:rFonts w:eastAsia="宋体"/>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5">
    <w:name w:val="toc 2"/>
    <w:basedOn w:val="1"/>
    <w:next w:val="1"/>
    <w:unhideWhenUsed/>
    <w:qFormat/>
    <w:uiPriority w:val="39"/>
    <w:pPr>
      <w:ind w:left="420" w:leftChars="200"/>
    </w:pPr>
    <w:rPr>
      <w:rFonts w:ascii="Calibri" w:hAnsi="Calibri"/>
      <w:szCs w:val="22"/>
    </w:rPr>
  </w:style>
  <w:style w:type="paragraph" w:styleId="16">
    <w:name w:val="Normal (Web)"/>
    <w:basedOn w:val="1"/>
    <w:qFormat/>
    <w:uiPriority w:val="0"/>
    <w:rPr>
      <w:sz w:val="24"/>
    </w:rPr>
  </w:style>
  <w:style w:type="character" w:styleId="19">
    <w:name w:val="page number"/>
    <w:qFormat/>
    <w:uiPriority w:val="0"/>
    <w:rPr>
      <w:rFonts w:ascii="Times New Roman" w:hAnsi="Times New Roman" w:eastAsia="宋体" w:cs="Times New Roman"/>
    </w:rPr>
  </w:style>
  <w:style w:type="character" w:styleId="20">
    <w:name w:val="Hyperlink"/>
    <w:qFormat/>
    <w:uiPriority w:val="0"/>
    <w:rPr>
      <w:rFonts w:ascii="Times New Roman" w:hAnsi="Times New Roman" w:eastAsia="宋体" w:cs="Times New Roman"/>
      <w:color w:val="0000FF"/>
      <w:u w:val="single"/>
    </w:rPr>
  </w:style>
  <w:style w:type="character" w:styleId="21">
    <w:name w:val="annotation reference"/>
    <w:basedOn w:val="18"/>
    <w:qFormat/>
    <w:uiPriority w:val="99"/>
    <w:rPr>
      <w:rFonts w:cs="Times New Roman"/>
      <w:sz w:val="21"/>
      <w:szCs w:val="21"/>
    </w:rPr>
  </w:style>
  <w:style w:type="character" w:customStyle="1" w:styleId="22">
    <w:name w:val="正文缩进 Char"/>
    <w:link w:val="2"/>
    <w:qFormat/>
    <w:uiPriority w:val="0"/>
    <w:rPr>
      <w:rFonts w:ascii="Times New Roman" w:hAnsi="Times New Roman" w:eastAsia="仿宋_GB2312" w:cs="Times New Roman"/>
      <w:kern w:val="2"/>
      <w:sz w:val="32"/>
      <w:szCs w:val="24"/>
      <w:lang w:val="en-US" w:eastAsia="zh-CN" w:bidi="ar-SA"/>
    </w:rPr>
  </w:style>
  <w:style w:type="character" w:customStyle="1" w:styleId="23">
    <w:name w:val="日期 Char"/>
    <w:link w:val="10"/>
    <w:qFormat/>
    <w:uiPriority w:val="0"/>
    <w:rPr>
      <w:rFonts w:ascii="Times New Roman" w:hAnsi="Times New Roman" w:eastAsia="仿宋_GB2312" w:cs="Times New Roman"/>
      <w:kern w:val="2"/>
      <w:sz w:val="32"/>
      <w:szCs w:val="24"/>
    </w:rPr>
  </w:style>
  <w:style w:type="character" w:customStyle="1" w:styleId="24">
    <w:name w:val="批注框文本 Char"/>
    <w:link w:val="12"/>
    <w:qFormat/>
    <w:uiPriority w:val="0"/>
    <w:rPr>
      <w:rFonts w:ascii="Times New Roman" w:hAnsi="Times New Roman" w:eastAsia="仿宋_GB2312" w:cs="Times New Roman"/>
      <w:kern w:val="2"/>
      <w:sz w:val="18"/>
      <w:szCs w:val="18"/>
    </w:rPr>
  </w:style>
  <w:style w:type="paragraph" w:customStyle="1" w:styleId="25">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6">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character" w:customStyle="1" w:styleId="27">
    <w:name w:val="样式 红色 首行缩进:  2 字符 Char"/>
    <w:link w:val="28"/>
    <w:qFormat/>
    <w:uiPriority w:val="0"/>
    <w:rPr>
      <w:rFonts w:cs="宋体"/>
      <w:sz w:val="24"/>
    </w:rPr>
  </w:style>
  <w:style w:type="paragraph" w:customStyle="1" w:styleId="28">
    <w:name w:val="样式 红色 首行缩进:  2 字符"/>
    <w:basedOn w:val="1"/>
    <w:link w:val="27"/>
    <w:qFormat/>
    <w:uiPriority w:val="0"/>
    <w:pPr>
      <w:adjustRightInd w:val="0"/>
      <w:snapToGrid w:val="0"/>
      <w:spacing w:line="360" w:lineRule="auto"/>
      <w:ind w:firstLine="480"/>
    </w:pPr>
    <w:rPr>
      <w:rFonts w:eastAsia="宋体"/>
      <w:kern w:val="0"/>
      <w:sz w:val="24"/>
      <w:szCs w:val="20"/>
    </w:rPr>
  </w:style>
  <w:style w:type="paragraph" w:customStyle="1" w:styleId="29">
    <w:name w:val="正文-TUEIAD"/>
    <w:basedOn w:val="1"/>
    <w:qFormat/>
    <w:uiPriority w:val="0"/>
    <w:pPr>
      <w:spacing w:before="100" w:beforeAutospacing="1" w:after="100" w:afterAutospacing="1" w:line="360" w:lineRule="auto"/>
    </w:pPr>
    <w:rPr>
      <w:rFonts w:ascii="Calibri" w:hAnsi="Calibri" w:eastAsia="宋体"/>
      <w:sz w:val="24"/>
      <w:szCs w:val="22"/>
    </w:rPr>
  </w:style>
  <w:style w:type="paragraph" w:customStyle="1" w:styleId="30">
    <w:name w:val="正文样式1"/>
    <w:basedOn w:val="1"/>
    <w:qFormat/>
    <w:uiPriority w:val="0"/>
    <w:pPr>
      <w:widowControl/>
      <w:spacing w:line="360" w:lineRule="auto"/>
      <w:ind w:firstLine="480"/>
    </w:pPr>
    <w:rPr>
      <w:rFonts w:ascii="宋体" w:hAnsi="Courier New" w:eastAsia="宋体"/>
      <w:kern w:val="0"/>
      <w:sz w:val="24"/>
    </w:rPr>
  </w:style>
  <w:style w:type="paragraph" w:customStyle="1" w:styleId="31">
    <w:name w:val="样式5"/>
    <w:basedOn w:val="1"/>
    <w:qFormat/>
    <w:uiPriority w:val="99"/>
    <w:pPr>
      <w:snapToGrid w:val="0"/>
      <w:spacing w:line="360" w:lineRule="auto"/>
      <w:ind w:firstLine="510"/>
    </w:pPr>
    <w:rPr>
      <w:sz w:val="24"/>
    </w:rPr>
  </w:style>
  <w:style w:type="paragraph" w:customStyle="1" w:styleId="32">
    <w:name w:val="Char Char Char Char Char Char"/>
    <w:basedOn w:val="1"/>
    <w:qFormat/>
    <w:uiPriority w:val="0"/>
    <w:rPr>
      <w:rFonts w:eastAsia="宋体"/>
      <w:sz w:val="24"/>
    </w:rPr>
  </w:style>
  <w:style w:type="paragraph" w:customStyle="1" w:styleId="33">
    <w:name w:val="默认段落字体 Para Char"/>
    <w:basedOn w:val="1"/>
    <w:next w:val="1"/>
    <w:qFormat/>
    <w:uiPriority w:val="0"/>
    <w:pPr>
      <w:spacing w:line="360" w:lineRule="auto"/>
    </w:pPr>
    <w:rPr>
      <w:rFonts w:eastAsia="宋体"/>
      <w:sz w:val="21"/>
      <w:szCs w:val="20"/>
    </w:rPr>
  </w:style>
  <w:style w:type="paragraph" w:customStyle="1" w:styleId="34">
    <w:name w:val="lfu正文"/>
    <w:basedOn w:val="1"/>
    <w:semiHidden/>
    <w:qFormat/>
    <w:uiPriority w:val="0"/>
    <w:pPr>
      <w:spacing w:line="360" w:lineRule="auto"/>
    </w:pPr>
    <w:rPr>
      <w:rFonts w:ascii="宋体" w:hAnsi="宋体"/>
      <w:color w:val="000000"/>
      <w:sz w:val="24"/>
    </w:rPr>
  </w:style>
  <w:style w:type="paragraph" w:customStyle="1" w:styleId="35">
    <w:name w:val="正文样式"/>
    <w:basedOn w:val="1"/>
    <w:qFormat/>
    <w:uiPriority w:val="0"/>
    <w:pPr>
      <w:spacing w:line="460" w:lineRule="exact"/>
    </w:pPr>
    <w:rPr>
      <w:rFonts w:eastAsia="宋体"/>
      <w:sz w:val="24"/>
    </w:rPr>
  </w:style>
  <w:style w:type="paragraph" w:customStyle="1" w:styleId="36">
    <w:name w:val="环保正文"/>
    <w:basedOn w:val="1"/>
    <w:qFormat/>
    <w:uiPriority w:val="0"/>
    <w:pPr>
      <w:tabs>
        <w:tab w:val="left" w:pos="0"/>
        <w:tab w:val="left" w:pos="7012"/>
      </w:tabs>
      <w:autoSpaceDE w:val="0"/>
      <w:autoSpaceDN w:val="0"/>
      <w:spacing w:line="360" w:lineRule="auto"/>
      <w:ind w:firstLine="480"/>
    </w:pPr>
    <w:rPr>
      <w:rFonts w:ascii="宋体" w:hAnsi="宋体"/>
      <w:color w:val="000000"/>
      <w:kern w:val="0"/>
      <w:sz w:val="24"/>
    </w:rPr>
  </w:style>
  <w:style w:type="paragraph" w:customStyle="1" w:styleId="37">
    <w:name w:val="Char Char Char2 Char"/>
    <w:basedOn w:val="1"/>
    <w:next w:val="1"/>
    <w:qFormat/>
    <w:uiPriority w:val="0"/>
    <w:pPr>
      <w:keepNext/>
      <w:keepLines/>
      <w:widowControl/>
      <w:adjustRightInd w:val="0"/>
      <w:spacing w:line="360" w:lineRule="auto"/>
      <w:jc w:val="left"/>
      <w:textAlignment w:val="baseline"/>
      <w:outlineLvl w:val="1"/>
    </w:pPr>
    <w:rPr>
      <w:rFonts w:ascii="宋体" w:eastAsia="宋体" w:cs="宋体"/>
      <w:bCs/>
      <w:kern w:val="0"/>
      <w:sz w:val="24"/>
    </w:rPr>
  </w:style>
  <w:style w:type="paragraph" w:customStyle="1" w:styleId="38">
    <w:name w:val="环评正文"/>
    <w:basedOn w:val="1"/>
    <w:qFormat/>
    <w:uiPriority w:val="0"/>
    <w:pPr>
      <w:adjustRightInd w:val="0"/>
      <w:snapToGrid w:val="0"/>
      <w:spacing w:line="360" w:lineRule="auto"/>
      <w:ind w:firstLine="480"/>
    </w:pPr>
    <w:rPr>
      <w:sz w:val="24"/>
    </w:rPr>
  </w:style>
  <w:style w:type="paragraph" w:customStyle="1" w:styleId="39">
    <w:name w:val="111111正文"/>
    <w:basedOn w:val="1"/>
    <w:qFormat/>
    <w:uiPriority w:val="0"/>
    <w:pPr>
      <w:spacing w:line="360" w:lineRule="auto"/>
    </w:pPr>
    <w:rPr>
      <w:sz w:val="24"/>
    </w:rPr>
  </w:style>
  <w:style w:type="paragraph" w:customStyle="1" w:styleId="40">
    <w:name w:val="正文(首行缩进)"/>
    <w:basedOn w:val="1"/>
    <w:qFormat/>
    <w:uiPriority w:val="0"/>
    <w:pPr>
      <w:adjustRightInd w:val="0"/>
      <w:snapToGrid w:val="0"/>
      <w:spacing w:line="360" w:lineRule="auto"/>
    </w:pPr>
    <w:rPr>
      <w:snapToGrid w:val="0"/>
      <w:sz w:val="24"/>
    </w:rPr>
  </w:style>
  <w:style w:type="paragraph" w:customStyle="1" w:styleId="41">
    <w:name w:val="0表名"/>
    <w:basedOn w:val="1"/>
    <w:qFormat/>
    <w:uiPriority w:val="0"/>
    <w:pPr>
      <w:jc w:val="center"/>
    </w:pPr>
    <w:rPr>
      <w:rFonts w:eastAsia="黑体"/>
      <w:bCs/>
      <w:szCs w:val="30"/>
    </w:rPr>
  </w:style>
  <w:style w:type="paragraph" w:customStyle="1" w:styleId="42">
    <w:name w:val="样式 样式 样式 四号 左侧:  1.53 厘米 + 首行缩进:  2 字符 + 居中 左侧:  2 字符 首行缩进:  2..."/>
    <w:basedOn w:val="43"/>
    <w:qFormat/>
    <w:uiPriority w:val="0"/>
    <w:pPr>
      <w:ind w:firstLine="0" w:firstLineChars="0"/>
      <w:jc w:val="center"/>
    </w:pPr>
  </w:style>
  <w:style w:type="paragraph" w:customStyle="1" w:styleId="43">
    <w:name w:val="样式 样式 四号 左侧:  1.53 厘米 + 首行缩进:  2 字符"/>
    <w:basedOn w:val="44"/>
    <w:qFormat/>
    <w:uiPriority w:val="0"/>
    <w:pPr>
      <w:ind w:left="200" w:leftChars="200"/>
    </w:pPr>
    <w:rPr>
      <w:szCs w:val="20"/>
    </w:rPr>
  </w:style>
  <w:style w:type="paragraph" w:customStyle="1" w:styleId="44">
    <w:name w:val="样式 四号 左侧:  1.53 厘米"/>
    <w:basedOn w:val="1"/>
    <w:qFormat/>
    <w:uiPriority w:val="0"/>
    <w:pPr>
      <w:adjustRightInd w:val="0"/>
    </w:pPr>
    <w:rPr>
      <w:w w:val="90"/>
      <w:sz w:val="28"/>
      <w:szCs w:val="28"/>
    </w:rPr>
  </w:style>
  <w:style w:type="character" w:customStyle="1" w:styleId="45">
    <w:name w:val="font31"/>
    <w:qFormat/>
    <w:uiPriority w:val="0"/>
    <w:rPr>
      <w:rFonts w:hint="eastAsia" w:ascii="宋体" w:hAnsi="宋体" w:eastAsia="宋体" w:cs="宋体"/>
      <w:color w:val="000000"/>
      <w:sz w:val="24"/>
      <w:szCs w:val="24"/>
      <w:u w:val="none"/>
    </w:rPr>
  </w:style>
  <w:style w:type="character" w:customStyle="1" w:styleId="46">
    <w:name w:val="font11"/>
    <w:qFormat/>
    <w:uiPriority w:val="0"/>
    <w:rPr>
      <w:rFonts w:hint="default" w:ascii="Times New Roman" w:hAnsi="Times New Roman" w:cs="Times New Roman"/>
      <w:color w:val="000000"/>
      <w:sz w:val="24"/>
      <w:szCs w:val="24"/>
      <w:u w:val="none"/>
    </w:rPr>
  </w:style>
  <w:style w:type="character" w:customStyle="1" w:styleId="47">
    <w:name w:val="font41"/>
    <w:qFormat/>
    <w:uiPriority w:val="0"/>
    <w:rPr>
      <w:rFonts w:hint="eastAsia" w:ascii="宋体" w:hAnsi="宋体" w:eastAsia="宋体" w:cs="宋体"/>
      <w:color w:val="000000"/>
      <w:sz w:val="24"/>
      <w:szCs w:val="24"/>
      <w:u w:val="none"/>
    </w:rPr>
  </w:style>
  <w:style w:type="paragraph" w:customStyle="1" w:styleId="48">
    <w:name w:val="γ-正文"/>
    <w:basedOn w:val="1"/>
    <w:qFormat/>
    <w:uiPriority w:val="0"/>
    <w:pPr>
      <w:ind w:firstLine="200" w:firstLineChars="200"/>
      <w:jc w:val="both"/>
    </w:pPr>
    <w:rPr>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2037</Words>
  <Characters>2167</Characters>
  <Lines>20</Lines>
  <Paragraphs>5</Paragraphs>
  <TotalTime>220</TotalTime>
  <ScaleCrop>false</ScaleCrop>
  <LinksUpToDate>false</LinksUpToDate>
  <CharactersWithSpaces>2196</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2024-08-29T07:53:00Z</dcterms:created>
  <dc:creator>微软用户</dc:creator>
  <cp:lastModifiedBy>ℑaγ花凉</cp:lastModifiedBy>
  <cp:lastPrinted>2026-04-07T03:23:00Z</cp:lastPrinted>
  <dcterms:modified xsi:type="dcterms:W3CDTF">2026-04-20T08:10:34Z</dcterms:modified>
  <dc:title>鄂环评字〔2012〕621号</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8A642ECF410144F09FAFAD0E8903BA5E_13</vt:lpwstr>
  </property>
  <property fmtid="{D5CDD505-2E9C-101B-9397-08002B2CF9AE}" pid="4" name="KSOTemplateDocerSaveRecord">
    <vt:lpwstr>eyJoZGlkIjoiMzU5ZjkyNWM5NDA5YzI0MWZjNTA3MDA1ZjJiYmIxN2UiLCJ1c2VySWQiOiIyOTUwNjUxNDMifQ==</vt:lpwstr>
  </property>
</Properties>
</file>