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8280"/>
        </w:tabs>
        <w:kinsoku/>
        <w:wordWrap/>
        <w:overflowPunct/>
        <w:topLinePunct w:val="0"/>
        <w:autoSpaceDE/>
        <w:autoSpaceDN/>
        <w:bidi w:val="0"/>
        <w:adjustRightInd/>
        <w:snapToGrid/>
        <w:spacing w:line="580" w:lineRule="exact"/>
        <w:ind w:left="0" w:leftChars="0" w:right="26" w:firstLine="0" w:firstLineChars="0"/>
        <w:jc w:val="right"/>
        <w:textAlignment w:val="auto"/>
        <w:outlineLvl w:val="9"/>
        <w:rPr>
          <w:rFonts w:hint="eastAsia" w:eastAsia="仿宋"/>
          <w:color w:val="auto"/>
          <w:highlight w:val="none"/>
        </w:rPr>
      </w:pPr>
    </w:p>
    <w:p>
      <w:pPr>
        <w:keepNext w:val="0"/>
        <w:keepLines w:val="0"/>
        <w:pageBreakBefore w:val="0"/>
        <w:widowControl w:val="0"/>
        <w:tabs>
          <w:tab w:val="left" w:pos="8280"/>
        </w:tabs>
        <w:kinsoku/>
        <w:wordWrap/>
        <w:overflowPunct/>
        <w:topLinePunct w:val="0"/>
        <w:autoSpaceDE/>
        <w:autoSpaceDN/>
        <w:bidi w:val="0"/>
        <w:adjustRightInd/>
        <w:snapToGrid/>
        <w:spacing w:line="580" w:lineRule="exact"/>
        <w:ind w:left="0" w:leftChars="0" w:right="26" w:firstLine="0" w:firstLineChars="0"/>
        <w:jc w:val="right"/>
        <w:textAlignment w:val="auto"/>
        <w:outlineLvl w:val="9"/>
        <w:rPr>
          <w:rFonts w:eastAsia="仿宋"/>
          <w:color w:val="auto"/>
          <w:highlight w:val="none"/>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eastAsia="仿宋"/>
          <w:color w:val="auto"/>
          <w:highlight w:val="none"/>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eastAsia="仿宋"/>
          <w:color w:val="auto"/>
          <w:highlight w:val="none"/>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eastAsia="仿宋"/>
          <w:color w:val="auto"/>
          <w:highlight w:val="none"/>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eastAsia="仿宋"/>
          <w:color w:val="auto"/>
          <w:highlight w:val="none"/>
        </w:rPr>
      </w:pPr>
    </w:p>
    <w:p>
      <w:pPr>
        <w:pStyle w:val="2"/>
        <w:keepNext w:val="0"/>
        <w:keepLines w:val="0"/>
        <w:pageBreakBefore w:val="0"/>
        <w:widowControl w:val="0"/>
        <w:kinsoku/>
        <w:wordWrap/>
        <w:overflowPunct/>
        <w:topLinePunct w:val="0"/>
        <w:autoSpaceDE/>
        <w:autoSpaceDN/>
        <w:bidi w:val="0"/>
        <w:adjustRightInd/>
        <w:snapToGrid/>
        <w:spacing w:line="580" w:lineRule="exact"/>
        <w:ind w:left="0" w:leftChars="0"/>
        <w:textAlignment w:val="auto"/>
        <w:outlineLvl w:val="9"/>
        <w:rPr>
          <w:rFonts w:eastAsia="仿宋"/>
          <w:color w:val="auto"/>
          <w:highlight w:val="none"/>
        </w:rPr>
      </w:pPr>
    </w:p>
    <w:p>
      <w:pPr>
        <w:pStyle w:val="9"/>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color w:val="auto"/>
          <w:highlight w:val="none"/>
        </w:rPr>
      </w:pPr>
    </w:p>
    <w:p>
      <w:pPr>
        <w:pStyle w:val="8"/>
        <w:keepNext w:val="0"/>
        <w:keepLines w:val="0"/>
        <w:pageBreakBefore w:val="0"/>
        <w:widowControl w:val="0"/>
        <w:kinsoku/>
        <w:wordWrap/>
        <w:overflowPunct/>
        <w:topLinePunct w:val="0"/>
        <w:autoSpaceDE/>
        <w:autoSpaceDN/>
        <w:bidi w:val="0"/>
        <w:adjustRightInd/>
        <w:snapToGrid/>
        <w:spacing w:line="580" w:lineRule="exact"/>
        <w:textAlignment w:val="auto"/>
        <w:rPr>
          <w:color w:val="auto"/>
        </w:rPr>
      </w:pPr>
    </w:p>
    <w:p>
      <w:pPr>
        <w:keepNext w:val="0"/>
        <w:keepLines w:val="0"/>
        <w:pageBreakBefore w:val="0"/>
        <w:widowControl w:val="0"/>
        <w:tabs>
          <w:tab w:val="left" w:pos="8280"/>
        </w:tabs>
        <w:kinsoku/>
        <w:wordWrap/>
        <w:overflowPunct/>
        <w:topLinePunct w:val="0"/>
        <w:autoSpaceDE/>
        <w:autoSpaceDN/>
        <w:bidi w:val="0"/>
        <w:spacing w:line="600" w:lineRule="exact"/>
        <w:ind w:left="0" w:leftChars="0" w:right="26" w:firstLine="0" w:firstLineChars="0"/>
        <w:jc w:val="center"/>
        <w:textAlignment w:val="auto"/>
        <w:outlineLvl w:val="0"/>
        <w:rPr>
          <w:color w:val="auto"/>
          <w:highlight w:val="none"/>
        </w:rPr>
      </w:pPr>
      <w:r>
        <w:rPr>
          <w:color w:val="auto"/>
          <w:highlight w:val="none"/>
        </w:rPr>
        <w:t>鄂环</w:t>
      </w:r>
      <w:r>
        <w:rPr>
          <w:rFonts w:hint="eastAsia"/>
          <w:color w:val="auto"/>
          <w:highlight w:val="none"/>
          <w:lang w:val="en-US" w:eastAsia="zh-CN"/>
        </w:rPr>
        <w:t>审</w:t>
      </w:r>
      <w:r>
        <w:rPr>
          <w:color w:val="auto"/>
          <w:highlight w:val="none"/>
        </w:rPr>
        <w:t>字〔20</w:t>
      </w:r>
      <w:r>
        <w:rPr>
          <w:rFonts w:hint="eastAsia"/>
          <w:color w:val="auto"/>
          <w:highlight w:val="none"/>
          <w:lang w:val="en-US" w:eastAsia="zh-CN"/>
        </w:rPr>
        <w:t>26</w:t>
      </w:r>
      <w:r>
        <w:rPr>
          <w:color w:val="auto"/>
          <w:highlight w:val="none"/>
        </w:rPr>
        <w:t>〕</w:t>
      </w:r>
      <w:r>
        <w:rPr>
          <w:rFonts w:hint="eastAsia"/>
          <w:color w:val="auto"/>
          <w:highlight w:val="none"/>
          <w:lang w:val="en-US" w:eastAsia="zh-CN"/>
        </w:rPr>
        <w:t>37</w:t>
      </w:r>
      <w:r>
        <w:rPr>
          <w:color w:val="auto"/>
          <w:highlight w:val="none"/>
        </w:rPr>
        <w:t>号</w:t>
      </w:r>
    </w:p>
    <w:p>
      <w:pPr>
        <w:keepNext w:val="0"/>
        <w:keepLines w:val="0"/>
        <w:pageBreakBefore w:val="0"/>
        <w:widowControl w:val="0"/>
        <w:tabs>
          <w:tab w:val="left" w:pos="6780"/>
        </w:tabs>
        <w:kinsoku/>
        <w:wordWrap/>
        <w:overflowPunct/>
        <w:topLinePunct w:val="0"/>
        <w:autoSpaceDE/>
        <w:autoSpaceDN/>
        <w:bidi w:val="0"/>
        <w:spacing w:line="600" w:lineRule="exact"/>
        <w:ind w:left="0" w:leftChars="0" w:firstLine="0" w:firstLineChars="0"/>
        <w:jc w:val="center"/>
        <w:textAlignment w:val="auto"/>
        <w:outlineLvl w:val="9"/>
        <w:rPr>
          <w:rFonts w:eastAsia="仿宋"/>
          <w:b/>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outlineLvl w:val="0"/>
        <w:rPr>
          <w:rFonts w:eastAsia="宋体"/>
          <w:b/>
          <w:color w:val="auto"/>
          <w:w w:val="95"/>
          <w:sz w:val="44"/>
          <w:szCs w:val="44"/>
          <w:highlight w:val="none"/>
        </w:rPr>
      </w:pPr>
      <w:r>
        <w:rPr>
          <w:rFonts w:eastAsia="宋体"/>
          <w:b/>
          <w:color w:val="auto"/>
          <w:w w:val="95"/>
          <w:sz w:val="44"/>
          <w:szCs w:val="44"/>
          <w:highlight w:val="none"/>
        </w:rPr>
        <w:t>鄂尔多斯市</w:t>
      </w:r>
      <w:r>
        <w:rPr>
          <w:rFonts w:hint="eastAsia" w:eastAsia="宋体"/>
          <w:b/>
          <w:color w:val="auto"/>
          <w:w w:val="95"/>
          <w:sz w:val="44"/>
          <w:szCs w:val="44"/>
          <w:highlight w:val="none"/>
        </w:rPr>
        <w:t>生态环境</w:t>
      </w:r>
      <w:r>
        <w:rPr>
          <w:rFonts w:eastAsia="宋体"/>
          <w:b/>
          <w:color w:val="auto"/>
          <w:w w:val="95"/>
          <w:sz w:val="44"/>
          <w:szCs w:val="44"/>
          <w:highlight w:val="none"/>
        </w:rPr>
        <w:t>局</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0" w:firstLineChars="0"/>
        <w:jc w:val="center"/>
        <w:textAlignment w:val="auto"/>
        <w:outlineLvl w:val="0"/>
        <w:rPr>
          <w:rFonts w:eastAsia="宋体"/>
          <w:b/>
          <w:color w:val="auto"/>
          <w:w w:val="95"/>
          <w:sz w:val="44"/>
          <w:szCs w:val="44"/>
          <w:highlight w:val="none"/>
        </w:rPr>
      </w:pPr>
      <w:r>
        <w:rPr>
          <w:rFonts w:hint="eastAsia" w:eastAsia="宋体"/>
          <w:b/>
          <w:color w:val="auto"/>
          <w:w w:val="95"/>
          <w:sz w:val="44"/>
          <w:szCs w:val="44"/>
          <w:highlight w:val="none"/>
        </w:rPr>
        <w:t>关于内蒙古京能准旗新能源有限公司库布齐沙漠基地鄂尔多斯新能源170万千瓦光伏项目（一期内蒙古京能准旗新能源有限公司60万千瓦）环境影响报告表</w:t>
      </w:r>
      <w:r>
        <w:rPr>
          <w:rFonts w:eastAsia="宋体"/>
          <w:b/>
          <w:color w:val="auto"/>
          <w:w w:val="95"/>
          <w:sz w:val="44"/>
          <w:szCs w:val="44"/>
          <w:highlight w:val="none"/>
        </w:rPr>
        <w:t>的批复</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hint="eastAsia" w:ascii="仿宋" w:hAnsi="仿宋" w:eastAsia="仿宋" w:cs="仿宋"/>
          <w:color w:val="auto"/>
          <w:szCs w:val="32"/>
          <w:highlight w:val="none"/>
        </w:rPr>
      </w:pP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0" w:firstLineChars="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内蒙古京能准旗新能源有限公司：</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你公司报送的由内蒙古华晨工程咨询有限公司编制的《库布齐沙漠基地鄂尔多斯新能源170万千瓦光伏项目（一期内蒙古京能准旗新能源有限公司60万千瓦）环境影响报告表》（以下简称《报告表》）收悉。经研究，现批复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该项目位于内蒙古自治区鄂尔多斯市准格尔旗布尔陶亥苏木、十二连城乡、大路镇，主要建设内容为建设额定容量600MW并网光伏电站，直流侧总布置容量721.7356MWp，设计使用年限25年。共采用630Wp及以上N型单晶硅双面双玻光伏组件1145612块，每26块组件为一组串，配置 320kW组串式逆变器1875台，每台接入23～24个组串；场区共设188个方阵，其中3.2MW方阵187个、各配10台逆变器及1台3200kVA箱变，1.6MW方阵1个、配5台逆变器及1台1600kVA箱变等内容。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520" w:lineRule="exact"/>
        <w:ind w:firstLine="640" w:firstLineChars="20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报告表》认为，在全面落实各项生态环境保护和环境污染防治措施的前提下，项目建设对环境的不利影响能够得到一定的缓解和控制。因此，我局原则同意你公司按照《报告表》中所列的建设项目性质、规模、地点、工艺、生态环境保护措施及下述要求进行建设。</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二、项目建设与运行管理中应重点做好的工作：</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1.认真落实施工期生态环境保护及恢复措施。按照法律法规和主管部门要求，做好林地、草地等保护恢复，确保符合其管控要求且生态功能不降低；加强施工管理，施工厂界设置围栏、砂石等建筑材料覆盖遮蔽，加强对施工车辆的管理，施工场地和运输道路定期洒水抑尘，临时弃土应及时采取回填等综合利用措施；施工期的生产废水沉淀后回用，生活污水经粪池统一收集后定期由专用车辆转运至附近污水处理厂进行处理；合理安排施工作业时间，选用低噪声机械设备或带隔声、消声的设备，并做好施工机械的维护和保养；光伏场区、箱式变压器基础区在主体工程施工前需进行表土剥离，施工结束覆土，并对工程扰动区域进行植被恢复；妥善处置施工期产生的各类固废。</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default"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2.认真落实《报告表》中提出的运营期污染防治措施。在大风等不利气象条件下禁止车辆在站区内行驶，常规气象条件下限制车速以减少扬尘，同时在巡视检修车辆进场前利用洒水车对站区道路进行洒水抑尘，满足《大气污染物综合排放标准》（GB16297-1996）相应限值要求；运营期光伏板冲洗排水排至光伏板下地面自然蒸发；光伏厂区厂界昼夜噪声需满足《工业企业厂界环境噪声排放标准》（GB12348-2008）中2类标准要求；严格按照《一般工业固体废物贮存和填埋污染控制标准》（GB18599-2020）及《危险废物贮存污染控制标准》（GB18597-2023）要求对危险废物和一般固废进行处置，同时做好转运台账，不得乱弃。废旧光伏板等废旧光伏组件拆卸后由厂家直接回收清运，箱式变压器废油暂存于事故油池由密闭容器收集，废矿物油、废油桶及光伏场检修时产生的含油垃圾等危险废物依托升压站危废暂存库暂存，危险废物定期由有资质单位处置。加强生态复垦与植被管护，落实植被抚育、补植及灌溉措施，有效防治水土流失，做好鸟类及栖息地保护等生态保护措施。</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3.建设单位须强化环境风险防范，落实环保设施安全生产要求，项目污染防治设施须与主体工程一起按照安全生产要求设计，严格落实各项环境风险处理措施、生态平衡保护机制，有效防范因污染物事故排放或安全生产事故可能引发的环境风险。</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三、本项目须符合相关规划，征得林草、水利、文物等主管部门同意后方可开工建设，项目在实施过程中发现文物古迹应立即停止施工并报告有关部门进行妥善处理。建设单位须严格执行环境保护“三同时”制度，项目竣工后，按照规定程序实施竣工环境保护验收，经验收合格后，方可正式投入运行。</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四、你公司应在收到本批复20日内，将《报告表》（报批版）及批复文件送至鄂尔多斯市生态环境局准格尔旗分局，我局委托鄂尔多斯市生态环境局准格尔旗分局负责该项目的日常监管工作。</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textAlignment w:val="auto"/>
        <w:outlineLvl w:val="9"/>
        <w:rPr>
          <w:rFonts w:hint="eastAsia" w:ascii="仿宋" w:hAnsi="仿宋" w:eastAsia="仿宋" w:cs="仿宋"/>
          <w:color w:val="auto"/>
          <w:szCs w:val="32"/>
          <w:highlight w:val="none"/>
          <w:lang w:val="en-US" w:eastAsia="zh-CN"/>
        </w:rPr>
      </w:pPr>
      <w:r>
        <w:rPr>
          <w:rFonts w:hint="eastAsia" w:ascii="仿宋" w:hAnsi="仿宋" w:eastAsia="仿宋" w:cs="仿宋"/>
          <w:color w:val="auto"/>
          <w:szCs w:val="32"/>
          <w:highlight w:val="none"/>
          <w:lang w:val="en-US" w:eastAsia="zh-CN"/>
        </w:rPr>
        <w:t>五、该项目从批准之日起超过5年方决定开工建设，其环评文件应重新审核。如果建设地点、规模、防治污染和防止生态破坏的措施等发生重大变化时，需重新报批环评文件。</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640" w:firstLineChars="200"/>
        <w:jc w:val="both"/>
        <w:textAlignment w:val="auto"/>
        <w:outlineLvl w:val="9"/>
        <w:rPr>
          <w:rFonts w:hint="eastAsia" w:ascii="仿宋" w:hAnsi="仿宋" w:eastAsia="仿宋" w:cs="仿宋"/>
          <w:color w:val="auto"/>
          <w:szCs w:val="32"/>
          <w:highlight w:val="none"/>
        </w:rPr>
      </w:pPr>
    </w:p>
    <w:p>
      <w:pPr>
        <w:pStyle w:val="2"/>
        <w:keepNext w:val="0"/>
        <w:keepLines w:val="0"/>
        <w:pageBreakBefore w:val="0"/>
        <w:widowControl w:val="0"/>
        <w:kinsoku/>
        <w:wordWrap/>
        <w:overflowPunct/>
        <w:topLinePunct w:val="0"/>
        <w:autoSpaceDE/>
        <w:autoSpaceDN/>
        <w:bidi w:val="0"/>
        <w:spacing w:line="520" w:lineRule="exact"/>
        <w:textAlignment w:val="auto"/>
        <w:rPr>
          <w:rFonts w:hint="eastAsia"/>
        </w:rPr>
      </w:pPr>
    </w:p>
    <w:p>
      <w:pPr>
        <w:keepNext w:val="0"/>
        <w:keepLines w:val="0"/>
        <w:pageBreakBefore w:val="0"/>
        <w:widowControl w:val="0"/>
        <w:kinsoku/>
        <w:wordWrap/>
        <w:overflowPunct/>
        <w:topLinePunct w:val="0"/>
        <w:autoSpaceDE/>
        <w:autoSpaceDN/>
        <w:bidi w:val="0"/>
        <w:adjustRightInd w:val="0"/>
        <w:snapToGrid w:val="0"/>
        <w:spacing w:line="520" w:lineRule="exact"/>
        <w:ind w:firstLine="4800" w:firstLineChars="1500"/>
        <w:jc w:val="both"/>
        <w:textAlignment w:val="auto"/>
        <w:outlineLvl w:val="9"/>
        <w:rPr>
          <w:rFonts w:hint="eastAsia" w:ascii="仿宋" w:hAnsi="仿宋" w:eastAsia="仿宋" w:cs="仿宋"/>
          <w:color w:val="auto"/>
          <w:szCs w:val="32"/>
          <w:highlight w:val="none"/>
        </w:rPr>
      </w:pPr>
      <w:r>
        <w:rPr>
          <w:rFonts w:hint="eastAsia" w:ascii="仿宋" w:hAnsi="仿宋" w:eastAsia="仿宋" w:cs="仿宋"/>
          <w:color w:val="auto"/>
          <w:szCs w:val="32"/>
          <w:highlight w:val="none"/>
        </w:rPr>
        <w:t>鄂尔多斯市生态环境局</w:t>
      </w:r>
    </w:p>
    <w:p>
      <w:pPr>
        <w:keepNext w:val="0"/>
        <w:keepLines w:val="0"/>
        <w:pageBreakBefore w:val="0"/>
        <w:widowControl w:val="0"/>
        <w:kinsoku/>
        <w:wordWrap/>
        <w:overflowPunct/>
        <w:topLinePunct w:val="0"/>
        <w:autoSpaceDE/>
        <w:autoSpaceDN/>
        <w:bidi w:val="0"/>
        <w:adjustRightInd w:val="0"/>
        <w:snapToGrid w:val="0"/>
        <w:spacing w:line="520" w:lineRule="exact"/>
        <w:ind w:right="320"/>
        <w:jc w:val="both"/>
        <w:textAlignment w:val="auto"/>
        <w:outlineLvl w:val="9"/>
        <w:rPr>
          <w:rFonts w:hint="eastAsia" w:ascii="仿宋" w:hAnsi="仿宋" w:eastAsia="仿宋" w:cs="仿宋"/>
          <w:color w:val="auto"/>
          <w:szCs w:val="32"/>
          <w:highlight w:val="none"/>
        </w:rPr>
      </w:pPr>
      <w:r>
        <w:rPr>
          <w:rFonts w:hint="eastAsia" w:ascii="仿宋" w:hAnsi="仿宋" w:eastAsia="仿宋" w:cs="仿宋"/>
          <w:color w:val="auto"/>
          <w:szCs w:val="32"/>
          <w:highlight w:val="none"/>
          <w:lang w:val="en-US" w:eastAsia="zh-CN"/>
        </w:rPr>
        <w:t xml:space="preserve">                            </w:t>
      </w:r>
      <w:r>
        <w:rPr>
          <w:rFonts w:hint="eastAsia" w:ascii="仿宋" w:hAnsi="仿宋" w:eastAsia="仿宋" w:cs="仿宋"/>
          <w:color w:val="auto"/>
          <w:szCs w:val="32"/>
          <w:highlight w:val="none"/>
        </w:rPr>
        <w:t>20</w:t>
      </w:r>
      <w:r>
        <w:rPr>
          <w:rFonts w:hint="eastAsia" w:ascii="仿宋" w:hAnsi="仿宋" w:eastAsia="仿宋" w:cs="仿宋"/>
          <w:color w:val="auto"/>
          <w:szCs w:val="32"/>
          <w:highlight w:val="none"/>
          <w:lang w:val="en-US" w:eastAsia="zh-CN"/>
        </w:rPr>
        <w:t>26</w:t>
      </w:r>
      <w:r>
        <w:rPr>
          <w:rFonts w:hint="eastAsia" w:ascii="仿宋" w:hAnsi="仿宋" w:eastAsia="仿宋" w:cs="仿宋"/>
          <w:color w:val="auto"/>
          <w:szCs w:val="32"/>
          <w:highlight w:val="none"/>
        </w:rPr>
        <w:t>年</w:t>
      </w:r>
      <w:r>
        <w:rPr>
          <w:rFonts w:hint="eastAsia" w:ascii="仿宋" w:hAnsi="仿宋" w:eastAsia="仿宋" w:cs="仿宋"/>
          <w:color w:val="auto"/>
          <w:szCs w:val="32"/>
          <w:highlight w:val="none"/>
          <w:lang w:val="en-US" w:eastAsia="zh-CN"/>
        </w:rPr>
        <w:t>4月3</w:t>
      </w:r>
      <w:r>
        <w:rPr>
          <w:rFonts w:hint="eastAsia" w:ascii="仿宋" w:hAnsi="仿宋" w:eastAsia="仿宋" w:cs="仿宋"/>
          <w:color w:val="auto"/>
          <w:szCs w:val="32"/>
          <w:highlight w:val="none"/>
        </w:rPr>
        <w:t>日</w:t>
      </w:r>
    </w:p>
    <w:p>
      <w:pPr>
        <w:pStyle w:val="9"/>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ind w:left="0" w:leftChars="0" w:firstLine="0" w:firstLineChars="0"/>
        <w:rPr>
          <w:rFonts w:hint="eastAsia"/>
        </w:rPr>
      </w:pPr>
    </w:p>
    <w:p>
      <w:pPr>
        <w:keepNext w:val="0"/>
        <w:keepLines w:val="0"/>
        <w:pageBreakBefore w:val="0"/>
        <w:widowControl w:val="0"/>
        <w:kinsoku/>
        <w:wordWrap/>
        <w:overflowPunct/>
        <w:topLinePunct w:val="0"/>
        <w:autoSpaceDE/>
        <w:autoSpaceDN/>
        <w:bidi w:val="0"/>
        <w:spacing w:line="520" w:lineRule="exact"/>
        <w:ind w:left="840" w:hanging="840" w:hangingChars="300"/>
        <w:textAlignment w:val="auto"/>
        <w:rPr>
          <w:rFonts w:hint="eastAsia" w:eastAsia="仿宋_GB2312"/>
          <w:color w:val="auto"/>
          <w:sz w:val="28"/>
          <w:szCs w:val="28"/>
          <w:highlight w:val="none"/>
          <w:lang w:eastAsia="zh-CN"/>
        </w:rPr>
      </w:pPr>
      <w:r>
        <w:rPr>
          <w:color w:val="auto"/>
          <w:sz w:val="28"/>
          <w:szCs w:val="28"/>
          <w:highlight w:val="none"/>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5080</wp:posOffset>
                </wp:positionV>
                <wp:extent cx="568769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4pt;height:0pt;width:447.85pt;z-index:251658240;mso-width-relative:page;mso-height-relative:page;" filled="f" coordsize="21600,21600" o:gfxdata="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p6XMs0QAAAAIBAAAPAAAAAAAA&#10;AAEAIAAAACIAAABkcnMvZG93bnJldi54bWxQSwECFAAUAAAACACHTuJAEFH+uOABAACkAwAADgAA&#10;AAAAAAABACAAAAAgAQAAZHJzL2Uyb0RvYy54bWxQSwUGAAAAAAYABgBZAQAAcgUAAAAA&#10;">
                <v:path arrowok="t"/>
                <v:fill on="f" focussize="0,0"/>
                <v:stroke/>
                <v:imagedata o:title=""/>
                <o:lock v:ext="edit"/>
              </v:line>
            </w:pict>
          </mc:Fallback>
        </mc:AlternateContent>
      </w:r>
      <w:r>
        <w:rPr>
          <w:color w:val="auto"/>
          <w:sz w:val="28"/>
          <w:szCs w:val="28"/>
          <w:highlight w:val="none"/>
        </w:rPr>
        <w:t>抄送：</w:t>
      </w:r>
      <w:r>
        <w:rPr>
          <w:rFonts w:hint="eastAsia"/>
          <w:color w:val="auto"/>
          <w:sz w:val="28"/>
          <w:szCs w:val="28"/>
          <w:highlight w:val="none"/>
        </w:rPr>
        <w:t>鄂尔多斯市生态环境局</w:t>
      </w:r>
      <w:r>
        <w:rPr>
          <w:rFonts w:hint="eastAsia"/>
          <w:color w:val="auto"/>
          <w:sz w:val="28"/>
          <w:szCs w:val="28"/>
          <w:highlight w:val="none"/>
          <w:lang w:val="en-US" w:eastAsia="zh-CN"/>
        </w:rPr>
        <w:t>准格尔旗</w:t>
      </w:r>
      <w:r>
        <w:rPr>
          <w:rFonts w:hint="eastAsia"/>
          <w:color w:val="auto"/>
          <w:sz w:val="28"/>
          <w:szCs w:val="28"/>
          <w:highlight w:val="none"/>
        </w:rPr>
        <w:t>分局</w:t>
      </w:r>
      <w:r>
        <w:rPr>
          <w:rFonts w:hint="eastAsia"/>
          <w:color w:val="auto"/>
          <w:sz w:val="28"/>
          <w:szCs w:val="28"/>
          <w:highlight w:val="none"/>
          <w:lang w:eastAsia="zh-CN"/>
        </w:rPr>
        <w:t>，</w:t>
      </w:r>
      <w:r>
        <w:rPr>
          <w:rFonts w:hint="eastAsia"/>
          <w:color w:val="auto"/>
          <w:sz w:val="28"/>
          <w:szCs w:val="28"/>
          <w:highlight w:val="none"/>
        </w:rPr>
        <w:t>市生态环境综合行政执</w:t>
      </w:r>
      <w:r>
        <w:rPr>
          <w:rFonts w:hint="eastAsia"/>
          <w:color w:val="auto"/>
          <w:sz w:val="28"/>
          <w:szCs w:val="28"/>
          <w:highlight w:val="none"/>
          <w:lang w:val="en-US" w:eastAsia="zh-CN"/>
        </w:rPr>
        <w:t>法</w:t>
      </w:r>
      <w:r>
        <w:rPr>
          <w:rFonts w:hint="eastAsia"/>
          <w:color w:val="auto"/>
          <w:sz w:val="28"/>
          <w:szCs w:val="28"/>
          <w:highlight w:val="none"/>
        </w:rPr>
        <w:t>支队</w:t>
      </w:r>
      <w:r>
        <w:rPr>
          <w:color w:val="auto"/>
          <w:sz w:val="28"/>
          <w:szCs w:val="28"/>
          <w:highlight w:val="none"/>
        </w:rPr>
        <w:t>，</w:t>
      </w:r>
      <w:r>
        <w:rPr>
          <w:rFonts w:hint="eastAsia"/>
          <w:color w:val="auto"/>
          <w:sz w:val="28"/>
          <w:szCs w:val="28"/>
          <w:highlight w:val="none"/>
        </w:rPr>
        <w:t>内蒙古华晨工程咨询有限公司</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firstLine="0" w:firstLineChars="0"/>
        <w:textAlignment w:val="auto"/>
        <w:outlineLvl w:val="9"/>
      </w:pPr>
      <w:r>
        <w:rPr>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-3175</wp:posOffset>
                </wp:positionH>
                <wp:positionV relativeFrom="paragraph">
                  <wp:posOffset>434340</wp:posOffset>
                </wp:positionV>
                <wp:extent cx="568769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25pt;margin-top:34.2pt;height:0pt;width:447.85pt;z-index:251660288;mso-width-relative:page;mso-height-relative:page;" filled="f" coordsize="21600,21600" o:gfxdata="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4zxia1QAAAAcBAAAPAAAA&#10;AAAAAAEAIAAAACIAAABkcnMvZG93bnJldi54bWxQSwECFAAUAAAACACHTuJADz6pJt8BAACkAwAA&#10;DgAAAAAAAAABACAAAAAkAQAAZHJzL2Uyb0RvYy54bWxQSwUGAAAAAAYABgBZAQAAdQUAAAAA&#10;">
                <v:path arrowok="t"/>
                <v:fill on="f" focussize="0,0"/>
                <v:stroke/>
                <v:imagedata o:title=""/>
                <o:lock v:ext="edit"/>
              </v:line>
            </w:pict>
          </mc:Fallback>
        </mc:AlternateContent>
      </w:r>
      <w:r>
        <w:rPr>
          <w:color w:val="auto"/>
          <w:sz w:val="28"/>
          <w:szCs w:val="28"/>
          <w:highlight w:val="none"/>
        </w:rPr>
        <w:t>鄂尔多斯市</w:t>
      </w:r>
      <w:r>
        <w:rPr>
          <w:rFonts w:hint="eastAsia"/>
          <w:color w:val="auto"/>
          <w:sz w:val="28"/>
          <w:szCs w:val="28"/>
          <w:highlight w:val="none"/>
        </w:rPr>
        <w:t>生态环境</w:t>
      </w:r>
      <w:r>
        <w:rPr>
          <w:color w:val="auto"/>
          <w:sz w:val="28"/>
          <w:szCs w:val="28"/>
          <w:highlight w:val="none"/>
        </w:rPr>
        <w:t xml:space="preserve">局                </w:t>
      </w:r>
      <w:r>
        <w:rPr>
          <w:rFonts w:hint="eastAsia"/>
          <w:color w:val="auto"/>
          <w:sz w:val="28"/>
          <w:szCs w:val="28"/>
          <w:highlight w:val="none"/>
          <w:lang w:val="en-US" w:eastAsia="zh-CN"/>
        </w:rPr>
        <w:t xml:space="preserve">      2026年4月3日</w:t>
      </w:r>
      <w:r>
        <w:rPr>
          <w:color w:val="auto"/>
          <w:sz w:val="28"/>
          <w:szCs w:val="28"/>
          <w:highlight w:val="none"/>
        </w:rPr>
        <w:t>印发</w:t>
      </w:r>
      <w:r>
        <w:rPr>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7620</wp:posOffset>
                </wp:positionV>
                <wp:extent cx="568769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8769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6pt;height:0pt;width:447.85pt;z-index:251659264;mso-width-relative:page;mso-height-relative:page;" filled="f" coordsize="21600,21600" o:gfxdata="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v23Z+0gAAAAQBAAAPAAAAAAAA&#10;AAEAIAAAACIAAABkcnMvZG93bnJldi54bWxQSwECFAAUAAAACACHTuJAv2VtGt8BAACkAwAADgAA&#10;AAAAAAABACAAAAAhAQAAZHJzL2Uyb0RvYy54bWxQSwUGAAAAAAYABgBZAQAAcgUAAAAA&#10;">
                <v:path arrowok="t"/>
                <v:fill on="f" focussize="0,0"/>
                <v:stroke/>
                <v:imagedata o:title=""/>
                <o:lock v:ext="edit"/>
              </v:line>
            </w:pict>
          </mc:Fallback>
        </mc:AlternateContent>
      </w:r>
    </w:p>
    <w:p>
      <w:bookmarkStart w:id="0" w:name="_GoBack"/>
      <w:bookmarkEnd w:id="0"/>
    </w:p>
    <w:sectPr>
      <w:headerReference r:id="rId5" w:type="first"/>
      <w:footerReference r:id="rId8" w:type="first"/>
      <w:headerReference r:id="rId3" w:type="default"/>
      <w:footerReference r:id="rId6" w:type="default"/>
      <w:headerReference r:id="rId4" w:type="even"/>
      <w:footerReference r:id="rId7" w:type="even"/>
      <w:pgSz w:w="11906" w:h="16838"/>
      <w:pgMar w:top="2098" w:right="1588" w:bottom="1588" w:left="1588" w:header="851" w:footer="992" w:gutter="0"/>
      <w:pgNumType w:fmt="numberInDash"/>
      <w:cols w:space="72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4 -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4 -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clear" w:pos="4153"/>
        <w:tab w:val="clear" w:pos="8306"/>
      </w:tabs>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tabs>
        <w:tab w:val="clear" w:pos="4153"/>
        <w:tab w:val="clear" w:pos="8306"/>
      </w:tabs>
      <w:ind w:firstLine="360"/>
    </w:pPr>
  </w:p>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FF73D69"/>
    <w:multiLevelType w:val="singleLevel"/>
    <w:tmpl w:val="EFF73D6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F1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character" w:default="1" w:styleId="11">
    <w:name w:val="Default Paragraph Font"/>
    <w:semiHidden/>
    <w:uiPriority w:val="0"/>
  </w:style>
  <w:style w:type="table" w:default="1" w:styleId="10">
    <w:name w:val="Normal Table"/>
    <w:semiHidden/>
    <w:uiPriority w:val="0"/>
    <w:tblPr>
      <w:tblLayout w:type="fixed"/>
      <w:tblCellMar>
        <w:top w:w="0" w:type="dxa"/>
        <w:left w:w="108" w:type="dxa"/>
        <w:bottom w:w="0" w:type="dxa"/>
        <w:right w:w="108" w:type="dxa"/>
      </w:tblCellMar>
    </w:tblPr>
  </w:style>
  <w:style w:type="paragraph" w:styleId="2">
    <w:name w:val="Normal Indent"/>
    <w:basedOn w:val="1"/>
    <w:qFormat/>
    <w:uiPriority w:val="0"/>
    <w:rPr>
      <w:rFonts w:ascii="Calibri" w:hAnsi="Calibri" w:eastAsia="宋体" w:cs="Times New Roman"/>
      <w:kern w:val="0"/>
    </w:rPr>
  </w:style>
  <w:style w:type="paragraph" w:styleId="3">
    <w:name w:val="Body Text"/>
    <w:basedOn w:val="1"/>
    <w:next w:val="4"/>
    <w:qFormat/>
    <w:uiPriority w:val="0"/>
    <w:pPr>
      <w:spacing w:after="120"/>
    </w:pPr>
    <w:rPr>
      <w:rFonts w:ascii="Times New Roman" w:hAnsi="Times New Roman" w:eastAsia="宋体" w:cs="Times New Roman"/>
    </w:rPr>
  </w:style>
  <w:style w:type="paragraph" w:styleId="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rPr>
  </w:style>
  <w:style w:type="paragraph" w:styleId="5">
    <w:name w:val="Body Text Indent"/>
    <w:basedOn w:val="1"/>
    <w:next w:val="1"/>
    <w:qFormat/>
    <w:uiPriority w:val="0"/>
    <w:pPr>
      <w:spacing w:after="120"/>
      <w:ind w:left="420" w:leftChars="200"/>
    </w:pPr>
    <w:rPr>
      <w:rFonts w:ascii="Times New Roman" w:hAnsi="Times New Roman" w:eastAsia="宋体" w:cs="Times New Roman"/>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kern w:val="0"/>
      <w:sz w:val="18"/>
      <w:szCs w:val="18"/>
    </w:rPr>
  </w:style>
  <w:style w:type="paragraph" w:styleId="8">
    <w:name w:val="Body Text First Indent"/>
    <w:basedOn w:val="3"/>
    <w:next w:val="1"/>
    <w:qFormat/>
    <w:uiPriority w:val="0"/>
    <w:pPr>
      <w:ind w:firstLine="420" w:firstLineChars="100"/>
    </w:pPr>
    <w:rPr>
      <w:rFonts w:ascii="Times New Roman" w:hAnsi="Times New Roman" w:eastAsia="宋体" w:cs="Times New Roman"/>
    </w:rPr>
  </w:style>
  <w:style w:type="paragraph" w:styleId="9">
    <w:name w:val="Body Text First Indent 2"/>
    <w:basedOn w:val="5"/>
    <w:next w:val="1"/>
    <w:qFormat/>
    <w:uiPriority w:val="0"/>
    <w:pPr>
      <w:ind w:firstLine="42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2026-04-20T08:41:09Z</dcterms:created>
  <dc:creator>ll</dc:creator>
  <cp:lastModifiedBy>周芷妍</cp:lastModifiedBy>
  <dcterms:modified xsi:type="dcterms:W3CDTF">2026-04-20T08:41:50Z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