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CC87D">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eastAsia="仿宋"/>
          <w:color w:val="auto"/>
          <w:highlight w:val="none"/>
        </w:rPr>
      </w:pPr>
    </w:p>
    <w:p w14:paraId="0B5E6E02">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14:paraId="0892555C">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14:paraId="7438848C">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14:paraId="0BAE8113">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14:paraId="72B99EE4">
      <w:pPr>
        <w:pStyle w:val="2"/>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14:paraId="11A2D98B">
      <w:pPr>
        <w:pStyle w:val="10"/>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color w:val="auto"/>
          <w:highlight w:val="none"/>
        </w:rPr>
      </w:pPr>
    </w:p>
    <w:p w14:paraId="010CFD28">
      <w:pPr>
        <w:pStyle w:val="9"/>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14:paraId="18D9B971">
      <w:pPr>
        <w:keepNext w:val="0"/>
        <w:keepLines w:val="0"/>
        <w:pageBreakBefore w:val="0"/>
        <w:widowControl w:val="0"/>
        <w:tabs>
          <w:tab w:val="left" w:pos="8280"/>
        </w:tabs>
        <w:kinsoku/>
        <w:wordWrap/>
        <w:overflowPunct/>
        <w:topLinePunct w:val="0"/>
        <w:autoSpaceDE/>
        <w:autoSpaceDN/>
        <w:bidi w:val="0"/>
        <w:spacing w:line="600" w:lineRule="exact"/>
        <w:ind w:left="0" w:leftChars="0" w:right="26" w:firstLine="0" w:firstLineChars="0"/>
        <w:jc w:val="center"/>
        <w:textAlignment w:val="auto"/>
        <w:outlineLvl w:val="0"/>
        <w:rPr>
          <w:color w:val="auto"/>
          <w:highlight w:val="none"/>
        </w:rPr>
      </w:pPr>
      <w:r>
        <w:rPr>
          <w:color w:val="auto"/>
          <w:highlight w:val="none"/>
        </w:rPr>
        <w:t>鄂环</w:t>
      </w:r>
      <w:r>
        <w:rPr>
          <w:rFonts w:hint="eastAsia"/>
          <w:color w:val="auto"/>
          <w:highlight w:val="none"/>
          <w:lang w:val="en-US" w:eastAsia="zh-CN"/>
        </w:rPr>
        <w:t>审</w:t>
      </w:r>
      <w:r>
        <w:rPr>
          <w:color w:val="auto"/>
          <w:highlight w:val="none"/>
        </w:rPr>
        <w:t>字〔20</w:t>
      </w:r>
      <w:r>
        <w:rPr>
          <w:rFonts w:hint="eastAsia"/>
          <w:color w:val="auto"/>
          <w:highlight w:val="none"/>
          <w:lang w:val="en-US" w:eastAsia="zh-CN"/>
        </w:rPr>
        <w:t>25</w:t>
      </w:r>
      <w:r>
        <w:rPr>
          <w:color w:val="auto"/>
          <w:highlight w:val="none"/>
        </w:rPr>
        <w:t>〕</w:t>
      </w:r>
      <w:r>
        <w:rPr>
          <w:rFonts w:hint="eastAsia"/>
          <w:color w:val="auto"/>
          <w:highlight w:val="none"/>
          <w:lang w:val="en-US" w:eastAsia="zh-CN"/>
        </w:rPr>
        <w:t>152</w:t>
      </w:r>
      <w:r>
        <w:rPr>
          <w:color w:val="auto"/>
          <w:highlight w:val="none"/>
        </w:rPr>
        <w:t>号</w:t>
      </w:r>
    </w:p>
    <w:p w14:paraId="55BFE96E">
      <w:pPr>
        <w:keepNext w:val="0"/>
        <w:keepLines w:val="0"/>
        <w:pageBreakBefore w:val="0"/>
        <w:widowControl w:val="0"/>
        <w:tabs>
          <w:tab w:val="left" w:pos="6780"/>
        </w:tabs>
        <w:kinsoku/>
        <w:wordWrap/>
        <w:overflowPunct/>
        <w:topLinePunct w:val="0"/>
        <w:autoSpaceDE/>
        <w:autoSpaceDN/>
        <w:bidi w:val="0"/>
        <w:spacing w:line="600" w:lineRule="exact"/>
        <w:ind w:left="0" w:leftChars="0" w:firstLine="0" w:firstLineChars="0"/>
        <w:jc w:val="center"/>
        <w:textAlignment w:val="auto"/>
        <w:outlineLvl w:val="9"/>
        <w:rPr>
          <w:rFonts w:eastAsia="仿宋"/>
          <w:b/>
          <w:color w:val="auto"/>
          <w:sz w:val="36"/>
          <w:szCs w:val="36"/>
          <w:highlight w:val="none"/>
        </w:rPr>
      </w:pPr>
    </w:p>
    <w:p w14:paraId="79DB0513">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eastAsia="宋体"/>
          <w:b/>
          <w:color w:val="auto"/>
          <w:w w:val="95"/>
          <w:sz w:val="44"/>
          <w:szCs w:val="44"/>
          <w:highlight w:val="none"/>
        </w:rPr>
        <w:t>鄂尔多斯市</w:t>
      </w:r>
      <w:r>
        <w:rPr>
          <w:rFonts w:hint="eastAsia" w:eastAsia="宋体"/>
          <w:b/>
          <w:color w:val="auto"/>
          <w:w w:val="95"/>
          <w:sz w:val="44"/>
          <w:szCs w:val="44"/>
          <w:highlight w:val="none"/>
        </w:rPr>
        <w:t>生态环境</w:t>
      </w:r>
      <w:r>
        <w:rPr>
          <w:rFonts w:eastAsia="宋体"/>
          <w:b/>
          <w:color w:val="auto"/>
          <w:w w:val="95"/>
          <w:sz w:val="44"/>
          <w:szCs w:val="44"/>
          <w:highlight w:val="none"/>
        </w:rPr>
        <w:t>局</w:t>
      </w:r>
    </w:p>
    <w:p w14:paraId="47199821">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hint="eastAsia" w:eastAsia="宋体"/>
          <w:b/>
          <w:color w:val="auto"/>
          <w:w w:val="95"/>
          <w:sz w:val="44"/>
          <w:szCs w:val="44"/>
          <w:highlight w:val="none"/>
        </w:rPr>
      </w:pPr>
      <w:r>
        <w:rPr>
          <w:rFonts w:eastAsia="宋体"/>
          <w:b/>
          <w:color w:val="auto"/>
          <w:w w:val="95"/>
          <w:sz w:val="44"/>
          <w:szCs w:val="44"/>
          <w:highlight w:val="none"/>
        </w:rPr>
        <w:t>关于</w:t>
      </w:r>
      <w:r>
        <w:rPr>
          <w:rFonts w:hint="eastAsia" w:eastAsia="宋体"/>
          <w:b/>
          <w:color w:val="auto"/>
          <w:w w:val="95"/>
          <w:sz w:val="44"/>
          <w:szCs w:val="44"/>
          <w:highlight w:val="none"/>
        </w:rPr>
        <w:t>内蒙古同煤鄂尔多斯矿业投资有限公司</w:t>
      </w:r>
    </w:p>
    <w:p w14:paraId="51571F4A">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hint="eastAsia" w:eastAsia="宋体"/>
          <w:b/>
          <w:color w:val="auto"/>
          <w:w w:val="95"/>
          <w:sz w:val="44"/>
          <w:szCs w:val="44"/>
          <w:highlight w:val="none"/>
        </w:rPr>
      </w:pPr>
      <w:r>
        <w:rPr>
          <w:rFonts w:hint="eastAsia" w:eastAsia="宋体"/>
          <w:b/>
          <w:color w:val="auto"/>
          <w:w w:val="95"/>
          <w:sz w:val="44"/>
          <w:szCs w:val="44"/>
          <w:highlight w:val="none"/>
        </w:rPr>
        <w:t>选煤厂生产系统扩能改造项目</w:t>
      </w:r>
    </w:p>
    <w:p w14:paraId="52544A21">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outlineLvl w:val="0"/>
        <w:rPr>
          <w:rFonts w:eastAsia="宋体"/>
          <w:b/>
          <w:color w:val="auto"/>
          <w:w w:val="95"/>
          <w:sz w:val="44"/>
          <w:szCs w:val="44"/>
          <w:highlight w:val="none"/>
        </w:rPr>
      </w:pPr>
      <w:r>
        <w:rPr>
          <w:rFonts w:hint="eastAsia" w:eastAsia="宋体"/>
          <w:b/>
          <w:color w:val="auto"/>
          <w:w w:val="95"/>
          <w:sz w:val="44"/>
          <w:szCs w:val="44"/>
          <w:highlight w:val="none"/>
        </w:rPr>
        <w:t>环境影响报告表</w:t>
      </w:r>
      <w:r>
        <w:rPr>
          <w:rFonts w:eastAsia="宋体"/>
          <w:b/>
          <w:color w:val="auto"/>
          <w:w w:val="95"/>
          <w:sz w:val="44"/>
          <w:szCs w:val="44"/>
          <w:highlight w:val="none"/>
        </w:rPr>
        <w:t>的批复</w:t>
      </w:r>
    </w:p>
    <w:p w14:paraId="651455E1">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auto"/>
          <w:szCs w:val="32"/>
          <w:highlight w:val="none"/>
        </w:rPr>
      </w:pPr>
    </w:p>
    <w:p w14:paraId="2729478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仿宋" w:hAnsi="仿宋" w:eastAsia="仿宋" w:cs="仿宋"/>
          <w:color w:val="auto"/>
          <w:kern w:val="0"/>
          <w:sz w:val="32"/>
          <w:szCs w:val="32"/>
          <w:highlight w:val="yellow"/>
        </w:rPr>
      </w:pPr>
      <w:r>
        <w:rPr>
          <w:rFonts w:hint="eastAsia" w:ascii="仿宋" w:hAnsi="仿宋" w:eastAsia="仿宋" w:cs="仿宋"/>
          <w:color w:val="auto"/>
          <w:szCs w:val="32"/>
          <w:highlight w:val="none"/>
          <w:lang w:eastAsia="zh-CN"/>
        </w:rPr>
        <w:t>内蒙古同煤鄂尔多斯矿业投资有限公司</w:t>
      </w:r>
      <w:r>
        <w:rPr>
          <w:rFonts w:hint="eastAsia" w:ascii="仿宋" w:hAnsi="仿宋" w:eastAsia="仿宋" w:cs="仿宋"/>
          <w:color w:val="auto"/>
          <w:szCs w:val="32"/>
          <w:highlight w:val="none"/>
        </w:rPr>
        <w:t>：</w:t>
      </w:r>
    </w:p>
    <w:p w14:paraId="12CF44E0">
      <w:pPr>
        <w:keepNext w:val="0"/>
        <w:keepLines w:val="0"/>
        <w:pageBreakBefore w:val="0"/>
        <w:widowControl w:val="0"/>
        <w:kinsoku/>
        <w:wordWrap/>
        <w:overflowPunct/>
        <w:topLinePunct w:val="0"/>
        <w:autoSpaceDE/>
        <w:autoSpaceDN/>
        <w:bidi w:val="0"/>
        <w:adjustRightInd w:val="0"/>
        <w:snapToGrid w:val="0"/>
        <w:spacing w:line="460" w:lineRule="exact"/>
        <w:ind w:firstLine="640"/>
        <w:textAlignment w:val="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你公司报送的由</w:t>
      </w:r>
      <w:r>
        <w:rPr>
          <w:rFonts w:hint="eastAsia" w:ascii="仿宋" w:hAnsi="仿宋" w:eastAsia="仿宋" w:cs="仿宋"/>
          <w:color w:val="auto"/>
          <w:szCs w:val="32"/>
          <w:highlight w:val="none"/>
          <w:lang w:eastAsia="zh-CN"/>
        </w:rPr>
        <w:t>鄂尔多斯市则渊技术咨询有限责任公司</w:t>
      </w:r>
      <w:r>
        <w:rPr>
          <w:rFonts w:hint="eastAsia" w:ascii="仿宋" w:hAnsi="仿宋" w:eastAsia="仿宋" w:cs="仿宋"/>
          <w:color w:val="auto"/>
          <w:szCs w:val="32"/>
          <w:highlight w:val="none"/>
        </w:rPr>
        <w:t>编制</w:t>
      </w:r>
      <w:r>
        <w:rPr>
          <w:rFonts w:hint="eastAsia" w:ascii="仿宋" w:hAnsi="仿宋" w:eastAsia="仿宋" w:cs="仿宋"/>
          <w:color w:val="auto"/>
          <w:szCs w:val="32"/>
          <w:highlight w:val="none"/>
          <w:lang w:eastAsia="zh-CN"/>
        </w:rPr>
        <w:t>的《内蒙古同煤鄂尔多斯矿业投资有限公司选煤厂生产系统扩能改造项目环境影响报告表</w:t>
      </w:r>
      <w:r>
        <w:rPr>
          <w:rFonts w:hint="eastAsia" w:ascii="仿宋" w:hAnsi="仿宋" w:eastAsia="仿宋" w:cs="仿宋"/>
          <w:color w:val="auto"/>
          <w:szCs w:val="32"/>
          <w:highlight w:val="none"/>
        </w:rPr>
        <w:t>》（以下简称《报告表》）收悉。</w:t>
      </w:r>
      <w:r>
        <w:rPr>
          <w:rFonts w:hint="eastAsia" w:ascii="仿宋" w:hAnsi="仿宋" w:eastAsia="仿宋" w:cs="仿宋"/>
          <w:color w:val="auto"/>
          <w:szCs w:val="32"/>
        </w:rPr>
        <w:t>经研究，现批复如下：</w:t>
      </w:r>
    </w:p>
    <w:p w14:paraId="787E6D63">
      <w:pPr>
        <w:keepNext w:val="0"/>
        <w:keepLines w:val="0"/>
        <w:pageBreakBefore w:val="0"/>
        <w:widowControl w:val="0"/>
        <w:numPr>
          <w:ilvl w:val="0"/>
          <w:numId w:val="1"/>
        </w:numPr>
        <w:kinsoku/>
        <w:wordWrap/>
        <w:overflowPunct/>
        <w:topLinePunct w:val="0"/>
        <w:autoSpaceDE/>
        <w:autoSpaceDN/>
        <w:bidi w:val="0"/>
        <w:spacing w:line="46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内蒙古同煤鄂尔多斯矿业投资有限公司选煤厂生产系统扩能改造项目（以下称“本项目”）位于鄂尔多斯市东胜区罕台镇色连一矿选煤厂现有工业厂区内</w:t>
      </w:r>
      <w:r>
        <w:rPr>
          <w:rFonts w:hint="eastAsia" w:ascii="仿宋" w:hAnsi="仿宋" w:eastAsia="仿宋" w:cs="仿宋"/>
          <w:color w:val="auto"/>
          <w:szCs w:val="32"/>
          <w:highlight w:val="none"/>
          <w:lang w:eastAsia="zh-CN"/>
        </w:rPr>
        <w:t>。2022年9月9日，内蒙古自治区能源局出具《内蒙古自治区能源局关于色连一号和益阳高头窑煤矿核定生产能力的复函》（内能煤运函〔2022〕1189号），同意色连一号煤矿生产能力核增至</w:t>
      </w:r>
      <w:r>
        <w:rPr>
          <w:rFonts w:hint="eastAsia" w:ascii="仿宋" w:hAnsi="仿宋" w:eastAsia="仿宋" w:cs="仿宋"/>
          <w:color w:val="auto"/>
          <w:szCs w:val="32"/>
          <w:highlight w:val="none"/>
          <w:lang w:val="en-US" w:eastAsia="zh-CN"/>
        </w:rPr>
        <w:t>800万吨/年</w:t>
      </w:r>
      <w:r>
        <w:rPr>
          <w:rFonts w:hint="eastAsia" w:ascii="仿宋" w:hAnsi="仿宋" w:eastAsia="仿宋" w:cs="仿宋"/>
          <w:color w:val="auto"/>
          <w:szCs w:val="32"/>
          <w:highlight w:val="none"/>
          <w:lang w:eastAsia="zh-CN"/>
        </w:rPr>
        <w:t>。2023年9月28日，内蒙古自治区生态环境厅出具《内蒙古自治区生态环境厅关于内蒙古同煤鄂尔多斯矿业投资有限公司色连一号煤矿改扩建工程(8.00Mt/a)环境影响报告书的批复》（内环审〔202</w:t>
      </w:r>
      <w:r>
        <w:rPr>
          <w:rFonts w:hint="eastAsia" w:ascii="仿宋" w:hAnsi="仿宋" w:eastAsia="仿宋" w:cs="仿宋"/>
          <w:color w:val="auto"/>
          <w:szCs w:val="32"/>
          <w:highlight w:val="none"/>
          <w:lang w:val="en-US" w:eastAsia="zh-CN"/>
        </w:rPr>
        <w:t>3</w:t>
      </w:r>
      <w:r>
        <w:rPr>
          <w:rFonts w:hint="eastAsia" w:ascii="仿宋" w:hAnsi="仿宋" w:eastAsia="仿宋" w:cs="仿宋"/>
          <w:color w:val="auto"/>
          <w:szCs w:val="32"/>
          <w:highlight w:val="none"/>
          <w:lang w:eastAsia="zh-CN"/>
        </w:rPr>
        <w:t>〕5</w:t>
      </w:r>
      <w:r>
        <w:rPr>
          <w:rFonts w:hint="eastAsia" w:ascii="仿宋" w:hAnsi="仿宋" w:eastAsia="仿宋" w:cs="仿宋"/>
          <w:color w:val="auto"/>
          <w:szCs w:val="32"/>
          <w:highlight w:val="none"/>
          <w:lang w:val="en-US" w:eastAsia="zh-CN"/>
        </w:rPr>
        <w:t>1</w:t>
      </w:r>
      <w:r>
        <w:rPr>
          <w:rFonts w:hint="eastAsia" w:ascii="仿宋" w:hAnsi="仿宋" w:eastAsia="仿宋" w:cs="仿宋"/>
          <w:color w:val="auto"/>
          <w:szCs w:val="32"/>
          <w:highlight w:val="none"/>
          <w:lang w:eastAsia="zh-CN"/>
        </w:rPr>
        <w:t>号），当前色连一矿选煤厂</w:t>
      </w:r>
      <w:r>
        <w:rPr>
          <w:rFonts w:hint="default" w:ascii="仿宋" w:hAnsi="仿宋" w:eastAsia="仿宋" w:cs="仿宋"/>
          <w:color w:val="auto"/>
          <w:szCs w:val="32"/>
          <w:highlight w:val="none"/>
          <w:lang w:val="en-US" w:eastAsia="zh-CN"/>
        </w:rPr>
        <w:t>现有工程规模为</w:t>
      </w:r>
      <w:r>
        <w:rPr>
          <w:rFonts w:hint="default" w:ascii="仿宋" w:hAnsi="仿宋" w:eastAsia="仿宋" w:cs="仿宋"/>
          <w:color w:val="auto"/>
          <w:szCs w:val="32"/>
          <w:highlight w:val="none"/>
          <w:lang w:eastAsia="zh-CN"/>
        </w:rPr>
        <w:t>5</w:t>
      </w:r>
      <w:r>
        <w:rPr>
          <w:rFonts w:hint="eastAsia" w:ascii="仿宋" w:hAnsi="仿宋" w:eastAsia="仿宋" w:cs="仿宋"/>
          <w:color w:val="auto"/>
          <w:szCs w:val="32"/>
          <w:highlight w:val="none"/>
          <w:lang w:val="en-US" w:eastAsia="zh-CN"/>
        </w:rPr>
        <w:t>00万吨/年</w:t>
      </w:r>
      <w:r>
        <w:rPr>
          <w:rFonts w:hint="default" w:ascii="仿宋" w:hAnsi="仿宋" w:eastAsia="仿宋" w:cs="仿宋"/>
          <w:color w:val="auto"/>
          <w:szCs w:val="32"/>
          <w:highlight w:val="none"/>
          <w:lang w:eastAsia="zh-CN"/>
        </w:rPr>
        <w:t>，其中</w:t>
      </w:r>
      <w:r>
        <w:rPr>
          <w:rFonts w:hint="eastAsia" w:ascii="仿宋" w:hAnsi="仿宋" w:eastAsia="仿宋" w:cs="仿宋"/>
          <w:color w:val="auto"/>
          <w:szCs w:val="32"/>
          <w:highlight w:val="none"/>
          <w:lang w:eastAsia="zh-CN"/>
        </w:rPr>
        <w:t>重介</w:t>
      </w:r>
      <w:r>
        <w:rPr>
          <w:rFonts w:hint="default" w:ascii="仿宋" w:hAnsi="仿宋" w:eastAsia="仿宋" w:cs="仿宋"/>
          <w:color w:val="auto"/>
          <w:szCs w:val="32"/>
          <w:highlight w:val="none"/>
          <w:lang w:eastAsia="zh-CN"/>
        </w:rPr>
        <w:t>洗选能力</w:t>
      </w:r>
      <w:r>
        <w:rPr>
          <w:rFonts w:hint="eastAsia" w:ascii="仿宋" w:hAnsi="仿宋" w:eastAsia="仿宋" w:cs="仿宋"/>
          <w:color w:val="auto"/>
          <w:szCs w:val="32"/>
          <w:highlight w:val="none"/>
          <w:lang w:val="en-US" w:eastAsia="zh-CN"/>
        </w:rPr>
        <w:t>设计能力300万吨/年，干选产能为200万吨/年。</w:t>
      </w:r>
      <w:r>
        <w:rPr>
          <w:rFonts w:hint="eastAsia" w:ascii="仿宋" w:hAnsi="仿宋" w:eastAsia="仿宋" w:cs="仿宋"/>
          <w:color w:val="auto"/>
          <w:szCs w:val="32"/>
          <w:highlight w:val="none"/>
          <w:lang w:eastAsia="zh-CN"/>
        </w:rPr>
        <w:t>本次</w:t>
      </w:r>
      <w:r>
        <w:rPr>
          <w:rFonts w:hint="eastAsia" w:ascii="仿宋" w:hAnsi="仿宋" w:eastAsia="仿宋" w:cs="仿宋"/>
          <w:color w:val="auto"/>
          <w:szCs w:val="32"/>
          <w:highlight w:val="none"/>
          <w:lang w:val="en-US" w:eastAsia="zh-CN"/>
        </w:rPr>
        <w:t>技改后干选产能为500万吨/年，洗选产能仍为300万吨/年，选煤厂总生产能力保持800万吨/年不变。</w:t>
      </w:r>
      <w:r>
        <w:rPr>
          <w:rFonts w:hint="eastAsia" w:ascii="仿宋" w:hAnsi="仿宋" w:eastAsia="仿宋" w:cs="仿宋"/>
          <w:color w:val="auto"/>
          <w:highlight w:val="none"/>
          <w:lang w:eastAsia="zh-CN"/>
        </w:rPr>
        <w:t>本项目主要对原有主厂房内浅槽矸石脱介筛进行更新、新增粗煤泥振动弧形筛，筛分车间内筛板更换,改造分级筛、刮板、带式输送机等，风力干选车间新增4台风力干选机，新建脱粉车间内布设6台高效自清洁振动筛，在原有汽车装车仓及其上煤栈桥北侧布置</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eastAsia="zh-CN"/>
        </w:rPr>
        <w:t>套单能力1200吨/小时的汽车快速装车站。</w:t>
      </w:r>
    </w:p>
    <w:p w14:paraId="5130024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告表》认为，在全面落实各项生态环境保护和环境污染防治措施的前提下，项目建设对环境的不利影响能够得到一定的缓解和控制。因此，我局原则同意你公司按照《报告表》中所列的建设项目性质、规模、地点、工艺、生态环境保护措施及下述要求进行建设。</w:t>
      </w:r>
    </w:p>
    <w:p w14:paraId="30D8057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leftChars="200"/>
        <w:textAlignment w:val="baseline"/>
        <w:outlineLvl w:val="9"/>
        <w:rPr>
          <w:rFonts w:hint="eastAsia"/>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项目建设与运行管理中应重点做好的工作：</w:t>
      </w:r>
    </w:p>
    <w:p w14:paraId="6AE9698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default"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1.认真落实《报告表》中提出的大气污染防治措施。施工期散装材料、粉状物料集中堆放并采用篷布遮盖，加强对运输车辆的管理，采用定期洒水降尘等措施，减少扬尘污染，施工期无组织颗粒物须满足《大气污染物综合排放标准》（GB16297-1996）表2中无组织排放浓度限值要求。运营期风选车间产生的含尘废气通过各自独立风道，分别经“旋风除尘器+布袋除尘器”处理后分别通过6根15米高的排气筒排出，有组织颗粒物须满足《煤炭工业污染物排放标准》（GB20426-2006）表4要求，无组织颗粒物须满足《煤炭工业污染物排放标准》（GB20426-2006）表5中无组织排放要求。</w:t>
      </w:r>
    </w:p>
    <w:p w14:paraId="5D16896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2.认真落实《报告表》中提出的水污染防治措施。洗选废水循环利用不外排，车间地面清洗废水经现有矿井水处理系统处理后回用，不外排。</w:t>
      </w:r>
    </w:p>
    <w:p w14:paraId="067D963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3.严格落实《报告表》提出的噪声污染防治措施。选用低噪声设备，采取隔声等措施，确保厂界噪声满足</w:t>
      </w:r>
      <w:r>
        <w:rPr>
          <w:rFonts w:hint="default" w:ascii="仿宋" w:hAnsi="仿宋" w:eastAsia="仿宋" w:cs="仿宋"/>
          <w:color w:val="auto"/>
          <w:szCs w:val="32"/>
          <w:highlight w:val="none"/>
          <w:lang w:val="en-US" w:eastAsia="zh-CN"/>
        </w:rPr>
        <w:t>《工业企业厂界环境噪声排放标准》（GB12348-2008）2类标准要求。</w:t>
      </w:r>
    </w:p>
    <w:p w14:paraId="05B79FD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eastAsia" w:ascii="仿宋" w:hAnsi="仿宋" w:eastAsia="仿宋" w:cs="仿宋"/>
          <w:color w:val="auto"/>
          <w:szCs w:val="32"/>
          <w:highlight w:val="yellow"/>
          <w:lang w:val="en-US" w:eastAsia="zh-CN"/>
        </w:rPr>
      </w:pPr>
      <w:r>
        <w:rPr>
          <w:rFonts w:hint="eastAsia" w:ascii="仿宋" w:hAnsi="仿宋" w:eastAsia="仿宋" w:cs="仿宋"/>
          <w:color w:val="auto"/>
          <w:szCs w:val="32"/>
          <w:highlight w:val="none"/>
          <w:lang w:val="en-US" w:eastAsia="zh-CN"/>
        </w:rPr>
        <w:t>4.严格落实固体废物污染防治措施，妥善处置各类固体废弃物，按照“减量化、资源化、无害化”原则，按照《一般工业固体废物贮存和填埋污染控制标准》（GB 18599-2020）、《危险废物贮存污染控制标准》（GB 18597-2023）要求做好一般固体废物和危险废物的处置工作，一般固体废物应立足于综合利用，危险废物委托有资质单位处置。废布袋集中收集定期委托资源利用单位处理，除尘灰、煤泥掺入末煤中作为产品外售。2026年9月井下矸石充填系统建成投运，矸石全部用于井下充填，充填系统建成前，矸石处理方式按照现状，收集后暂存于现有矸石仓，拉运至东胜区北部添尔漫梁村固废综合利用项目、鄂尔多斯市金源新型建筑材料有限公司煤矸石烧结砖改扩建项目(变更)等煤矸石综合利用项目。</w:t>
      </w:r>
    </w:p>
    <w:p w14:paraId="00FB3D1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5.切实落实地下水环境及土壤环境保护措施。严格按照《环境影响评价技术导则 地下水环境》（HJ610-2016）、《地下水环境监测技术规范》（HJ164-2020）、《环境影响评价技术导则 土壤环境（试行）》（HJ964-2018）及《一般工业固体废物贮存和填埋污染控制标准》（GB18599-2020）等要求，采取源头控制、分区防渗措施，建立完善的土壤地下水监测制度并按照要求监测。</w:t>
      </w:r>
    </w:p>
    <w:p w14:paraId="7D401A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6</w:t>
      </w:r>
      <w:r>
        <w:rPr>
          <w:rFonts w:hint="eastAsia" w:ascii="仿宋" w:hAnsi="仿宋" w:eastAsia="仿宋" w:cs="仿宋"/>
          <w:color w:val="auto"/>
          <w:szCs w:val="32"/>
          <w:highlight w:val="none"/>
        </w:rPr>
        <w:t>.</w:t>
      </w:r>
      <w:r>
        <w:rPr>
          <w:rFonts w:hint="eastAsia" w:ascii="仿宋" w:hAnsi="仿宋" w:eastAsia="仿宋" w:cs="仿宋"/>
          <w:color w:val="auto"/>
          <w:szCs w:val="32"/>
          <w:highlight w:val="none"/>
          <w:lang w:val="en-US" w:eastAsia="zh-CN"/>
        </w:rPr>
        <w:t>建设单位须强化环境风险防范，落实环保设施安全生产要求，项目污染防治设施须与主体工程一起按照安全生产要求设计，严格落实各项环境风险处理措施、生态平衡保护机制，有效防范因污染物事故排放或安全生产事故可能引发的环境风险。</w:t>
      </w:r>
    </w:p>
    <w:p w14:paraId="3180165B">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32"/>
          <w:highlight w:val="none"/>
          <w:lang w:eastAsia="zh-CN"/>
        </w:rPr>
        <w:t>三、建设单位必须严格落实《报告表》中的运营要求，征得文物等主管部门同意后方可开工建设，项目在实施过程中发现文物古迹应立即停止施工并报告有关部门进行妥善处理，</w:t>
      </w:r>
      <w:r>
        <w:rPr>
          <w:rFonts w:hint="eastAsia" w:ascii="仿宋" w:hAnsi="仿宋" w:eastAsia="仿宋" w:cs="仿宋"/>
          <w:color w:val="auto"/>
          <w:highlight w:val="none"/>
          <w:lang w:val="en-US" w:eastAsia="zh-CN"/>
        </w:rPr>
        <w:t>建设单位须严格执行环境保护“三同时”制度，项目竣工后，按照规定程序实施竣工环境保护验收，经验收合格后，方可正式投入运行。</w:t>
      </w:r>
    </w:p>
    <w:p w14:paraId="1BA83FA3">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你公司应在收到本批复20日内，将《报告表》（报批版）及批复文件送至鄂尔多斯市生态环境局</w:t>
      </w:r>
      <w:r>
        <w:rPr>
          <w:rFonts w:hint="eastAsia" w:ascii="仿宋" w:hAnsi="仿宋" w:eastAsia="仿宋" w:cs="仿宋"/>
          <w:color w:val="auto"/>
          <w:highlight w:val="none"/>
          <w:lang w:val="en-US" w:eastAsia="zh-CN"/>
        </w:rPr>
        <w:t>东胜区</w:t>
      </w:r>
      <w:r>
        <w:rPr>
          <w:rFonts w:hint="eastAsia" w:ascii="仿宋" w:hAnsi="仿宋" w:eastAsia="仿宋" w:cs="仿宋"/>
          <w:color w:val="auto"/>
          <w:highlight w:val="none"/>
          <w:lang w:eastAsia="zh-CN"/>
        </w:rPr>
        <w:t>分局，我局委托鄂尔多斯市生态环境局</w:t>
      </w:r>
      <w:r>
        <w:rPr>
          <w:rFonts w:hint="eastAsia" w:ascii="仿宋" w:hAnsi="仿宋" w:eastAsia="仿宋" w:cs="仿宋"/>
          <w:color w:val="auto"/>
          <w:highlight w:val="none"/>
          <w:lang w:val="en-US" w:eastAsia="zh-CN"/>
        </w:rPr>
        <w:t>东胜区</w:t>
      </w:r>
      <w:r>
        <w:rPr>
          <w:rFonts w:hint="eastAsia" w:ascii="仿宋" w:hAnsi="仿宋" w:eastAsia="仿宋" w:cs="仿宋"/>
          <w:color w:val="auto"/>
          <w:highlight w:val="none"/>
          <w:lang w:eastAsia="zh-CN"/>
        </w:rPr>
        <w:t>分局负责该项目的日常监管工作。</w:t>
      </w:r>
    </w:p>
    <w:p w14:paraId="304A726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lang w:eastAsia="zh-CN"/>
        </w:rPr>
        <w:t>、该项目从批准之日起超过5年方决定开工建设，其环评文件应重新审核。如果建设地点、规模、防治污染和防止生态破坏的措施等发生重大变化时，需重新报批环评文件。</w:t>
      </w:r>
    </w:p>
    <w:p w14:paraId="69067BC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640" w:firstLineChars="200"/>
        <w:textAlignment w:val="auto"/>
        <w:rPr>
          <w:rFonts w:hint="eastAsia" w:ascii="仿宋" w:hAnsi="仿宋" w:eastAsia="仿宋" w:cs="仿宋"/>
          <w:color w:val="auto"/>
          <w:highlight w:val="none"/>
          <w:lang w:eastAsia="zh-CN"/>
        </w:rPr>
      </w:pPr>
    </w:p>
    <w:p w14:paraId="066A06E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textAlignment w:val="auto"/>
        <w:rPr>
          <w:rFonts w:hint="eastAsia" w:ascii="仿宋" w:hAnsi="仿宋" w:eastAsia="仿宋" w:cs="仿宋"/>
          <w:color w:val="auto"/>
          <w:highlight w:val="none"/>
          <w:lang w:eastAsia="zh-CN"/>
        </w:rPr>
      </w:pPr>
    </w:p>
    <w:p w14:paraId="062E2B21">
      <w:pPr>
        <w:keepNext w:val="0"/>
        <w:keepLines w:val="0"/>
        <w:pageBreakBefore w:val="0"/>
        <w:widowControl w:val="0"/>
        <w:kinsoku/>
        <w:wordWrap/>
        <w:overflowPunct/>
        <w:topLinePunct w:val="0"/>
        <w:autoSpaceDE/>
        <w:autoSpaceDN/>
        <w:bidi w:val="0"/>
        <w:adjustRightInd w:val="0"/>
        <w:snapToGrid w:val="0"/>
        <w:spacing w:line="460" w:lineRule="exact"/>
        <w:ind w:firstLine="4800" w:firstLineChars="150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rPr>
        <w:t>鄂尔多斯市生态环境局</w:t>
      </w:r>
    </w:p>
    <w:p w14:paraId="0E5FAC6C">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20</w:t>
      </w:r>
      <w:r>
        <w:rPr>
          <w:rFonts w:hint="eastAsia" w:ascii="仿宋" w:hAnsi="仿宋" w:eastAsia="仿宋" w:cs="仿宋"/>
          <w:color w:val="auto"/>
          <w:szCs w:val="32"/>
          <w:highlight w:val="none"/>
          <w:lang w:val="en-US" w:eastAsia="zh-CN"/>
        </w:rPr>
        <w:t>25</w:t>
      </w:r>
      <w:r>
        <w:rPr>
          <w:rFonts w:hint="eastAsia" w:ascii="仿宋" w:hAnsi="仿宋" w:eastAsia="仿宋" w:cs="仿宋"/>
          <w:color w:val="auto"/>
          <w:szCs w:val="32"/>
          <w:highlight w:val="none"/>
        </w:rPr>
        <w:t>年</w:t>
      </w:r>
      <w:r>
        <w:rPr>
          <w:rFonts w:hint="eastAsia" w:ascii="仿宋" w:hAnsi="仿宋" w:eastAsia="仿宋" w:cs="仿宋"/>
          <w:color w:val="auto"/>
          <w:szCs w:val="32"/>
          <w:highlight w:val="none"/>
          <w:lang w:val="en-US" w:eastAsia="zh-CN"/>
        </w:rPr>
        <w:t>10月15</w:t>
      </w:r>
      <w:r>
        <w:rPr>
          <w:rFonts w:hint="eastAsia" w:ascii="仿宋" w:hAnsi="仿宋" w:eastAsia="仿宋" w:cs="仿宋"/>
          <w:color w:val="auto"/>
          <w:szCs w:val="32"/>
          <w:highlight w:val="none"/>
        </w:rPr>
        <w:t>日</w:t>
      </w:r>
      <w:r>
        <w:rPr>
          <w:rFonts w:hint="eastAsia" w:ascii="仿宋" w:hAnsi="仿宋" w:eastAsia="仿宋" w:cs="仿宋"/>
          <w:color w:val="auto"/>
          <w:szCs w:val="32"/>
          <w:highlight w:val="none"/>
          <w:lang w:eastAsia="zh-CN"/>
        </w:rPr>
        <w:tab/>
      </w:r>
    </w:p>
    <w:p w14:paraId="604CBC06">
      <w:pPr>
        <w:keepNext w:val="0"/>
        <w:keepLines w:val="0"/>
        <w:pageBreakBefore w:val="0"/>
        <w:widowControl w:val="0"/>
        <w:tabs>
          <w:tab w:val="right" w:pos="8090"/>
        </w:tabs>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lang w:eastAsia="zh-CN"/>
        </w:rPr>
      </w:pPr>
    </w:p>
    <w:p w14:paraId="42E67F4B">
      <w:pPr>
        <w:keepNext w:val="0"/>
        <w:keepLines w:val="0"/>
        <w:pageBreakBefore w:val="0"/>
        <w:widowControl w:val="0"/>
        <w:kinsoku/>
        <w:wordWrap/>
        <w:overflowPunct/>
        <w:topLinePunct w:val="0"/>
        <w:autoSpaceDE/>
        <w:autoSpaceDN/>
        <w:bidi w:val="0"/>
        <w:adjustRightInd w:val="0"/>
        <w:snapToGrid w:val="0"/>
        <w:spacing w:line="460" w:lineRule="exact"/>
        <w:ind w:right="317"/>
        <w:jc w:val="both"/>
        <w:textAlignment w:val="auto"/>
        <w:outlineLvl w:val="9"/>
        <w:rPr>
          <w:rFonts w:hint="eastAsia" w:ascii="仿宋" w:hAnsi="仿宋" w:eastAsia="仿宋" w:cs="仿宋"/>
          <w:color w:val="auto"/>
          <w:szCs w:val="32"/>
          <w:highlight w:val="none"/>
        </w:rPr>
      </w:pPr>
    </w:p>
    <w:p w14:paraId="563B163A">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eastAsia="仿宋_GB2312"/>
          <w:color w:val="auto"/>
          <w:sz w:val="28"/>
          <w:szCs w:val="28"/>
          <w:highlight w:val="none"/>
          <w:lang w:eastAsia="zh-CN"/>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68769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7.85pt;z-index:251659264;mso-width-relative:page;mso-height-relative:page;" filled="f"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pcyzRAAAAAgEAAA8AAAAAAAAAAQAgAAAAIgAAAGRycy9kb3ducmV2LnhtbFBLAQIU&#10;ABQAAAAIAIdO4kA8Zdkm+gEAAPIDAAAOAAAAAAAAAAEAIAAAACABAABkcnMvZTJvRG9jLnhtbFBL&#10;BQYAAAAABgAGAFkBAACMBQAAAAA=&#10;">
                <v:path arrowok="t"/>
                <v:fill on="f" focussize="0,0"/>
                <v:stroke/>
                <v:imagedata o:title=""/>
                <o:lock v:ext="edit"/>
              </v:line>
            </w:pict>
          </mc:Fallback>
        </mc:AlternateContent>
      </w:r>
      <w:r>
        <w:rPr>
          <w:color w:val="auto"/>
          <w:sz w:val="28"/>
          <w:szCs w:val="28"/>
          <w:highlight w:val="none"/>
        </w:rPr>
        <w:t>抄送：</w:t>
      </w:r>
      <w:r>
        <w:rPr>
          <w:rFonts w:hint="eastAsia"/>
          <w:color w:val="auto"/>
          <w:sz w:val="28"/>
          <w:szCs w:val="28"/>
          <w:highlight w:val="none"/>
        </w:rPr>
        <w:t>鄂尔多斯市生态环境局</w:t>
      </w:r>
      <w:r>
        <w:rPr>
          <w:rFonts w:hint="eastAsia"/>
          <w:color w:val="auto"/>
          <w:sz w:val="28"/>
          <w:szCs w:val="28"/>
          <w:highlight w:val="none"/>
          <w:lang w:val="en-US" w:eastAsia="zh-CN"/>
        </w:rPr>
        <w:t>东胜区</w:t>
      </w:r>
      <w:r>
        <w:rPr>
          <w:rFonts w:hint="eastAsia"/>
          <w:color w:val="auto"/>
          <w:sz w:val="28"/>
          <w:szCs w:val="28"/>
          <w:highlight w:val="none"/>
        </w:rPr>
        <w:t>分局</w:t>
      </w:r>
      <w:r>
        <w:rPr>
          <w:rFonts w:hint="eastAsia"/>
          <w:color w:val="auto"/>
          <w:sz w:val="28"/>
          <w:szCs w:val="28"/>
          <w:highlight w:val="none"/>
          <w:lang w:eastAsia="zh-CN"/>
        </w:rPr>
        <w:t>，</w:t>
      </w:r>
      <w:r>
        <w:rPr>
          <w:rFonts w:hint="eastAsia"/>
          <w:color w:val="auto"/>
          <w:sz w:val="28"/>
          <w:szCs w:val="28"/>
          <w:highlight w:val="none"/>
        </w:rPr>
        <w:t>市生态环境综合行政执</w:t>
      </w:r>
      <w:r>
        <w:rPr>
          <w:rFonts w:hint="eastAsia"/>
          <w:color w:val="auto"/>
          <w:sz w:val="28"/>
          <w:szCs w:val="28"/>
          <w:highlight w:val="none"/>
          <w:lang w:val="en-US" w:eastAsia="zh-CN"/>
        </w:rPr>
        <w:t>法</w:t>
      </w:r>
      <w:r>
        <w:rPr>
          <w:rFonts w:hint="eastAsia"/>
          <w:color w:val="auto"/>
          <w:sz w:val="28"/>
          <w:szCs w:val="28"/>
          <w:highlight w:val="none"/>
        </w:rPr>
        <w:t>支队</w:t>
      </w:r>
      <w:r>
        <w:rPr>
          <w:color w:val="auto"/>
          <w:sz w:val="28"/>
          <w:szCs w:val="28"/>
          <w:highlight w:val="none"/>
        </w:rPr>
        <w:t>，</w:t>
      </w:r>
      <w:r>
        <w:rPr>
          <w:rFonts w:hint="eastAsia"/>
          <w:color w:val="auto"/>
          <w:sz w:val="28"/>
          <w:szCs w:val="28"/>
          <w:highlight w:val="none"/>
        </w:rPr>
        <w:t>鄂尔多斯市则渊技术咨询有限责任公司</w:t>
      </w:r>
    </w:p>
    <w:p w14:paraId="408ED4E8">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r>
        <w:rPr>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434340</wp:posOffset>
                </wp:positionV>
                <wp:extent cx="568769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4.2pt;height:0pt;width:447.85pt;z-index:251661312;mso-width-relative:page;mso-height-relative:page;" filled="f"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4zxia1QAAAAcBAAAPAAAAAAAAAAEAIAAAACIAAABkcnMvZG93bnJldi54bWxQ&#10;SwECFAAUAAAACACHTuJAIwqOuPoBAADyAwAADgAAAAAAAAABACAAAAAkAQAAZHJzL2Uyb0RvYy54&#10;bWxQSwUGAAAAAAYABgBZAQAAkAUAAAAA&#10;">
                <v:path arrowok="t"/>
                <v:fill on="f" focussize="0,0"/>
                <v:stroke/>
                <v:imagedata o:title=""/>
                <o:lock v:ext="edit"/>
              </v:line>
            </w:pict>
          </mc:Fallback>
        </mc:AlternateContent>
      </w:r>
      <w:r>
        <w:rPr>
          <w:color w:val="auto"/>
          <w:sz w:val="28"/>
          <w:szCs w:val="28"/>
          <w:highlight w:val="none"/>
        </w:rPr>
        <w:t>鄂尔多斯市</w:t>
      </w:r>
      <w:r>
        <w:rPr>
          <w:rFonts w:hint="eastAsia"/>
          <w:color w:val="auto"/>
          <w:sz w:val="28"/>
          <w:szCs w:val="28"/>
          <w:highlight w:val="none"/>
        </w:rPr>
        <w:t>生态环境</w:t>
      </w:r>
      <w:r>
        <w:rPr>
          <w:color w:val="auto"/>
          <w:sz w:val="28"/>
          <w:szCs w:val="28"/>
          <w:highlight w:val="none"/>
        </w:rPr>
        <w:t xml:space="preserve">局                </w:t>
      </w:r>
      <w:r>
        <w:rPr>
          <w:rFonts w:hint="eastAsia"/>
          <w:color w:val="auto"/>
          <w:sz w:val="28"/>
          <w:szCs w:val="28"/>
          <w:highlight w:val="none"/>
          <w:lang w:val="en-US" w:eastAsia="zh-CN"/>
        </w:rPr>
        <w:t xml:space="preserve">      2025年10月15日</w:t>
      </w:r>
      <w:r>
        <w:rPr>
          <w:color w:val="auto"/>
          <w:sz w:val="28"/>
          <w:szCs w:val="28"/>
          <w:highlight w:val="none"/>
        </w:rPr>
        <w:t>印发</w:t>
      </w: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8769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7.85pt;z-index:251660288;mso-width-relative:page;mso-height-relative:page;" filled="f"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23Z+0gAAAAQBAAAPAAAAAAAAAAEAIAAAACIAAABkcnMvZG93bnJldi54bWxQSwEC&#10;FAAUAAAACACHTuJAk1FKhPoBAADyAwAADgAAAAAAAAABACAAAAAhAQAAZHJzL2Uyb0RvYy54bWxQ&#10;SwUGAAAAAAYABgBZAQAAjQUAAAAA&#10;">
                <v:path arrowok="t"/>
                <v:fill on="f" focussize="0,0"/>
                <v:stroke/>
                <v:imagedata o:title=""/>
                <o:lock v:ext="edit"/>
              </v:line>
            </w:pict>
          </mc:Fallback>
        </mc:AlternateContent>
      </w:r>
    </w:p>
    <w:p w14:paraId="31B6D5B8">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71A2">
    <w:pPr>
      <w:pStyle w:val="7"/>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D9D2">
    <w:pPr>
      <w:pStyle w:val="7"/>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0D2D">
    <w:pPr>
      <w:pStyle w:val="7"/>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DADF">
    <w:pPr>
      <w:pStyle w:val="8"/>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E996">
    <w:pPr>
      <w:pStyle w:val="8"/>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633D">
    <w:pPr>
      <w:pStyle w:val="8"/>
      <w:pBdr>
        <w:bottom w:val="none" w:color="auto" w:sz="0" w:space="0"/>
      </w:pBdr>
      <w:tabs>
        <w:tab w:val="clear" w:pos="4153"/>
        <w:tab w:val="clear" w:pos="8306"/>
      </w:tabs>
      <w:ind w:firstLine="360"/>
    </w:pPr>
  </w:p>
  <w:p w14:paraId="0AE51867">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98FA"/>
    <w:multiLevelType w:val="singleLevel"/>
    <w:tmpl w:val="A36898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25BD2"/>
    <w:rsid w:val="54812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rPr>
      <w:rFonts w:ascii="Calibri" w:hAnsi="Calibri" w:eastAsia="宋体" w:cs="Times New Roman"/>
      <w:kern w:val="0"/>
    </w:r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rPr>
  </w:style>
  <w:style w:type="paragraph" w:styleId="5">
    <w:name w:val="Body Text Indent"/>
    <w:basedOn w:val="1"/>
    <w:next w:val="1"/>
    <w:qFormat/>
    <w:uiPriority w:val="0"/>
    <w:pPr>
      <w:spacing w:after="120"/>
      <w:ind w:left="420" w:leftChars="200"/>
    </w:pPr>
    <w:rPr>
      <w:rFonts w:ascii="Times New Roman" w:hAnsi="Times New Roman" w:eastAsia="宋体" w:cs="Times New Roman"/>
    </w:rPr>
  </w:style>
  <w:style w:type="paragraph" w:styleId="6">
    <w:name w:val="Date"/>
    <w:basedOn w:val="1"/>
    <w:next w:val="1"/>
    <w:qFormat/>
    <w:uiPriority w:val="0"/>
    <w:pPr>
      <w:ind w:left="2500" w:leftChars="2500"/>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9">
    <w:name w:val="Body Text First Indent"/>
    <w:basedOn w:val="3"/>
    <w:next w:val="1"/>
    <w:qFormat/>
    <w:uiPriority w:val="0"/>
    <w:pPr>
      <w:ind w:firstLine="420" w:firstLineChars="100"/>
    </w:pPr>
    <w:rPr>
      <w:rFonts w:ascii="Times New Roman" w:hAnsi="Times New Roman" w:eastAsia="宋体" w:cs="Times New Roman"/>
    </w:rPr>
  </w:style>
  <w:style w:type="paragraph" w:styleId="10">
    <w:name w:val="Body Text First Indent 2"/>
    <w:basedOn w:val="5"/>
    <w:next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1663</Words>
  <Characters>1755</Characters>
  <Lines>0</Lines>
  <Paragraphs>0</Paragraphs>
  <TotalTime>0</TotalTime>
  <ScaleCrop>false</ScaleCrop>
  <LinksUpToDate>false</LinksUpToDate>
  <CharactersWithSpaces>1813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2025-10-24T12:01:00Z</dcterms:created>
  <dc:creator>ll</dc:creator>
  <cp:lastModifiedBy>s aihnღღღ</cp:lastModifiedBy>
  <dcterms:modified xsi:type="dcterms:W3CDTF">2025-10-29T07:35:53Z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eyJoZGlkIjoiN2RiOTFjNWQ5NGU3MzdlMDM4MmM3ZmFmNGM5NzY2ZTgiLCJ1c2VySWQiOiIxMjM1NTcxOTcxIn0=</vt:lpwstr>
  </property>
  <property fmtid="{D5CDD505-2E9C-101B-9397-08002B2CF9AE}" pid="4" name="ICV">
    <vt:lpwstr>E8A3C92A36254F129FBC4076739013FB_12</vt:lpwstr>
  </property>
</Properties>
</file>