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280"/>
        </w:tabs>
        <w:kinsoku/>
        <w:wordWrap/>
        <w:overflowPunct/>
        <w:topLinePunct w:val="0"/>
        <w:autoSpaceDE/>
        <w:autoSpaceDN/>
        <w:bidi w:val="0"/>
        <w:adjustRightInd/>
        <w:snapToGrid/>
        <w:spacing w:line="580" w:lineRule="exact"/>
        <w:ind w:left="0" w:leftChars="0" w:right="26" w:firstLine="0" w:firstLineChars="0"/>
        <w:jc w:val="right"/>
        <w:textAlignment w:val="auto"/>
        <w:outlineLvl w:val="9"/>
        <w:rPr>
          <w:rFonts w:hint="eastAsia" w:eastAsia="仿宋"/>
          <w:color w:val="auto"/>
          <w:highlight w:val="none"/>
        </w:rPr>
      </w:pP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left="0" w:leftChars="0" w:right="26" w:firstLine="0" w:firstLineChars="0"/>
        <w:jc w:val="right"/>
        <w:textAlignment w:val="auto"/>
        <w:outlineLvl w:val="9"/>
        <w:rPr>
          <w:rFonts w:eastAsia="仿宋"/>
          <w:color w:val="auto"/>
          <w:highlight w:val="none"/>
        </w:rPr>
      </w:pP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580" w:lineRule="exact"/>
        <w:textAlignment w:val="auto"/>
        <w:rPr>
          <w:color w:val="auto"/>
        </w:rPr>
      </w:pPr>
    </w:p>
    <w:p>
      <w:pPr>
        <w:keepNext w:val="0"/>
        <w:keepLines w:val="0"/>
        <w:pageBreakBefore w:val="0"/>
        <w:widowControl w:val="0"/>
        <w:tabs>
          <w:tab w:val="left" w:pos="8280"/>
        </w:tabs>
        <w:kinsoku/>
        <w:wordWrap/>
        <w:overflowPunct/>
        <w:topLinePunct w:val="0"/>
        <w:autoSpaceDE/>
        <w:autoSpaceDN/>
        <w:bidi w:val="0"/>
        <w:spacing w:line="600" w:lineRule="exact"/>
        <w:ind w:left="0" w:leftChars="0" w:right="26" w:firstLine="0" w:firstLineChars="0"/>
        <w:jc w:val="center"/>
        <w:textAlignment w:val="auto"/>
        <w:outlineLvl w:val="0"/>
        <w:rPr>
          <w:color w:val="auto"/>
          <w:highlight w:val="none"/>
        </w:rPr>
      </w:pPr>
      <w:r>
        <w:rPr>
          <w:color w:val="auto"/>
          <w:highlight w:val="none"/>
        </w:rPr>
        <w:t>鄂环</w:t>
      </w:r>
      <w:r>
        <w:rPr>
          <w:rFonts w:hint="eastAsia"/>
          <w:color w:val="auto"/>
          <w:highlight w:val="none"/>
          <w:lang w:val="en-US" w:eastAsia="zh-CN"/>
        </w:rPr>
        <w:t>审</w:t>
      </w:r>
      <w:r>
        <w:rPr>
          <w:color w:val="auto"/>
          <w:highlight w:val="none"/>
        </w:rPr>
        <w:t>字〔20</w:t>
      </w:r>
      <w:r>
        <w:rPr>
          <w:rFonts w:hint="eastAsia"/>
          <w:color w:val="auto"/>
          <w:highlight w:val="none"/>
          <w:lang w:val="en-US" w:eastAsia="zh-CN"/>
        </w:rPr>
        <w:t>25</w:t>
      </w:r>
      <w:r>
        <w:rPr>
          <w:color w:val="auto"/>
          <w:highlight w:val="none"/>
        </w:rPr>
        <w:t>〕</w:t>
      </w:r>
      <w:r>
        <w:rPr>
          <w:rFonts w:hint="eastAsia"/>
          <w:color w:val="auto"/>
          <w:highlight w:val="none"/>
          <w:lang w:val="en-US" w:eastAsia="zh-CN"/>
        </w:rPr>
        <w:t>151</w:t>
      </w:r>
      <w:r>
        <w:rPr>
          <w:color w:val="auto"/>
          <w:highlight w:val="none"/>
        </w:rPr>
        <w:t>号</w:t>
      </w:r>
    </w:p>
    <w:p>
      <w:pPr>
        <w:keepNext w:val="0"/>
        <w:keepLines w:val="0"/>
        <w:pageBreakBefore w:val="0"/>
        <w:widowControl w:val="0"/>
        <w:tabs>
          <w:tab w:val="left" w:pos="6780"/>
        </w:tabs>
        <w:kinsoku/>
        <w:wordWrap/>
        <w:overflowPunct/>
        <w:topLinePunct w:val="0"/>
        <w:autoSpaceDE/>
        <w:autoSpaceDN/>
        <w:bidi w:val="0"/>
        <w:spacing w:line="600" w:lineRule="exact"/>
        <w:ind w:left="0" w:leftChars="0" w:firstLine="0" w:firstLineChars="0"/>
        <w:jc w:val="center"/>
        <w:textAlignment w:val="auto"/>
        <w:outlineLvl w:val="9"/>
        <w:rPr>
          <w:rFonts w:eastAsia="仿宋"/>
          <w:b/>
          <w:color w:val="auto"/>
          <w:sz w:val="36"/>
          <w:szCs w:val="36"/>
          <w:highlight w:val="none"/>
        </w:rPr>
      </w:pPr>
    </w:p>
    <w:p>
      <w:pPr>
        <w:keepNext w:val="0"/>
        <w:keepLines w:val="0"/>
        <w:pageBreakBefore w:val="0"/>
        <w:widowControl w:val="0"/>
        <w:kinsoku/>
        <w:wordWrap/>
        <w:overflowPunct/>
        <w:topLinePunct w:val="0"/>
        <w:autoSpaceDE/>
        <w:autoSpaceDN/>
        <w:bidi w:val="0"/>
        <w:spacing w:line="560" w:lineRule="exact"/>
        <w:ind w:firstLine="0" w:firstLineChars="0"/>
        <w:jc w:val="center"/>
        <w:outlineLvl w:val="1"/>
        <w:rPr>
          <w:rFonts w:hint="eastAsia" w:ascii="方正小标宋简体" w:hAnsi="方正小标宋简体" w:eastAsia="方正小标宋简体" w:cs="方正小标宋简体"/>
          <w:b w:val="0"/>
          <w:bCs/>
          <w:w w:val="95"/>
          <w:sz w:val="44"/>
          <w:szCs w:val="44"/>
        </w:rPr>
      </w:pPr>
      <w:r>
        <w:rPr>
          <w:rFonts w:hint="eastAsia" w:ascii="方正小标宋简体" w:hAnsi="方正小标宋简体" w:eastAsia="方正小标宋简体" w:cs="方正小标宋简体"/>
          <w:b w:val="0"/>
          <w:bCs/>
          <w:w w:val="95"/>
          <w:sz w:val="44"/>
          <w:szCs w:val="44"/>
        </w:rPr>
        <w:t>鄂尔多斯市生态环境局</w:t>
      </w:r>
    </w:p>
    <w:p>
      <w:pPr>
        <w:keepNext w:val="0"/>
        <w:keepLines w:val="0"/>
        <w:pageBreakBefore w:val="0"/>
        <w:widowControl w:val="0"/>
        <w:kinsoku/>
        <w:wordWrap/>
        <w:overflowPunct/>
        <w:topLinePunct w:val="0"/>
        <w:autoSpaceDE/>
        <w:autoSpaceDN/>
        <w:bidi w:val="0"/>
        <w:spacing w:line="560" w:lineRule="exact"/>
        <w:ind w:firstLine="0" w:firstLineChars="0"/>
        <w:jc w:val="center"/>
        <w:outlineLvl w:val="1"/>
        <w:rPr>
          <w:rFonts w:hint="eastAsia" w:ascii="方正小标宋简体" w:hAnsi="方正小标宋简体" w:eastAsia="方正小标宋简体" w:cs="方正小标宋简体"/>
          <w:b w:val="0"/>
          <w:bCs/>
          <w:w w:val="95"/>
          <w:sz w:val="44"/>
          <w:szCs w:val="44"/>
        </w:rPr>
      </w:pPr>
      <w:r>
        <w:rPr>
          <w:rFonts w:hint="eastAsia" w:ascii="方正小标宋简体" w:hAnsi="方正小标宋简体" w:eastAsia="方正小标宋简体" w:cs="方正小标宋简体"/>
          <w:b w:val="0"/>
          <w:bCs/>
          <w:w w:val="95"/>
          <w:sz w:val="44"/>
          <w:szCs w:val="44"/>
        </w:rPr>
        <w:t>关于神华准格尔能源有限责任公司准能选煤厂产品系统节能改造工程项目环境影响</w:t>
      </w:r>
    </w:p>
    <w:p>
      <w:pPr>
        <w:keepNext w:val="0"/>
        <w:keepLines w:val="0"/>
        <w:pageBreakBefore w:val="0"/>
        <w:widowControl w:val="0"/>
        <w:kinsoku/>
        <w:wordWrap/>
        <w:overflowPunct/>
        <w:topLinePunct w:val="0"/>
        <w:autoSpaceDE/>
        <w:autoSpaceDN/>
        <w:bidi w:val="0"/>
        <w:spacing w:line="560" w:lineRule="exact"/>
        <w:ind w:firstLine="0" w:firstLineChars="0"/>
        <w:jc w:val="center"/>
        <w:outlineLvl w:val="1"/>
        <w:rPr>
          <w:rFonts w:hint="eastAsia" w:ascii="方正小标宋简体" w:hAnsi="方正小标宋简体" w:eastAsia="方正小标宋简体" w:cs="方正小标宋简体"/>
          <w:b w:val="0"/>
          <w:bCs/>
          <w:w w:val="95"/>
          <w:sz w:val="44"/>
          <w:szCs w:val="44"/>
        </w:rPr>
      </w:pPr>
      <w:r>
        <w:rPr>
          <w:rFonts w:hint="eastAsia" w:ascii="方正小标宋简体" w:hAnsi="方正小标宋简体" w:eastAsia="方正小标宋简体" w:cs="方正小标宋简体"/>
          <w:b w:val="0"/>
          <w:bCs/>
          <w:w w:val="95"/>
          <w:sz w:val="44"/>
          <w:szCs w:val="44"/>
        </w:rPr>
        <w:t>报告表的批复</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color w:val="auto"/>
          <w:szCs w:val="32"/>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仿宋" w:hAnsi="仿宋" w:eastAsia="仿宋" w:cs="仿宋"/>
          <w:color w:val="auto"/>
          <w:kern w:val="0"/>
          <w:sz w:val="32"/>
          <w:szCs w:val="32"/>
          <w:highlight w:val="yellow"/>
        </w:rPr>
      </w:pPr>
      <w:r>
        <w:rPr>
          <w:rFonts w:hint="eastAsia" w:ascii="仿宋" w:hAnsi="仿宋" w:eastAsia="仿宋" w:cs="仿宋"/>
          <w:color w:val="auto"/>
          <w:szCs w:val="32"/>
          <w:highlight w:val="none"/>
          <w:lang w:eastAsia="zh-CN"/>
        </w:rPr>
        <w:t>神华准格尔能源有限责任公司</w:t>
      </w:r>
      <w:r>
        <w:rPr>
          <w:rFonts w:hint="eastAsia" w:ascii="仿宋" w:hAnsi="仿宋" w:eastAsia="仿宋" w:cs="仿宋"/>
          <w:color w:val="auto"/>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Cs w:val="32"/>
          <w:highlight w:val="none"/>
        </w:rPr>
      </w:pPr>
      <w:r>
        <w:rPr>
          <w:rFonts w:hint="eastAsia" w:ascii="仿宋" w:hAnsi="仿宋" w:eastAsia="仿宋" w:cs="仿宋"/>
          <w:color w:val="auto"/>
          <w:szCs w:val="32"/>
          <w:highlight w:val="none"/>
        </w:rPr>
        <w:t>你公司报送的由</w:t>
      </w:r>
      <w:r>
        <w:rPr>
          <w:rFonts w:hint="eastAsia" w:ascii="仿宋" w:hAnsi="仿宋" w:eastAsia="仿宋" w:cs="仿宋"/>
          <w:color w:val="auto"/>
          <w:szCs w:val="32"/>
          <w:highlight w:val="none"/>
          <w:lang w:eastAsia="zh-CN"/>
        </w:rPr>
        <w:t>内蒙古中昱环保咨询服务有限公司</w:t>
      </w:r>
      <w:r>
        <w:rPr>
          <w:rFonts w:hint="eastAsia" w:ascii="仿宋" w:hAnsi="仿宋" w:eastAsia="仿宋" w:cs="仿宋"/>
          <w:color w:val="auto"/>
          <w:szCs w:val="32"/>
          <w:highlight w:val="none"/>
        </w:rPr>
        <w:t>编制</w:t>
      </w:r>
      <w:r>
        <w:rPr>
          <w:rFonts w:hint="eastAsia" w:ascii="仿宋" w:hAnsi="仿宋" w:eastAsia="仿宋" w:cs="仿宋"/>
          <w:color w:val="auto"/>
          <w:szCs w:val="32"/>
          <w:highlight w:val="none"/>
          <w:lang w:eastAsia="zh-CN"/>
        </w:rPr>
        <w:t>的《</w:t>
      </w:r>
      <w:r>
        <w:rPr>
          <w:rFonts w:hint="eastAsia" w:ascii="仿宋" w:hAnsi="仿宋" w:eastAsia="仿宋" w:cs="仿宋"/>
          <w:color w:val="auto"/>
          <w:highlight w:val="none"/>
          <w:lang w:val="en-US" w:eastAsia="zh-CN"/>
        </w:rPr>
        <w:t>神华准格尔能源有限责任公司准能选煤厂产品系统节能改造工程项目</w:t>
      </w:r>
      <w:r>
        <w:rPr>
          <w:rFonts w:hint="eastAsia" w:ascii="仿宋" w:hAnsi="仿宋" w:eastAsia="仿宋" w:cs="仿宋"/>
          <w:color w:val="auto"/>
          <w:szCs w:val="32"/>
          <w:highlight w:val="none"/>
          <w:lang w:eastAsia="zh-CN"/>
        </w:rPr>
        <w:t>环境影响报告表</w:t>
      </w:r>
      <w:r>
        <w:rPr>
          <w:rFonts w:hint="eastAsia" w:ascii="仿宋" w:hAnsi="仿宋" w:eastAsia="仿宋" w:cs="仿宋"/>
          <w:color w:val="auto"/>
          <w:szCs w:val="32"/>
          <w:highlight w:val="none"/>
        </w:rPr>
        <w:t>》（以下简称《报告表》）收悉。</w:t>
      </w:r>
      <w:r>
        <w:rPr>
          <w:rFonts w:hint="eastAsia" w:ascii="仿宋" w:hAnsi="仿宋" w:eastAsia="仿宋" w:cs="仿宋"/>
          <w:color w:val="auto"/>
          <w:szCs w:val="32"/>
        </w:rPr>
        <w:t>经研究，现批复如下：</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一、神华准格尔能源有限责任公司准能选煤厂产品系统节能改造工程项目（以下称“本项目”）位于鄂尔多斯市准格尔旗薛家湾镇张家圪旦村张家圪旦社准能选煤厂储煤场内。本项目处理来自神华准格尔能源有限责任公司黑岱沟露天煤矿的煤矸石530万吨/年，年产高岭岩92万吨/年，建设内容主要包括新建1座高岭岩分选车间、1座高岭岩储存棚、新增矸石转载站及相关的带式输送机栈桥，配套建设公辅工程、环保工程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报告表》认为，在全面落实各项生态环境保护和环境污染防治措施的前提下，项目建设对环境的不利影响能够得到一定的缓解和控制。因此，我局原则同意你公司按照《报告表》中所列的建设项目性质、规模、地点、工艺、生态环境保护措施及下述要求进行建设。</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textAlignment w:val="baseline"/>
        <w:outlineLvl w:val="9"/>
        <w:rPr>
          <w:rFonts w:hint="eastAsia" w:ascii="仿宋" w:hAnsi="仿宋" w:eastAsia="仿宋" w:cs="仿宋"/>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项目建设与运行管理中应重点做好的工作：</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1.认真落实《报告表》中提出的大气污染防治措施。通过采用洒水抑尘措施，运输过程中苫布遮盖，干选粉尘经洗气机处理后无组织排放，全封闭等措施，运营期厂界无组织废气须满足《煤炭工业污染物排放标准》(GB20426-2006)中表5中限值要求。</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2.认真落实《报告表》中提出的水污染防治措施。洗气机废水、地面冲洗水及煤矸石淋洗水通过集水坑收集后依托现有生产一系统浓缩池煤泥水处理系统，不外排。生活污水经厂区现有管网排入薛家湾城镇污水处理厂。</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3.认真落实《报告表》中提出的噪声污染防治措施。选用低噪声设备，采用消音、隔音、减振等妥善措施，确保厂界噪声满足《工业企业厂界环境噪声排放标准》（GB 12348-2008）2类标准要求。</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4.妥善处置各类固体废弃物，按照“减量化、资源化、无害化”原则，按照《一般工业固体废物贮存和填埋污染控制标准》（GB 18599-2020）、《危险废物贮存污染控制标准》（GB 18597-2023）要求做好一般固体废物和危险废物的处置工作，智能干选尾料、煤矸石经带式输送机送至黑岱沟露天煤矿内排土场进行填埋。废润滑油、废油桶等危险废物依托现有危废暂存间暂存，委托有资质的单位处置。</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5.切实落实地下水环境及土壤环境保护措施。严格按照《环境影响评价技术导则 地下水环境》（HJ 610-2016）、《环境影响评价技术导则 土壤环境（试行）》（HJ 964-2018）、《地下水污染源防渗技术指南（试行）》及《地下水环境监测技术规范》（HJ 164-2020）等要求，对厂区采取分区防渗措施。</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6.建设单位须严格落实《报告表》中工艺要求，不得擅自增加处置规模。强化环境风险防范，落实环保设施安全生产要求，项目污染防治设施须与主体工程一起按照安全生产要求设计，有效防范因污染物事故排放或安全生产事故可能引发的环境风险。</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三、建设单位须强化环境风险防范，落实环保设施安全生产要求，项目污染防治设施须与主体工程一起按照安全生产要求设计，严格落实各项环境风险处理措施、生态平衡保护机制，有效防范因污染物事故排放或安全生产事故可能引发的环境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Cs w:val="32"/>
          <w:highlight w:val="none"/>
          <w:lang w:eastAsia="zh-CN"/>
        </w:rPr>
        <w:t>四、</w:t>
      </w:r>
      <w:r>
        <w:rPr>
          <w:rFonts w:hint="eastAsia" w:ascii="仿宋" w:hAnsi="仿宋" w:eastAsia="仿宋" w:cs="仿宋"/>
          <w:color w:val="auto"/>
          <w:highlight w:val="none"/>
          <w:lang w:val="en-US" w:eastAsia="zh-CN"/>
        </w:rPr>
        <w:t>本项目必须严格落实《报告表》中的运营要求，征得文物等主管部门同意后方可开工建设，项目在实施过程中发现文物古迹应立即停止施工并报告有关部门进行妥善处理，项目建设必须严格执行环境保护“三同时”制度。项目竣工后，按照规定程序实施竣工环境保护验收，经验收合格后，方可正式投入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五</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你公司应在收到本批复20日内，将《报告表》（报批版）及批复文件送至鄂尔多斯市生态环境局</w:t>
      </w:r>
      <w:r>
        <w:rPr>
          <w:rFonts w:hint="eastAsia" w:ascii="仿宋" w:hAnsi="仿宋" w:eastAsia="仿宋" w:cs="仿宋"/>
          <w:color w:val="auto"/>
          <w:highlight w:val="none"/>
          <w:lang w:val="en-US" w:eastAsia="zh-CN"/>
        </w:rPr>
        <w:t>准格尔旗</w:t>
      </w:r>
      <w:r>
        <w:rPr>
          <w:rFonts w:hint="eastAsia" w:ascii="仿宋" w:hAnsi="仿宋" w:eastAsia="仿宋" w:cs="仿宋"/>
          <w:color w:val="auto"/>
          <w:highlight w:val="none"/>
          <w:lang w:eastAsia="zh-CN"/>
        </w:rPr>
        <w:t>分局，我局委托鄂尔多斯市生态环境局</w:t>
      </w:r>
      <w:r>
        <w:rPr>
          <w:rFonts w:hint="eastAsia" w:ascii="仿宋" w:hAnsi="仿宋" w:eastAsia="仿宋" w:cs="仿宋"/>
          <w:color w:val="auto"/>
          <w:highlight w:val="none"/>
          <w:lang w:val="en-US" w:eastAsia="zh-CN"/>
        </w:rPr>
        <w:t>准格尔旗</w:t>
      </w:r>
      <w:r>
        <w:rPr>
          <w:rFonts w:hint="eastAsia" w:ascii="仿宋" w:hAnsi="仿宋" w:eastAsia="仿宋" w:cs="仿宋"/>
          <w:color w:val="auto"/>
          <w:highlight w:val="none"/>
          <w:lang w:eastAsia="zh-CN"/>
        </w:rPr>
        <w:t>分局负责该项目的日常监管工作。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六、该项目从批准之日起超过5年方决定开工建设，其环评文件应重新审核。如果建设地点、规模、防治污染和防止生态破坏的措施等发生重大变化时，需重新报批环评文件。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auto"/>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jc w:val="both"/>
        <w:textAlignment w:val="auto"/>
        <w:outlineLvl w:val="9"/>
        <w:rPr>
          <w:rFonts w:hint="eastAsia" w:ascii="仿宋" w:hAnsi="仿宋" w:eastAsia="仿宋" w:cs="仿宋"/>
          <w:color w:val="auto"/>
          <w:szCs w:val="32"/>
          <w:highlight w:val="none"/>
        </w:rPr>
      </w:pPr>
      <w:r>
        <w:rPr>
          <w:rFonts w:hint="eastAsia" w:ascii="仿宋" w:hAnsi="仿宋" w:eastAsia="仿宋" w:cs="仿宋"/>
          <w:color w:val="auto"/>
          <w:szCs w:val="32"/>
          <w:highlight w:val="none"/>
        </w:rPr>
        <w:t>鄂尔多斯市生态环境局</w:t>
      </w:r>
    </w:p>
    <w:p>
      <w:pPr>
        <w:keepNext w:val="0"/>
        <w:keepLines w:val="0"/>
        <w:pageBreakBefore w:val="0"/>
        <w:widowControl w:val="0"/>
        <w:kinsoku/>
        <w:wordWrap/>
        <w:overflowPunct/>
        <w:topLinePunct w:val="0"/>
        <w:autoSpaceDE/>
        <w:autoSpaceDN/>
        <w:bidi w:val="0"/>
        <w:adjustRightInd w:val="0"/>
        <w:snapToGrid w:val="0"/>
        <w:spacing w:line="600" w:lineRule="exact"/>
        <w:ind w:right="320"/>
        <w:jc w:val="both"/>
        <w:textAlignment w:val="auto"/>
        <w:outlineLvl w:val="9"/>
        <w:rPr>
          <w:rFonts w:hint="eastAsia" w:ascii="仿宋" w:hAnsi="仿宋" w:eastAsia="仿宋" w:cs="仿宋"/>
          <w:color w:val="auto"/>
          <w:szCs w:val="32"/>
          <w:highlight w:val="none"/>
        </w:rPr>
      </w:pPr>
      <w:r>
        <w:rPr>
          <w:rFonts w:hint="eastAsia" w:ascii="仿宋" w:hAnsi="仿宋" w:eastAsia="仿宋" w:cs="仿宋"/>
          <w:color w:val="auto"/>
          <w:szCs w:val="32"/>
          <w:highlight w:val="none"/>
          <w:lang w:val="en-US" w:eastAsia="zh-CN"/>
        </w:rPr>
        <w:t xml:space="preserve">                            </w:t>
      </w:r>
      <w:r>
        <w:rPr>
          <w:rFonts w:hint="eastAsia" w:ascii="仿宋" w:hAnsi="仿宋" w:eastAsia="仿宋" w:cs="仿宋"/>
          <w:color w:val="auto"/>
          <w:szCs w:val="32"/>
          <w:highlight w:val="none"/>
        </w:rPr>
        <w:t>20</w:t>
      </w:r>
      <w:r>
        <w:rPr>
          <w:rFonts w:hint="eastAsia" w:ascii="仿宋" w:hAnsi="仿宋" w:eastAsia="仿宋" w:cs="仿宋"/>
          <w:color w:val="auto"/>
          <w:szCs w:val="32"/>
          <w:highlight w:val="none"/>
          <w:lang w:val="en-US" w:eastAsia="zh-CN"/>
        </w:rPr>
        <w:t>25</w:t>
      </w:r>
      <w:r>
        <w:rPr>
          <w:rFonts w:hint="eastAsia" w:ascii="仿宋" w:hAnsi="仿宋" w:eastAsia="仿宋" w:cs="仿宋"/>
          <w:color w:val="auto"/>
          <w:szCs w:val="32"/>
          <w:highlight w:val="none"/>
        </w:rPr>
        <w:t>年</w:t>
      </w:r>
      <w:r>
        <w:rPr>
          <w:rFonts w:hint="eastAsia" w:ascii="仿宋" w:hAnsi="仿宋" w:eastAsia="仿宋" w:cs="仿宋"/>
          <w:color w:val="auto"/>
          <w:szCs w:val="32"/>
          <w:highlight w:val="none"/>
          <w:lang w:val="en-US" w:eastAsia="zh-CN"/>
        </w:rPr>
        <w:t>10月13</w:t>
      </w:r>
      <w:r>
        <w:rPr>
          <w:rFonts w:hint="eastAsia" w:ascii="仿宋" w:hAnsi="仿宋" w:eastAsia="仿宋" w:cs="仿宋"/>
          <w:color w:val="auto"/>
          <w:szCs w:val="32"/>
          <w:highlight w:val="none"/>
        </w:rPr>
        <w:t>日</w:t>
      </w:r>
    </w:p>
    <w:p>
      <w:pPr>
        <w:tabs>
          <w:tab w:val="left" w:pos="5196"/>
        </w:tabs>
        <w:ind w:left="0" w:leftChars="0" w:firstLine="0" w:firstLineChars="0"/>
        <w:rPr>
          <w:rFonts w:hint="eastAsia" w:eastAsia="仿宋_GB2312"/>
          <w:lang w:eastAsia="zh-CN"/>
        </w:rPr>
      </w:pPr>
    </w:p>
    <w:p>
      <w:pPr>
        <w:pStyle w:val="2"/>
        <w:rPr>
          <w:rFonts w:hint="eastAsia"/>
          <w:lang w:eastAsia="zh-CN"/>
        </w:rPr>
      </w:pPr>
    </w:p>
    <w:p>
      <w:pPr>
        <w:ind w:left="0" w:leftChars="0" w:firstLine="0" w:firstLineChars="0"/>
        <w:rPr>
          <w:rFonts w:hint="eastAsia"/>
        </w:rPr>
      </w:pPr>
      <w:r>
        <w:rPr>
          <w:rFonts w:hint="eastAsia"/>
        </w:rPr>
        <w:br w:type="textWrapping"/>
      </w:r>
    </w:p>
    <w:p>
      <w:pPr>
        <w:ind w:left="0" w:leftChars="0" w:firstLine="0" w:firstLineChars="0"/>
        <w:rPr>
          <w:rFonts w:hint="eastAsia"/>
        </w:rPr>
      </w:pPr>
    </w:p>
    <w:p>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eastAsia="仿宋_GB2312"/>
          <w:color w:val="auto"/>
          <w:sz w:val="28"/>
          <w:szCs w:val="28"/>
          <w:highlight w:val="none"/>
          <w:lang w:eastAsia="zh-CN"/>
        </w:rPr>
      </w:pPr>
      <w:r>
        <w:rPr>
          <w:color w:val="auto"/>
          <w:sz w:val="28"/>
          <w:szCs w:val="28"/>
          <w:highlight w:val="non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5080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4pt;height:0pt;width:447.85pt;z-index:251658240;mso-width-relative:page;mso-height-relative:page;" filled="f" coordsize="21600,21600" o:gfxdata="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p6XMs0QAAAAIBAAAPAAAAAAAA&#10;AAEAIAAAACIAAABkcnMvZG93bnJldi54bWxQSwECFAAUAAAACACHTuJAEFH+uOABAACkAwAADgAA&#10;AAAAAAABACAAAAAgAQAAZHJzL2Uyb0RvYy54bWxQSwUGAAAAAAYABgBZAQAAcgUAAAAA&#10;">
                <v:path arrowok="t"/>
                <v:fill on="f" focussize="0,0"/>
                <v:stroke/>
                <v:imagedata o:title=""/>
                <o:lock v:ext="edit"/>
              </v:line>
            </w:pict>
          </mc:Fallback>
        </mc:AlternateContent>
      </w:r>
      <w:r>
        <w:rPr>
          <w:color w:val="auto"/>
          <w:sz w:val="28"/>
          <w:szCs w:val="28"/>
          <w:highlight w:val="none"/>
        </w:rPr>
        <w:t>抄送：</w:t>
      </w:r>
      <w:r>
        <w:rPr>
          <w:rFonts w:hint="eastAsia"/>
          <w:color w:val="auto"/>
          <w:sz w:val="28"/>
          <w:szCs w:val="28"/>
          <w:highlight w:val="none"/>
        </w:rPr>
        <w:t>鄂尔多斯市生态环境局</w:t>
      </w:r>
      <w:r>
        <w:rPr>
          <w:rFonts w:hint="eastAsia"/>
          <w:color w:val="auto"/>
          <w:sz w:val="28"/>
          <w:szCs w:val="28"/>
          <w:highlight w:val="none"/>
          <w:lang w:val="en-US" w:eastAsia="zh-CN"/>
        </w:rPr>
        <w:t>准格尔旗分局</w:t>
      </w:r>
      <w:r>
        <w:rPr>
          <w:rFonts w:hint="eastAsia"/>
          <w:color w:val="auto"/>
          <w:sz w:val="28"/>
          <w:szCs w:val="28"/>
          <w:highlight w:val="none"/>
          <w:lang w:eastAsia="zh-CN"/>
        </w:rPr>
        <w:t>，</w:t>
      </w:r>
      <w:r>
        <w:rPr>
          <w:rFonts w:hint="eastAsia"/>
          <w:color w:val="auto"/>
          <w:sz w:val="28"/>
          <w:szCs w:val="28"/>
          <w:highlight w:val="none"/>
        </w:rPr>
        <w:t>市生态环境综合行政执</w:t>
      </w:r>
      <w:r>
        <w:rPr>
          <w:rFonts w:hint="eastAsia"/>
          <w:color w:val="auto"/>
          <w:sz w:val="28"/>
          <w:szCs w:val="28"/>
          <w:highlight w:val="none"/>
          <w:lang w:val="en-US" w:eastAsia="zh-CN"/>
        </w:rPr>
        <w:t>法</w:t>
      </w:r>
      <w:r>
        <w:rPr>
          <w:rFonts w:hint="eastAsia"/>
          <w:color w:val="auto"/>
          <w:sz w:val="28"/>
          <w:szCs w:val="28"/>
          <w:highlight w:val="none"/>
        </w:rPr>
        <w:t>支队</w:t>
      </w:r>
      <w:r>
        <w:rPr>
          <w:color w:val="auto"/>
          <w:sz w:val="28"/>
          <w:szCs w:val="28"/>
          <w:highlight w:val="none"/>
        </w:rPr>
        <w:t>，</w:t>
      </w:r>
      <w:r>
        <w:rPr>
          <w:rFonts w:hint="eastAsia"/>
          <w:color w:val="auto"/>
          <w:sz w:val="28"/>
          <w:szCs w:val="28"/>
          <w:highlight w:val="none"/>
        </w:rPr>
        <w:t>内蒙古中昱环保咨询服务有限公司</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textAlignment w:val="auto"/>
        <w:outlineLvl w:val="9"/>
      </w:pPr>
      <w:r>
        <w:rPr>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434340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34.2pt;height:0pt;width:447.85pt;z-index:251660288;mso-width-relative:page;mso-height-relative:page;" filled="f" coordsize="21600,21600" o:gfxdata="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4zxia1QAAAAcBAAAPAAAA&#10;AAAAAAEAIAAAACIAAABkcnMvZG93bnJldi54bWxQSwECFAAUAAAACACHTuJADz6pJt8BAACkAwAA&#10;DgAAAAAAAAABACAAAAAkAQAAZHJzL2Uyb0RvYy54bWxQSwUGAAAAAAYABgBZAQAAdQUAAAAA&#10;">
                <v:path arrowok="t"/>
                <v:fill on="f" focussize="0,0"/>
                <v:stroke/>
                <v:imagedata o:title=""/>
                <o:lock v:ext="edit"/>
              </v:line>
            </w:pict>
          </mc:Fallback>
        </mc:AlternateContent>
      </w:r>
      <w:r>
        <w:rPr>
          <w:color w:val="auto"/>
          <w:sz w:val="28"/>
          <w:szCs w:val="28"/>
          <w:highlight w:val="none"/>
        </w:rPr>
        <w:t>鄂尔多斯市</w:t>
      </w:r>
      <w:r>
        <w:rPr>
          <w:rFonts w:hint="eastAsia"/>
          <w:color w:val="auto"/>
          <w:sz w:val="28"/>
          <w:szCs w:val="28"/>
          <w:highlight w:val="none"/>
        </w:rPr>
        <w:t>生态环境</w:t>
      </w:r>
      <w:r>
        <w:rPr>
          <w:color w:val="auto"/>
          <w:sz w:val="28"/>
          <w:szCs w:val="28"/>
          <w:highlight w:val="none"/>
        </w:rPr>
        <w:t xml:space="preserve">局                </w:t>
      </w:r>
      <w:r>
        <w:rPr>
          <w:rFonts w:hint="eastAsia"/>
          <w:color w:val="auto"/>
          <w:sz w:val="28"/>
          <w:szCs w:val="28"/>
          <w:highlight w:val="none"/>
          <w:lang w:val="en-US" w:eastAsia="zh-CN"/>
        </w:rPr>
        <w:t xml:space="preserve">      2025年10月13日</w:t>
      </w:r>
      <w:r>
        <w:rPr>
          <w:color w:val="auto"/>
          <w:sz w:val="28"/>
          <w:szCs w:val="28"/>
          <w:highlight w:val="none"/>
        </w:rPr>
        <w:t>印发</w:t>
      </w:r>
      <w:r>
        <w:rPr>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568769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6pt;height:0pt;width:447.85pt;z-index:251659264;mso-width-relative:page;mso-height-relative:page;" filled="f" coordsize="21600,21600" o:gfxdata="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v23Z+0gAAAAQBAAAPAAAAAAAA&#10;AAEAIAAAACIAAABkcnMvZG93bnJldi54bWxQSwECFAAUAAAACACHTuJAv2VtGt8BAACkAwAADgAA&#10;AAAAAAABACAAAAAhAQAAZHJzL2Uyb0RvYy54bWxQSwUGAAAAAAYABgBZAQAAcgUAAAAA&#10;">
                <v:path arrowok="t"/>
                <v:fill on="f" focussize="0,0"/>
                <v:stroke/>
                <v:imagedata o:title=""/>
                <o:lock v:ext="edit"/>
              </v:line>
            </w:pict>
          </mc:Fallback>
        </mc:AlternateConten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1588" w:left="1588" w:header="851" w:footer="992"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firstLine="560"/>
      <w:jc w:val="right"/>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4 -</w:t>
    </w:r>
    <w:r>
      <w:rPr>
        <w:rFonts w:hint="eastAsia"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firstLine="560"/>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4 -</w:t>
    </w:r>
    <w:r>
      <w:rPr>
        <w:rFonts w:hint="eastAsia" w:asci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ind w:firstLine="360"/>
    </w:pPr>
  </w:p>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77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Date"/>
    <w:basedOn w:val="1"/>
    <w:next w:val="1"/>
    <w:qFormat/>
    <w:uiPriority w:val="0"/>
    <w:pPr>
      <w:ind w:left="2500" w:leftChars="2500"/>
    </w:pPr>
  </w:style>
  <w:style w:type="paragraph" w:styleId="4">
    <w:name w:val="Normal Indent"/>
    <w:basedOn w:val="1"/>
    <w:qFormat/>
    <w:uiPriority w:val="0"/>
    <w:rPr>
      <w:rFonts w:ascii="Calibri" w:hAnsi="Calibri" w:eastAsia="宋体" w:cs="Times New Roman"/>
      <w:kern w:val="0"/>
    </w:rPr>
  </w:style>
  <w:style w:type="paragraph" w:styleId="5">
    <w:name w:val="Body Text Indent"/>
    <w:basedOn w:val="1"/>
    <w:next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8">
    <w:name w:val="Body Text First Indent"/>
    <w:basedOn w:val="2"/>
    <w:next w:val="1"/>
    <w:qFormat/>
    <w:uiPriority w:val="0"/>
    <w:pPr>
      <w:ind w:firstLine="420" w:firstLineChars="100"/>
    </w:pPr>
    <w:rPr>
      <w:rFonts w:ascii="Times New Roman" w:hAnsi="Times New Roman" w:eastAsia="宋体" w:cs="Times New Roman"/>
    </w:rPr>
  </w:style>
  <w:style w:type="paragraph" w:styleId="9">
    <w:name w:val="Body Text First Indent 2"/>
    <w:basedOn w:val="5"/>
    <w:next w:val="1"/>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2025-10-24T12:00:30Z</dcterms:created>
  <dc:creator>ll</dc:creator>
  <cp:lastModifiedBy>周芷妍</cp:lastModifiedBy>
  <dcterms:modified xsi:type="dcterms:W3CDTF">2025-10-24T12:01:01Z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