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26" w:firstLine="0" w:firstLineChars="0"/>
        <w:jc w:val="right"/>
        <w:rPr>
          <w:rFonts w:hint="eastAsia" w:eastAsia="仿宋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26" w:firstLine="0" w:firstLineChars="0"/>
        <w:jc w:val="right"/>
        <w:rPr>
          <w:rFonts w:eastAsia="仿宋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eastAsia="仿宋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eastAsia="仿宋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eastAsia="仿宋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eastAsia="仿宋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eastAsia="仿宋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rPr>
          <w:rFonts w:eastAsia="仿宋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eastAsia="仿宋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</w:tabs>
        <w:kinsoku/>
        <w:wordWrap/>
        <w:overflowPunct/>
        <w:topLinePunct w:val="0"/>
        <w:autoSpaceDE/>
        <w:autoSpaceDN/>
        <w:bidi w:val="0"/>
        <w:spacing w:line="600" w:lineRule="exact"/>
        <w:ind w:right="26" w:firstLine="0" w:firstLineChars="0"/>
        <w:jc w:val="center"/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highlight w:val="none"/>
        </w:rPr>
        <w:t>鄂环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审</w:t>
      </w:r>
      <w:r>
        <w:rPr>
          <w:rFonts w:hint="eastAsia" w:ascii="仿宋" w:hAnsi="仿宋" w:eastAsia="仿宋" w:cs="仿宋"/>
          <w:color w:val="auto"/>
          <w:highlight w:val="none"/>
        </w:rPr>
        <w:t>字〔20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highlight w:val="none"/>
        </w:rPr>
        <w:t>〕</w:t>
      </w:r>
      <w:r>
        <w:rPr>
          <w:rFonts w:hint="eastAsia" w:ascii="仿宋" w:hAnsi="仿宋" w:eastAsia="仿宋" w:cs="仿宋"/>
          <w:color w:val="auto"/>
          <w:highlight w:val="none"/>
          <w:lang w:val="en-US" w:eastAsia="zh-CN"/>
        </w:rPr>
        <w:t>62</w:t>
      </w:r>
      <w:r>
        <w:rPr>
          <w:rFonts w:hint="eastAsia" w:ascii="仿宋" w:hAnsi="仿宋" w:eastAsia="仿宋" w:cs="仿宋"/>
          <w:color w:val="auto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678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rPr>
          <w:rFonts w:eastAsia="仿宋"/>
          <w:b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rPr>
          <w:rFonts w:eastAsia="宋体"/>
          <w:b/>
          <w:color w:val="auto"/>
          <w:w w:val="95"/>
          <w:sz w:val="44"/>
          <w:szCs w:val="44"/>
          <w:highlight w:val="none"/>
        </w:rPr>
      </w:pPr>
      <w:r>
        <w:rPr>
          <w:rFonts w:eastAsia="宋体"/>
          <w:b/>
          <w:color w:val="auto"/>
          <w:w w:val="95"/>
          <w:sz w:val="44"/>
          <w:szCs w:val="44"/>
          <w:highlight w:val="none"/>
        </w:rPr>
        <w:t>鄂尔多斯市</w:t>
      </w:r>
      <w:r>
        <w:rPr>
          <w:rFonts w:hint="eastAsia" w:eastAsia="宋体"/>
          <w:b/>
          <w:color w:val="auto"/>
          <w:w w:val="95"/>
          <w:sz w:val="44"/>
          <w:szCs w:val="44"/>
          <w:highlight w:val="none"/>
        </w:rPr>
        <w:t>生态环境</w:t>
      </w:r>
      <w:r>
        <w:rPr>
          <w:rFonts w:eastAsia="宋体"/>
          <w:b/>
          <w:color w:val="auto"/>
          <w:w w:val="95"/>
          <w:sz w:val="44"/>
          <w:szCs w:val="44"/>
          <w:highlight w:val="none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rPr>
          <w:rFonts w:eastAsia="宋体"/>
          <w:b/>
          <w:color w:val="auto"/>
          <w:w w:val="95"/>
          <w:sz w:val="44"/>
          <w:szCs w:val="44"/>
          <w:highlight w:val="none"/>
        </w:rPr>
      </w:pPr>
      <w:r>
        <w:rPr>
          <w:rFonts w:eastAsia="宋体"/>
          <w:b/>
          <w:color w:val="auto"/>
          <w:w w:val="95"/>
          <w:sz w:val="44"/>
          <w:szCs w:val="44"/>
          <w:highlight w:val="none"/>
        </w:rPr>
        <w:t>关于</w:t>
      </w:r>
      <w:r>
        <w:rPr>
          <w:rFonts w:hint="default" w:eastAsia="宋体"/>
          <w:b/>
          <w:color w:val="auto"/>
          <w:w w:val="95"/>
          <w:sz w:val="44"/>
          <w:szCs w:val="44"/>
          <w:highlight w:val="none"/>
        </w:rPr>
        <w:t>国能蒙西煤化工股份有限公司棋盘井煤矿（东区）充填项目</w:t>
      </w:r>
      <w:r>
        <w:rPr>
          <w:rFonts w:eastAsia="宋体"/>
          <w:b/>
          <w:color w:val="auto"/>
          <w:w w:val="95"/>
          <w:sz w:val="44"/>
          <w:szCs w:val="44"/>
          <w:highlight w:val="none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723"/>
        <w:jc w:val="center"/>
        <w:rPr>
          <w:rFonts w:eastAsia="仿宋"/>
          <w:b/>
          <w:color w:val="auto"/>
          <w:sz w:val="36"/>
          <w:szCs w:val="36"/>
          <w:highlight w:val="yello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default" w:ascii="仿宋" w:hAnsi="仿宋" w:eastAsia="仿宋" w:cs="仿宋"/>
          <w:bCs/>
          <w:color w:val="auto"/>
          <w:sz w:val="32"/>
          <w:szCs w:val="32"/>
          <w:highlight w:val="none"/>
        </w:rPr>
        <w:t>国能蒙西煤化工股份有限公司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" w:hAnsi="仿宋" w:eastAsia="仿宋" w:cs="仿宋"/>
          <w:color w:val="auto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你公司报送的由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东科建设有限公司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编制的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国能蒙西煤化工股份有限公司棋盘井煤矿（东区）充填项目环境影响报告表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（以下简称《报告表》）收悉。</w:t>
      </w:r>
      <w:r>
        <w:rPr>
          <w:rFonts w:hint="eastAsia" w:ascii="仿宋" w:hAnsi="仿宋" w:eastAsia="仿宋" w:cs="仿宋"/>
          <w:color w:val="auto"/>
          <w:szCs w:val="32"/>
          <w:highlight w:val="none"/>
        </w:rPr>
        <w:t>我局综合保障中心对该项目进行了技术评估，并形成了技术评估报告，根据《报告</w:t>
      </w:r>
      <w:r>
        <w:rPr>
          <w:rFonts w:hint="eastAsia" w:ascii="仿宋" w:hAnsi="仿宋" w:eastAsia="仿宋" w:cs="仿宋"/>
          <w:color w:val="auto"/>
          <w:szCs w:val="32"/>
          <w:highlight w:val="none"/>
          <w:lang w:val="en-US" w:eastAsia="zh-CN"/>
        </w:rPr>
        <w:t>表</w:t>
      </w:r>
      <w:r>
        <w:rPr>
          <w:rFonts w:hint="eastAsia" w:ascii="仿宋" w:hAnsi="仿宋" w:eastAsia="仿宋" w:cs="仿宋"/>
          <w:color w:val="auto"/>
          <w:szCs w:val="32"/>
          <w:highlight w:val="none"/>
        </w:rPr>
        <w:t>》和《技术评估报告》，</w:t>
      </w:r>
      <w:r>
        <w:rPr>
          <w:rFonts w:hint="eastAsia" w:ascii="仿宋" w:hAnsi="仿宋" w:eastAsia="仿宋" w:cs="仿宋"/>
          <w:color w:val="auto"/>
          <w:szCs w:val="32"/>
        </w:rPr>
        <w:t>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国能蒙西煤化工股份有限公司棋盘井煤矿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位于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鄂尔多斯市鄂托克旗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，是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原棋盘井煤矿和原苏亥图煤矿整合后的产业升级项目，整合后的棋盘井煤矿由东（原苏亥图井田）、西（原棋盘井煤矿）两个相对独立的区域组成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本次充填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作业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范围为棋盘井煤矿（东区）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主要建设内容包括储矸棚、地面制浆站、井下注浆系统以及配套的公用、辅助工程等，项目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设计年处置煤矸石60万吨，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全部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lang w:val="en-US" w:eastAsia="zh-CN"/>
        </w:rPr>
        <w:t>来源于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  <w:t>棋盘井煤矿（东区）洗煤厂。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项目总投资8051.2万元，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环保投资</w:t>
      </w:r>
      <w:bookmarkStart w:id="1" w:name="_GoBack"/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122</w:t>
      </w:r>
      <w:bookmarkEnd w:id="1"/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《报告表》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和《评估报告》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认为，在全面落实各项生态环境保护和环境污染防治措施的前提下，项目建设对环境的不利影响能够得到一定的缓解和控制。因此，我局原则同意你公司按照《报告表》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和《评估报告》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中所列的建设项目性质、规模、地点、工艺、生态环境保护措施及下述要求进行建设。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640"/>
        <w:textAlignment w:val="baseline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、项目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建设与运行管理中应重点做好的工作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1.加强施工期环境管理。施工单位在设备安装过程中应严格按照设计要求施工，尽可能缩小施工活动范围，施工场地四周须建立围挡，定期进行洒水和清扫；禁止在敏感建筑物集中区域内进行打桩、搅拌混凝土、鸣笛等活动；施工结束后须尽快对临时占地和周边进行生态植被恢复，防止水土流失；施工期产生的废水和固体废弃物要集中收集统一处置。</w:t>
      </w: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bidi w:val="0"/>
        <w:spacing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2.认真落实《报告表》中提出的大气污染防治措施。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矸石采用全封闭式带式输送机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输送，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矸石中转棚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矸石仓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水泥仓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制浆机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均为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全封闭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筛分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破碎废气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集气罩收集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至布袋除尘器处理后排放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颗粒物排放</w:t>
      </w:r>
      <w:bookmarkStart w:id="0" w:name="_Hlk149741291"/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浓度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满足《煤炭工业污染物排放标准》（GB20426-2006）表4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限值要求，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厂界颗粒物无组织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浓度需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满足</w:t>
      </w:r>
      <w:r>
        <w:rPr>
          <w:rFonts w:hint="eastAsia" w:ascii="仿宋" w:hAnsi="仿宋" w:eastAsia="仿宋" w:cs="仿宋"/>
          <w:sz w:val="32"/>
          <w:szCs w:val="32"/>
        </w:rPr>
        <w:t>《煤炭工业污染物排放标准》（GB20426-2006）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表5 限值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lang w:val="en-US" w:eastAsia="zh-CN"/>
        </w:rPr>
        <w:t>认真落实《报告书》中提出的水污染防治措施。生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活污水依托煤矿（西区）现有污水处理设施处理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达到</w:t>
      </w:r>
      <w:r>
        <w:rPr>
          <w:rFonts w:hint="eastAsia" w:ascii="仿宋" w:hAnsi="仿宋" w:eastAsia="仿宋" w:cs="仿宋"/>
          <w:color w:val="auto"/>
        </w:rPr>
        <w:t>《污水综合排放标准》(GB8978-1996)表4一级标准限值</w:t>
      </w:r>
      <w:r>
        <w:rPr>
          <w:rFonts w:hint="eastAsia" w:ascii="仿宋" w:hAnsi="仿宋" w:eastAsia="仿宋" w:cs="仿宋"/>
          <w:color w:val="auto"/>
          <w:lang w:val="en-US" w:eastAsia="zh-CN"/>
        </w:rPr>
        <w:t>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夏季进行井田洒水、绿化、场地和道路洒水，冬季输送至棋盘井煤矿（西区）用于洗煤厂生产用水，不外排。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按照“源头控制、分区防控、污染监控、应急响应”的原则，提出地下水污染防控措施，确保不会对区域地下水造成污染。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.应采取妥善控制措施，确保厂界噪声满足《工业企业厂界环境噪声排放标准》（GB12348-2008）2类标准要求。</w:t>
      </w:r>
    </w:p>
    <w:p>
      <w:pPr>
        <w:pStyle w:val="1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outlineLvl w:val="1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妥善处置各类固体废弃物。根据国家和地方的有关规定，按照“减量化、资源化、无害化”原则，对固体废物进行分类收集、处理和处置，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确保不造成二次污染。各类固废严格按照《危险废物贮存污染控制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标准》（GB18597-2023）及《 一般工业固体废物贮存和填埋污染控制标准》（GB18599-2020）的要求，分类做好存贮和安全处置工作。一般固体废物应立足于综合利用，危险废物委托有资质单位处置。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.建设单位须强化环境风险防范，落实环保设施安全生产要求，项目污染防治设施须与主体工程一起按照安全生产要求设计，有效防范因污染物事故排放或安全生产事故可能引发的环境风险。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/>
        <w:outlineLvl w:val="9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、项目建设必须严格执行环境保护“三同时”制度。项目竣工后，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须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按照规定程序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实施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/>
        <w:outlineLvl w:val="9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、你公司应在收到本批复20日内，将《报告表》（报批版）及批复文件送至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鄂尔多斯市生态环境局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鄂托克旗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分局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，我局委托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鄂尔多斯市生态环境局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鄂托克旗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分局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负责该项目的日常监管工作。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640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、该项目从批准之日起超过5年方决定开工建设，其环评文件应重新审核。如果建设地点、规模、防治污染和防止生态破坏的措施等发生重大变化时，需重新报批环评文件。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bidi w:val="0"/>
        <w:spacing w:line="560" w:lineRule="exact"/>
        <w:ind w:left="0" w:leftChars="0" w:firstLine="0" w:firstLineChars="0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bidi w:val="0"/>
        <w:spacing w:line="560" w:lineRule="exact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5120" w:firstLineChars="1600"/>
        <w:jc w:val="both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鄂尔多斯市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生态环境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320" w:firstLine="0" w:firstLineChars="0"/>
        <w:jc w:val="center"/>
        <w:outlineLvl w:val="9"/>
        <w:rPr>
          <w:rFonts w:hint="eastAsia" w:ascii="仿宋" w:hAnsi="仿宋" w:eastAsia="仿宋" w:cs="仿宋"/>
          <w:sz w:val="32"/>
          <w:szCs w:val="32"/>
          <w:highlight w:val="red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320" w:firstLine="0" w:firstLineChars="0"/>
        <w:jc w:val="center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320" w:firstLine="0" w:firstLineChars="0"/>
        <w:jc w:val="center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jc w:val="both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0" w:leftChars="0" w:right="320" w:firstLine="0" w:firstLineChars="0"/>
        <w:jc w:val="both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   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</w:rPr>
      </w:pPr>
    </w:p>
    <w:p>
      <w:pPr>
        <w:spacing w:line="500" w:lineRule="exact"/>
        <w:ind w:left="840" w:leftChars="0" w:hanging="840" w:hangingChars="3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highlight w:val="non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8769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4pt;height:0pt;width:447.85pt;z-index:251659264;mso-width-relative:page;mso-height-relative:page;" filled="f" stroked="t" coordsize="21600,21600" o:gfxdata="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p6XMs0QAAAAIBAAAPAAAAAAAAAAEAIAAAACIAAABkcnMvZG93bnJldi54bWxQSwECFAAUAAAA&#10;CACHTuJA3WxlKvUBAADkAwAADgAAAAAAAAABACAAAAAg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CN"/>
        </w:rPr>
        <w:t>抄送：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鄂尔多斯市生态环境局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鄂托克旗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分局，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市生态环境综合行政执法支队，东科建设有限公司，市生态环境局综合保障中心。</w:t>
      </w:r>
    </w:p>
    <w:p>
      <w:pPr>
        <w:spacing w:line="500" w:lineRule="exact"/>
        <w:ind w:left="840" w:leftChars="0" w:hanging="840" w:hangingChars="300"/>
        <w:rPr>
          <w:rFonts w:hint="eastAsia"/>
          <w:lang w:eastAsia="zh-CN"/>
        </w:rPr>
      </w:pP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373380</wp:posOffset>
                </wp:positionV>
                <wp:extent cx="568769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5pt;margin-top:29.4pt;height:0pt;width:447.85pt;z-index:251661312;mso-width-relative:page;mso-height-relative:page;" filled="f" stroked="t" coordsize="21600,21600" o:gfxdata="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wD7dNQAAAAHAQAADwAAAAAAAAABACAAAAAiAAAAZHJzL2Rvd25yZXYueG1sUEsBAhQA&#10;FAAAAAgAh07iQO7RyZ32AQAA5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鄂尔多斯市生态环境局                   2024年3月19日印发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68769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6pt;height:0pt;width:447.85pt;z-index:251660288;mso-width-relative:page;mso-height-relative:page;" filled="f" stroked="t" coordsize="21600,21600" o:gfxdata="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/bdn7SAAAABAEAAA8AAAAAAAAAAQAgAAAAIgAAAGRycy9kb3ducmV2LnhtbFBLAQIUABQA&#10;AAAIAIdO4kDMBwFH9gEAAOQDAAAOAAAAAAAAAAEAIAAAACE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1588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firstLine="560"/>
      <w:jc w:val="right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 PAGE   \* MERGEFORMAT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4 -</w:t>
    </w:r>
    <w:r>
      <w:rPr>
        <w:rFonts w:hint="eastAsia" w:asci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firstLine="560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 PAGE   \* MERGEFORMAT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4 -</w:t>
    </w:r>
    <w:r>
      <w:rPr>
        <w:rFonts w:hint="eastAsia" w:asci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tabs>
        <w:tab w:val="clear" w:pos="4153"/>
        <w:tab w:val="clear" w:pos="8306"/>
      </w:tabs>
      <w:ind w:firstLine="360"/>
    </w:pPr>
  </w:p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BD2CFC"/>
    <w:multiLevelType w:val="singleLevel"/>
    <w:tmpl w:val="63BD2C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MDc0M2M3NGUwMjY5NGMyMGQzMDAzMDBhMGMxYjkifQ=="/>
  </w:docVars>
  <w:rsids>
    <w:rsidRoot w:val="6F5642B6"/>
    <w:rsid w:val="1CE10AE9"/>
    <w:rsid w:val="20BF28F0"/>
    <w:rsid w:val="2EF71299"/>
    <w:rsid w:val="3940424F"/>
    <w:rsid w:val="3BA96372"/>
    <w:rsid w:val="47640900"/>
    <w:rsid w:val="4CE0771A"/>
    <w:rsid w:val="524377CA"/>
    <w:rsid w:val="5E707805"/>
    <w:rsid w:val="63CC3C21"/>
    <w:rsid w:val="6A6D7586"/>
    <w:rsid w:val="6F5642B6"/>
    <w:rsid w:val="718C401C"/>
    <w:rsid w:val="78E4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autoRedefine/>
    <w:qFormat/>
    <w:uiPriority w:val="0"/>
    <w:pPr>
      <w:keepNext/>
      <w:ind w:left="1260"/>
      <w:jc w:val="center"/>
      <w:outlineLvl w:val="1"/>
    </w:pPr>
    <w:rPr>
      <w:rFonts w:ascii="宋体" w:hAnsi="宋体"/>
      <w:sz w:val="25"/>
      <w:szCs w:val="25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5"/>
    <w:autoRedefine/>
    <w:qFormat/>
    <w:uiPriority w:val="0"/>
    <w:rPr>
      <w:rFonts w:ascii="Calibri" w:hAnsi="Calibri"/>
      <w:kern w:val="0"/>
    </w:rPr>
  </w:style>
  <w:style w:type="paragraph" w:styleId="5">
    <w:name w:val="Body Text First Indent 2"/>
    <w:basedOn w:val="6"/>
    <w:next w:val="1"/>
    <w:autoRedefine/>
    <w:unhideWhenUsed/>
    <w:qFormat/>
    <w:uiPriority w:val="99"/>
    <w:pPr>
      <w:ind w:firstLine="420"/>
    </w:pPr>
  </w:style>
  <w:style w:type="paragraph" w:styleId="6">
    <w:name w:val="Body Text Indent"/>
    <w:basedOn w:val="1"/>
    <w:next w:val="1"/>
    <w:autoRedefine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List"/>
    <w:basedOn w:val="1"/>
    <w:autoRedefine/>
    <w:qFormat/>
    <w:uiPriority w:val="0"/>
    <w:pPr>
      <w:spacing w:line="600" w:lineRule="exact"/>
      <w:ind w:firstLine="1446"/>
    </w:pPr>
    <w:rPr>
      <w:sz w:val="28"/>
    </w:rPr>
  </w:style>
  <w:style w:type="paragraph" w:customStyle="1" w:styleId="12">
    <w:name w:val="样式 正文缩进正文缩进2正文缩进 Char Char正文缩进 Char Char Char Char正文缩进 Char ..."/>
    <w:basedOn w:val="4"/>
    <w:autoRedefine/>
    <w:qFormat/>
    <w:uiPriority w:val="0"/>
    <w:pPr>
      <w:spacing w:line="360" w:lineRule="auto"/>
      <w:ind w:firstLine="200"/>
    </w:pPr>
    <w:rPr>
      <w:rFonts w:cs="宋体"/>
      <w:sz w:val="24"/>
    </w:rPr>
  </w:style>
  <w:style w:type="paragraph" w:customStyle="1" w:styleId="13">
    <w:name w:val="表头"/>
    <w:basedOn w:val="9"/>
    <w:next w:val="1"/>
    <w:autoRedefine/>
    <w:qFormat/>
    <w:uiPriority w:val="0"/>
    <w:pPr>
      <w:adjustRightInd w:val="0"/>
      <w:snapToGrid w:val="0"/>
      <w:jc w:val="center"/>
    </w:pPr>
    <w:rPr>
      <w:b/>
      <w:sz w:val="24"/>
      <w:szCs w:val="24"/>
    </w:rPr>
  </w:style>
  <w:style w:type="paragraph" w:customStyle="1" w:styleId="14">
    <w:name w:val="表中"/>
    <w:autoRedefine/>
    <w:qFormat/>
    <w:uiPriority w:val="0"/>
    <w:pPr>
      <w:adjustRightInd w:val="0"/>
      <w:snapToGrid w:val="0"/>
      <w:jc w:val="center"/>
    </w:pPr>
    <w:rPr>
      <w:rFonts w:ascii="Times New Roman" w:hAnsi="Times New Roman" w:eastAsia="宋体" w:cs="Times New Roman"/>
      <w:kern w:val="44"/>
      <w:sz w:val="21"/>
      <w:szCs w:val="21"/>
      <w:lang w:val="en-US" w:eastAsia="zh-CN" w:bidi="ar-SA"/>
    </w:rPr>
  </w:style>
  <w:style w:type="paragraph" w:customStyle="1" w:styleId="15">
    <w:name w:val="111111正文"/>
    <w:basedOn w:val="1"/>
    <w:autoRedefine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customStyle="1" w:styleId="16">
    <w:name w:val="0正文"/>
    <w:autoRedefine/>
    <w:qFormat/>
    <w:uiPriority w:val="0"/>
    <w:pPr>
      <w:widowControl w:val="0"/>
      <w:spacing w:line="360" w:lineRule="auto"/>
      <w:ind w:firstLine="200" w:firstLineChars="200"/>
    </w:pPr>
    <w:rPr>
      <w:rFonts w:ascii="Times New Roman" w:hAnsi="Times New Roman" w:eastAsia="仿宋" w:cs="Times New Roman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1658</Words>
  <Characters>1735</Characters>
  <Lines>0</Lines>
  <Paragraphs>0</Paragraphs>
  <TotalTime>4</TotalTime>
  <ScaleCrop>false</ScaleCrop>
  <LinksUpToDate>false</LinksUpToDate>
  <CharactersWithSpaces>1817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2022-12-04T12:12:00Z</dcterms:created>
  <dc:creator> </dc:creator>
  <cp:lastModifiedBy>Administrator</cp:lastModifiedBy>
  <cp:lastPrinted>2024-03-13T07:45:00Z</cp:lastPrinted>
  <dcterms:modified xsi:type="dcterms:W3CDTF">2024-03-21T02:33:09Z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A15D5E1E61BD47B7BA2D4518FAD617BB_13</vt:lpwstr>
  </property>
</Properties>
</file>