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B0A4E0">
      <w:pPr>
        <w:pStyle w:val="9"/>
        <w:ind w:left="0" w:leftChars="0" w:firstLine="0" w:firstLineChars="0"/>
        <w:rPr>
          <w:rFonts w:hint="eastAsia" w:eastAsia="宋体"/>
          <w:color w:val="000000" w:themeColor="text1"/>
          <w:lang w:eastAsia="zh-CN"/>
          <w14:textFill>
            <w14:solidFill>
              <w14:schemeClr w14:val="tx1"/>
            </w14:solidFill>
          </w14:textFill>
        </w:rPr>
        <w:sectPr>
          <w:footerReference r:id="rId3" w:type="default"/>
          <w:pgSz w:w="11906" w:h="16838"/>
          <w:pgMar w:top="1701" w:right="1531" w:bottom="1701" w:left="1531" w:header="851" w:footer="1077" w:gutter="0"/>
          <w:pgBorders>
            <w:top w:val="none" w:sz="0" w:space="0"/>
            <w:left w:val="none" w:sz="0" w:space="0"/>
            <w:bottom w:val="none" w:sz="0" w:space="0"/>
            <w:right w:val="none" w:sz="0" w:space="0"/>
          </w:pgBorders>
          <w:pgNumType w:start="3"/>
          <w:cols w:space="720" w:num="1"/>
          <w:docGrid w:linePitch="312" w:charSpace="0"/>
        </w:sectPr>
      </w:pPr>
      <w:r>
        <w:rPr>
          <w:color w:val="000000" w:themeColor="text1"/>
          <w14:textFill>
            <w14:solidFill>
              <w14:schemeClr w14:val="tx1"/>
            </w14:solidFill>
          </w14:textFill>
        </w:rPr>
        <w:drawing>
          <wp:inline distT="0" distB="0" distL="114300" distR="114300">
            <wp:extent cx="5591175" cy="7877175"/>
            <wp:effectExtent l="0" t="0" r="9525" b="9525"/>
            <wp:docPr id="7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1"/>
                    <pic:cNvPicPr>
                      <a:picLocks noChangeAspect="1"/>
                    </pic:cNvPicPr>
                  </pic:nvPicPr>
                  <pic:blipFill>
                    <a:blip r:embed="rId8"/>
                    <a:stretch>
                      <a:fillRect/>
                    </a:stretch>
                  </pic:blipFill>
                  <pic:spPr>
                    <a:xfrm>
                      <a:off x="0" y="0"/>
                      <a:ext cx="5591175" cy="7877175"/>
                    </a:xfrm>
                    <a:prstGeom prst="rect">
                      <a:avLst/>
                    </a:prstGeom>
                    <a:noFill/>
                    <a:ln>
                      <a:noFill/>
                    </a:ln>
                  </pic:spPr>
                </pic:pic>
              </a:graphicData>
            </a:graphic>
          </wp:inline>
        </w:drawing>
      </w:r>
      <w:r>
        <w:rPr>
          <w:rFonts w:hint="eastAsia" w:eastAsia="宋体"/>
          <w:color w:val="000000" w:themeColor="text1"/>
          <w:lang w:eastAsia="zh-CN"/>
          <w14:textFill>
            <w14:solidFill>
              <w14:schemeClr w14:val="tx1"/>
            </w14:solidFill>
          </w14:textFill>
        </w:rPr>
        <w:drawing>
          <wp:inline distT="0" distB="0" distL="114300" distR="114300">
            <wp:extent cx="5596255" cy="7914005"/>
            <wp:effectExtent l="0" t="0" r="4445" b="10795"/>
            <wp:docPr id="71" name="图片 71" descr="资质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descr="资质页"/>
                    <pic:cNvPicPr>
                      <a:picLocks noChangeAspect="1"/>
                    </pic:cNvPicPr>
                  </pic:nvPicPr>
                  <pic:blipFill>
                    <a:blip r:embed="rId9"/>
                    <a:stretch>
                      <a:fillRect/>
                    </a:stretch>
                  </pic:blipFill>
                  <pic:spPr>
                    <a:xfrm>
                      <a:off x="0" y="0"/>
                      <a:ext cx="5596255" cy="7914005"/>
                    </a:xfrm>
                    <a:prstGeom prst="rect">
                      <a:avLst/>
                    </a:prstGeom>
                  </pic:spPr>
                </pic:pic>
              </a:graphicData>
            </a:graphic>
          </wp:inline>
        </w:drawing>
      </w:r>
      <w:r>
        <w:rPr>
          <w:color w:val="000000" w:themeColor="text1"/>
          <w14:textFill>
            <w14:solidFill>
              <w14:schemeClr w14:val="tx1"/>
            </w14:solidFill>
          </w14:textFill>
        </w:rPr>
        <w:drawing>
          <wp:inline distT="0" distB="0" distL="114300" distR="114300">
            <wp:extent cx="5622925" cy="7977505"/>
            <wp:effectExtent l="0" t="0" r="15875" b="4445"/>
            <wp:docPr id="8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2"/>
                    <pic:cNvPicPr>
                      <a:picLocks noChangeAspect="1"/>
                    </pic:cNvPicPr>
                  </pic:nvPicPr>
                  <pic:blipFill>
                    <a:blip r:embed="rId10"/>
                    <a:stretch>
                      <a:fillRect/>
                    </a:stretch>
                  </pic:blipFill>
                  <pic:spPr>
                    <a:xfrm>
                      <a:off x="0" y="0"/>
                      <a:ext cx="5622925" cy="7977505"/>
                    </a:xfrm>
                    <a:prstGeom prst="rect">
                      <a:avLst/>
                    </a:prstGeom>
                    <a:noFill/>
                    <a:ln>
                      <a:noFill/>
                    </a:ln>
                  </pic:spPr>
                </pic:pic>
              </a:graphicData>
            </a:graphic>
          </wp:inline>
        </w:drawing>
      </w:r>
      <w:r>
        <w:rPr>
          <w:color w:val="000000" w:themeColor="text1"/>
          <w14:textFill>
            <w14:solidFill>
              <w14:schemeClr w14:val="tx1"/>
            </w14:solidFill>
          </w14:textFill>
        </w:rPr>
        <w:drawing>
          <wp:inline distT="0" distB="0" distL="114300" distR="114300">
            <wp:extent cx="5589270" cy="7945755"/>
            <wp:effectExtent l="0" t="0" r="11430" b="17145"/>
            <wp:docPr id="8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3"/>
                    <pic:cNvPicPr>
                      <a:picLocks noChangeAspect="1"/>
                    </pic:cNvPicPr>
                  </pic:nvPicPr>
                  <pic:blipFill>
                    <a:blip r:embed="rId11"/>
                    <a:stretch>
                      <a:fillRect/>
                    </a:stretch>
                  </pic:blipFill>
                  <pic:spPr>
                    <a:xfrm>
                      <a:off x="0" y="0"/>
                      <a:ext cx="5589270" cy="7945755"/>
                    </a:xfrm>
                    <a:prstGeom prst="rect">
                      <a:avLst/>
                    </a:prstGeom>
                    <a:noFill/>
                    <a:ln>
                      <a:noFill/>
                    </a:ln>
                  </pic:spPr>
                </pic:pic>
              </a:graphicData>
            </a:graphic>
          </wp:inline>
        </w:drawing>
      </w:r>
    </w:p>
    <w:p w14:paraId="255E6DD8">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0" w:firstLineChars="0"/>
        <w:jc w:val="center"/>
        <w:textAlignment w:val="auto"/>
        <w:outlineLvl w:val="0"/>
        <w:rPr>
          <w:rFonts w:ascii="Times New Roman" w:hAnsi="Times New Roman" w:eastAsia="黑体" w:cs="Times New Roman"/>
          <w:snapToGrid w:val="0"/>
          <w:color w:val="000000" w:themeColor="text1"/>
          <w:sz w:val="30"/>
          <w:szCs w:val="30"/>
          <w:highlight w:val="none"/>
          <w14:textFill>
            <w14:solidFill>
              <w14:schemeClr w14:val="tx1"/>
            </w14:solidFill>
          </w14:textFill>
        </w:rPr>
      </w:pPr>
      <w:r>
        <w:rPr>
          <w:rFonts w:ascii="Times New Roman" w:hAnsi="Times New Roman" w:eastAsia="黑体" w:cs="Times New Roman"/>
          <w:snapToGrid w:val="0"/>
          <w:color w:val="000000" w:themeColor="text1"/>
          <w:sz w:val="30"/>
          <w:szCs w:val="30"/>
          <w:highlight w:val="none"/>
          <w14:textFill>
            <w14:solidFill>
              <w14:schemeClr w14:val="tx1"/>
            </w14:solidFill>
          </w14:textFill>
        </w:rPr>
        <w:t>一、建设项目基本情况</w:t>
      </w:r>
    </w:p>
    <w:tbl>
      <w:tblPr>
        <w:tblStyle w:val="2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843"/>
        <w:gridCol w:w="2829"/>
        <w:gridCol w:w="1996"/>
        <w:gridCol w:w="3202"/>
      </w:tblGrid>
      <w:tr w14:paraId="401CE3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843" w:type="dxa"/>
            <w:noWrap w:val="0"/>
            <w:tcMar>
              <w:top w:w="16" w:type="dxa"/>
              <w:left w:w="16" w:type="dxa"/>
              <w:right w:w="16" w:type="dxa"/>
            </w:tcMar>
            <w:vAlign w:val="center"/>
          </w:tcPr>
          <w:p w14:paraId="2582C9A6">
            <w:pPr>
              <w:adjustRightInd w:val="0"/>
              <w:snapToGrid w:val="0"/>
              <w:jc w:val="center"/>
              <w:rPr>
                <w:rFonts w:hint="default" w:ascii="Times New Roman" w:hAnsi="Times New Roman" w:eastAsia="宋体" w:cs="Times New Roman"/>
                <w:b/>
                <w:bCs/>
                <w:color w:val="000000" w:themeColor="text1"/>
                <w:sz w:val="24"/>
                <w:highlight w:val="none"/>
                <w14:textFill>
                  <w14:solidFill>
                    <w14:schemeClr w14:val="tx1"/>
                  </w14:solidFill>
                </w14:textFill>
              </w:rPr>
            </w:pPr>
            <w:r>
              <w:rPr>
                <w:rFonts w:hint="default" w:ascii="Times New Roman" w:hAnsi="Times New Roman" w:eastAsia="宋体" w:cs="Times New Roman"/>
                <w:b/>
                <w:bCs/>
                <w:color w:val="000000" w:themeColor="text1"/>
                <w:sz w:val="24"/>
                <w:highlight w:val="none"/>
                <w14:textFill>
                  <w14:solidFill>
                    <w14:schemeClr w14:val="tx1"/>
                  </w14:solidFill>
                </w14:textFill>
              </w:rPr>
              <w:t>建设项目名称</w:t>
            </w:r>
          </w:p>
        </w:tc>
        <w:tc>
          <w:tcPr>
            <w:tcW w:w="8027" w:type="dxa"/>
            <w:gridSpan w:val="3"/>
            <w:noWrap w:val="0"/>
            <w:vAlign w:val="center"/>
          </w:tcPr>
          <w:p w14:paraId="66C78384">
            <w:pPr>
              <w:keepNext w:val="0"/>
              <w:keepLines w:val="0"/>
              <w:widowControl/>
              <w:suppressLineNumbers w:val="0"/>
              <w:jc w:val="center"/>
              <w:rPr>
                <w:rFonts w:hint="default" w:ascii="Times New Roman" w:hAnsi="Times New Roman" w:eastAsia="宋体" w:cs="Times New Roman"/>
                <w:color w:val="000000" w:themeColor="text1"/>
                <w:sz w:val="24"/>
                <w:highlight w:val="none"/>
                <w:lang w:eastAsia="zh-CN"/>
                <w14:textFill>
                  <w14:solidFill>
                    <w14:schemeClr w14:val="tx1"/>
                  </w14:solidFill>
                </w14:textFill>
              </w:rPr>
            </w:pPr>
            <w:r>
              <w:rPr>
                <w:rFonts w:hint="default" w:ascii="Times New Roman" w:hAnsi="Times New Roman" w:eastAsia="宋体" w:cs="Times New Roman"/>
                <w:color w:val="000000" w:themeColor="text1"/>
                <w:kern w:val="0"/>
                <w:sz w:val="25"/>
                <w:szCs w:val="25"/>
                <w:highlight w:val="none"/>
                <w:lang w:val="en-US" w:eastAsia="zh-CN" w:bidi="ar"/>
                <w14:textFill>
                  <w14:solidFill>
                    <w14:schemeClr w14:val="tx1"/>
                  </w14:solidFill>
                </w14:textFill>
              </w:rPr>
              <w:t>内蒙古伊东东晟公司年产20万吨煤矸石煅烧高岭土项目</w:t>
            </w:r>
          </w:p>
        </w:tc>
      </w:tr>
      <w:tr w14:paraId="127D5A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2" w:hRule="atLeast"/>
          <w:jc w:val="center"/>
        </w:trPr>
        <w:tc>
          <w:tcPr>
            <w:tcW w:w="843" w:type="dxa"/>
            <w:noWrap w:val="0"/>
            <w:tcMar>
              <w:top w:w="16" w:type="dxa"/>
              <w:left w:w="16" w:type="dxa"/>
              <w:right w:w="16" w:type="dxa"/>
            </w:tcMar>
            <w:vAlign w:val="center"/>
          </w:tcPr>
          <w:p w14:paraId="32B22C9A">
            <w:pPr>
              <w:adjustRightInd w:val="0"/>
              <w:snapToGrid w:val="0"/>
              <w:jc w:val="center"/>
              <w:rPr>
                <w:rFonts w:hint="default" w:ascii="Times New Roman" w:hAnsi="Times New Roman" w:eastAsia="宋体" w:cs="Times New Roman"/>
                <w:b/>
                <w:bCs/>
                <w:color w:val="000000" w:themeColor="text1"/>
                <w:sz w:val="24"/>
                <w:highlight w:val="none"/>
                <w14:textFill>
                  <w14:solidFill>
                    <w14:schemeClr w14:val="tx1"/>
                  </w14:solidFill>
                </w14:textFill>
              </w:rPr>
            </w:pPr>
            <w:r>
              <w:rPr>
                <w:rFonts w:hint="default" w:ascii="Times New Roman" w:hAnsi="Times New Roman" w:eastAsia="宋体" w:cs="Times New Roman"/>
                <w:b/>
                <w:bCs/>
                <w:color w:val="000000" w:themeColor="text1"/>
                <w:sz w:val="24"/>
                <w:highlight w:val="none"/>
                <w14:textFill>
                  <w14:solidFill>
                    <w14:schemeClr w14:val="tx1"/>
                  </w14:solidFill>
                </w14:textFill>
              </w:rPr>
              <w:t>项目</w:t>
            </w:r>
          </w:p>
          <w:p w14:paraId="475AAD52">
            <w:pPr>
              <w:adjustRightInd w:val="0"/>
              <w:snapToGrid w:val="0"/>
              <w:jc w:val="center"/>
              <w:rPr>
                <w:rFonts w:hint="default" w:ascii="Times New Roman" w:hAnsi="Times New Roman" w:eastAsia="宋体" w:cs="Times New Roman"/>
                <w:b/>
                <w:bCs/>
                <w:color w:val="000000" w:themeColor="text1"/>
                <w:sz w:val="24"/>
                <w:highlight w:val="none"/>
                <w14:textFill>
                  <w14:solidFill>
                    <w14:schemeClr w14:val="tx1"/>
                  </w14:solidFill>
                </w14:textFill>
              </w:rPr>
            </w:pPr>
            <w:r>
              <w:rPr>
                <w:rFonts w:hint="default" w:ascii="Times New Roman" w:hAnsi="Times New Roman" w:eastAsia="宋体" w:cs="Times New Roman"/>
                <w:b/>
                <w:bCs/>
                <w:color w:val="000000" w:themeColor="text1"/>
                <w:sz w:val="24"/>
                <w:highlight w:val="none"/>
                <w14:textFill>
                  <w14:solidFill>
                    <w14:schemeClr w14:val="tx1"/>
                  </w14:solidFill>
                </w14:textFill>
              </w:rPr>
              <w:t>代码</w:t>
            </w:r>
          </w:p>
        </w:tc>
        <w:tc>
          <w:tcPr>
            <w:tcW w:w="8027" w:type="dxa"/>
            <w:gridSpan w:val="3"/>
            <w:noWrap w:val="0"/>
            <w:vAlign w:val="center"/>
          </w:tcPr>
          <w:p w14:paraId="6133A41A">
            <w:pPr>
              <w:adjustRightInd w:val="0"/>
              <w:snapToGrid w:val="0"/>
              <w:jc w:val="center"/>
              <w:rPr>
                <w:rFonts w:hint="default" w:ascii="Times New Roman" w:hAnsi="Times New Roman" w:eastAsia="宋体" w:cs="Times New Roman"/>
                <w:color w:val="000000" w:themeColor="text1"/>
                <w:sz w:val="24"/>
                <w:highlight w:val="none"/>
                <w:lang w:val="en-US"/>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2509-150622-04-05-154090</w:t>
            </w:r>
          </w:p>
        </w:tc>
      </w:tr>
      <w:tr w14:paraId="08C2D1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51" w:hRule="atLeast"/>
          <w:jc w:val="center"/>
        </w:trPr>
        <w:tc>
          <w:tcPr>
            <w:tcW w:w="843" w:type="dxa"/>
            <w:noWrap w:val="0"/>
            <w:tcMar>
              <w:top w:w="16" w:type="dxa"/>
              <w:left w:w="16" w:type="dxa"/>
              <w:right w:w="16" w:type="dxa"/>
            </w:tcMar>
            <w:vAlign w:val="center"/>
          </w:tcPr>
          <w:p w14:paraId="3E000E08">
            <w:pPr>
              <w:adjustRightInd w:val="0"/>
              <w:snapToGrid w:val="0"/>
              <w:jc w:val="center"/>
              <w:rPr>
                <w:rFonts w:hint="default" w:ascii="Times New Roman" w:hAnsi="Times New Roman" w:eastAsia="宋体" w:cs="Times New Roman"/>
                <w:b/>
                <w:bCs/>
                <w:color w:val="000000" w:themeColor="text1"/>
                <w:sz w:val="24"/>
                <w:highlight w:val="none"/>
                <w14:textFill>
                  <w14:solidFill>
                    <w14:schemeClr w14:val="tx1"/>
                  </w14:solidFill>
                </w14:textFill>
              </w:rPr>
            </w:pPr>
            <w:r>
              <w:rPr>
                <w:rFonts w:hint="default" w:ascii="Times New Roman" w:hAnsi="Times New Roman" w:eastAsia="宋体" w:cs="Times New Roman"/>
                <w:b/>
                <w:bCs/>
                <w:color w:val="000000" w:themeColor="text1"/>
                <w:sz w:val="24"/>
                <w:highlight w:val="none"/>
                <w14:textFill>
                  <w14:solidFill>
                    <w14:schemeClr w14:val="tx1"/>
                  </w14:solidFill>
                </w14:textFill>
              </w:rPr>
              <w:t>建设单位联系人</w:t>
            </w:r>
          </w:p>
        </w:tc>
        <w:tc>
          <w:tcPr>
            <w:tcW w:w="2829" w:type="dxa"/>
            <w:noWrap w:val="0"/>
            <w:vAlign w:val="center"/>
          </w:tcPr>
          <w:p w14:paraId="32DA9C30">
            <w:pPr>
              <w:adjustRightInd w:val="0"/>
              <w:snapToGrid w:val="0"/>
              <w:jc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付杰</w:t>
            </w:r>
          </w:p>
        </w:tc>
        <w:tc>
          <w:tcPr>
            <w:tcW w:w="1996" w:type="dxa"/>
            <w:noWrap w:val="0"/>
            <w:vAlign w:val="center"/>
          </w:tcPr>
          <w:p w14:paraId="78CBD5DB">
            <w:pPr>
              <w:adjustRightInd w:val="0"/>
              <w:snapToGrid w:val="0"/>
              <w:jc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b/>
                <w:bCs/>
                <w:color w:val="000000" w:themeColor="text1"/>
                <w:sz w:val="24"/>
                <w:highlight w:val="none"/>
                <w14:textFill>
                  <w14:solidFill>
                    <w14:schemeClr w14:val="tx1"/>
                  </w14:solidFill>
                </w14:textFill>
              </w:rPr>
              <w:t>联系方式</w:t>
            </w:r>
          </w:p>
        </w:tc>
        <w:tc>
          <w:tcPr>
            <w:tcW w:w="3202" w:type="dxa"/>
            <w:noWrap w:val="0"/>
            <w:vAlign w:val="center"/>
          </w:tcPr>
          <w:p w14:paraId="700B6CDC">
            <w:pPr>
              <w:adjustRightInd w:val="0"/>
              <w:snapToGrid w:val="0"/>
              <w:jc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18647713886</w:t>
            </w:r>
          </w:p>
        </w:tc>
      </w:tr>
      <w:tr w14:paraId="77237D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843" w:type="dxa"/>
            <w:noWrap w:val="0"/>
            <w:tcMar>
              <w:top w:w="16" w:type="dxa"/>
              <w:left w:w="16" w:type="dxa"/>
              <w:right w:w="16" w:type="dxa"/>
            </w:tcMar>
            <w:vAlign w:val="center"/>
          </w:tcPr>
          <w:p w14:paraId="0208459C">
            <w:pPr>
              <w:adjustRightInd w:val="0"/>
              <w:snapToGrid w:val="0"/>
              <w:jc w:val="center"/>
              <w:rPr>
                <w:rFonts w:hint="default" w:ascii="Times New Roman" w:hAnsi="Times New Roman" w:eastAsia="宋体" w:cs="Times New Roman"/>
                <w:b/>
                <w:bCs/>
                <w:color w:val="000000" w:themeColor="text1"/>
                <w:sz w:val="24"/>
                <w:highlight w:val="none"/>
                <w14:textFill>
                  <w14:solidFill>
                    <w14:schemeClr w14:val="tx1"/>
                  </w14:solidFill>
                </w14:textFill>
              </w:rPr>
            </w:pPr>
            <w:r>
              <w:rPr>
                <w:rFonts w:hint="default" w:ascii="Times New Roman" w:hAnsi="Times New Roman" w:eastAsia="宋体" w:cs="Times New Roman"/>
                <w:b/>
                <w:bCs/>
                <w:color w:val="000000" w:themeColor="text1"/>
                <w:sz w:val="24"/>
                <w:highlight w:val="none"/>
                <w14:textFill>
                  <w14:solidFill>
                    <w14:schemeClr w14:val="tx1"/>
                  </w14:solidFill>
                </w14:textFill>
              </w:rPr>
              <w:t>建设</w:t>
            </w:r>
          </w:p>
          <w:p w14:paraId="209B5BC6">
            <w:pPr>
              <w:adjustRightInd w:val="0"/>
              <w:snapToGrid w:val="0"/>
              <w:jc w:val="center"/>
              <w:rPr>
                <w:rFonts w:hint="default" w:ascii="Times New Roman" w:hAnsi="Times New Roman" w:eastAsia="宋体" w:cs="Times New Roman"/>
                <w:b/>
                <w:bCs/>
                <w:color w:val="000000" w:themeColor="text1"/>
                <w:sz w:val="24"/>
                <w:highlight w:val="none"/>
                <w14:textFill>
                  <w14:solidFill>
                    <w14:schemeClr w14:val="tx1"/>
                  </w14:solidFill>
                </w14:textFill>
              </w:rPr>
            </w:pPr>
            <w:r>
              <w:rPr>
                <w:rFonts w:hint="default" w:ascii="Times New Roman" w:hAnsi="Times New Roman" w:eastAsia="宋体" w:cs="Times New Roman"/>
                <w:b/>
                <w:bCs/>
                <w:color w:val="000000" w:themeColor="text1"/>
                <w:sz w:val="24"/>
                <w:highlight w:val="none"/>
                <w14:textFill>
                  <w14:solidFill>
                    <w14:schemeClr w14:val="tx1"/>
                  </w14:solidFill>
                </w14:textFill>
              </w:rPr>
              <w:t>地点</w:t>
            </w:r>
          </w:p>
        </w:tc>
        <w:tc>
          <w:tcPr>
            <w:tcW w:w="8027" w:type="dxa"/>
            <w:gridSpan w:val="3"/>
            <w:noWrap w:val="0"/>
            <w:vAlign w:val="center"/>
          </w:tcPr>
          <w:p w14:paraId="69B1DB6A">
            <w:pPr>
              <w:keepNext w:val="0"/>
              <w:keepLines w:val="0"/>
              <w:widowControl/>
              <w:suppressLineNumbers w:val="0"/>
              <w:jc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kern w:val="0"/>
                <w:sz w:val="25"/>
                <w:szCs w:val="25"/>
                <w:highlight w:val="none"/>
                <w:lang w:val="en-US" w:eastAsia="zh-CN" w:bidi="ar"/>
                <w14:textFill>
                  <w14:solidFill>
                    <w14:schemeClr w14:val="tx1"/>
                  </w14:solidFill>
                </w14:textFill>
              </w:rPr>
              <w:t>内蒙古鄂尔多斯准格尔经济开发区准格尔产业园</w:t>
            </w:r>
          </w:p>
        </w:tc>
      </w:tr>
      <w:tr w14:paraId="00B939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7" w:hRule="atLeast"/>
          <w:jc w:val="center"/>
        </w:trPr>
        <w:tc>
          <w:tcPr>
            <w:tcW w:w="843" w:type="dxa"/>
            <w:noWrap w:val="0"/>
            <w:tcMar>
              <w:top w:w="16" w:type="dxa"/>
              <w:left w:w="16" w:type="dxa"/>
              <w:right w:w="16" w:type="dxa"/>
            </w:tcMar>
            <w:vAlign w:val="center"/>
          </w:tcPr>
          <w:p w14:paraId="2BD4EEF3">
            <w:pPr>
              <w:adjustRightInd w:val="0"/>
              <w:snapToGrid w:val="0"/>
              <w:jc w:val="center"/>
              <w:rPr>
                <w:rFonts w:hint="default" w:ascii="Times New Roman" w:hAnsi="Times New Roman" w:eastAsia="宋体" w:cs="Times New Roman"/>
                <w:b/>
                <w:bCs/>
                <w:color w:val="000000" w:themeColor="text1"/>
                <w:sz w:val="24"/>
                <w:highlight w:val="none"/>
                <w14:textFill>
                  <w14:solidFill>
                    <w14:schemeClr w14:val="tx1"/>
                  </w14:solidFill>
                </w14:textFill>
              </w:rPr>
            </w:pPr>
            <w:r>
              <w:rPr>
                <w:rFonts w:hint="default" w:ascii="Times New Roman" w:hAnsi="Times New Roman" w:eastAsia="宋体" w:cs="Times New Roman"/>
                <w:b/>
                <w:bCs/>
                <w:color w:val="000000" w:themeColor="text1"/>
                <w:sz w:val="24"/>
                <w:highlight w:val="none"/>
                <w14:textFill>
                  <w14:solidFill>
                    <w14:schemeClr w14:val="tx1"/>
                  </w14:solidFill>
                </w14:textFill>
              </w:rPr>
              <w:t>地理</w:t>
            </w:r>
          </w:p>
          <w:p w14:paraId="2568459E">
            <w:pPr>
              <w:adjustRightInd w:val="0"/>
              <w:snapToGrid w:val="0"/>
              <w:jc w:val="center"/>
              <w:rPr>
                <w:rFonts w:hint="default" w:ascii="Times New Roman" w:hAnsi="Times New Roman" w:eastAsia="宋体" w:cs="Times New Roman"/>
                <w:b/>
                <w:bCs/>
                <w:color w:val="000000" w:themeColor="text1"/>
                <w:sz w:val="24"/>
                <w:highlight w:val="none"/>
                <w14:textFill>
                  <w14:solidFill>
                    <w14:schemeClr w14:val="tx1"/>
                  </w14:solidFill>
                </w14:textFill>
              </w:rPr>
            </w:pPr>
            <w:r>
              <w:rPr>
                <w:rFonts w:hint="default" w:ascii="Times New Roman" w:hAnsi="Times New Roman" w:eastAsia="宋体" w:cs="Times New Roman"/>
                <w:b/>
                <w:bCs/>
                <w:color w:val="000000" w:themeColor="text1"/>
                <w:sz w:val="24"/>
                <w:highlight w:val="none"/>
                <w14:textFill>
                  <w14:solidFill>
                    <w14:schemeClr w14:val="tx1"/>
                  </w14:solidFill>
                </w14:textFill>
              </w:rPr>
              <w:t>坐标</w:t>
            </w:r>
          </w:p>
        </w:tc>
        <w:tc>
          <w:tcPr>
            <w:tcW w:w="8027" w:type="dxa"/>
            <w:gridSpan w:val="3"/>
            <w:noWrap w:val="0"/>
            <w:vAlign w:val="center"/>
          </w:tcPr>
          <w:p w14:paraId="2A57A51A">
            <w:pPr>
              <w:jc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中心坐标</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u w:val="single"/>
                <w14:textFill>
                  <w14:solidFill>
                    <w14:schemeClr w14:val="tx1"/>
                  </w14:solidFill>
                </w14:textFill>
              </w:rPr>
              <w:t>1</w:t>
            </w:r>
            <w:r>
              <w:rPr>
                <w:rFonts w:hint="default" w:ascii="Times New Roman" w:hAnsi="Times New Roman" w:eastAsia="宋体" w:cs="Times New Roman"/>
                <w:color w:val="000000" w:themeColor="text1"/>
                <w:sz w:val="24"/>
                <w:highlight w:val="none"/>
                <w:u w:val="single"/>
                <w:lang w:val="en-US" w:eastAsia="zh-CN"/>
                <w14:textFill>
                  <w14:solidFill>
                    <w14:schemeClr w14:val="tx1"/>
                  </w14:solidFill>
                </w14:textFill>
              </w:rPr>
              <w:t>10</w:t>
            </w:r>
            <w:r>
              <w:rPr>
                <w:rFonts w:hint="default" w:ascii="Times New Roman" w:hAnsi="Times New Roman" w:eastAsia="宋体" w:cs="Times New Roman"/>
                <w:color w:val="000000" w:themeColor="text1"/>
                <w:sz w:val="24"/>
                <w:highlight w:val="none"/>
                <w14:textFill>
                  <w14:solidFill>
                    <w14:schemeClr w14:val="tx1"/>
                  </w14:solidFill>
                </w14:textFill>
              </w:rPr>
              <w:t>度</w:t>
            </w:r>
            <w:r>
              <w:rPr>
                <w:rFonts w:hint="default" w:ascii="Times New Roman" w:hAnsi="Times New Roman" w:eastAsia="宋体" w:cs="Times New Roman"/>
                <w:color w:val="000000" w:themeColor="text1"/>
                <w:sz w:val="24"/>
                <w:highlight w:val="none"/>
                <w:u w:val="single"/>
                <w14:textFill>
                  <w14:solidFill>
                    <w14:schemeClr w14:val="tx1"/>
                  </w14:solidFill>
                </w14:textFill>
              </w:rPr>
              <w:t>51</w:t>
            </w:r>
            <w:r>
              <w:rPr>
                <w:rFonts w:hint="default" w:ascii="Times New Roman" w:hAnsi="Times New Roman" w:eastAsia="宋体" w:cs="Times New Roman"/>
                <w:color w:val="000000" w:themeColor="text1"/>
                <w:sz w:val="24"/>
                <w:highlight w:val="none"/>
                <w14:textFill>
                  <w14:solidFill>
                    <w14:schemeClr w14:val="tx1"/>
                  </w14:solidFill>
                </w14:textFill>
              </w:rPr>
              <w:t>分</w:t>
            </w:r>
            <w:r>
              <w:rPr>
                <w:rFonts w:hint="default" w:ascii="Times New Roman" w:hAnsi="Times New Roman" w:eastAsia="宋体" w:cs="Times New Roman"/>
                <w:color w:val="000000" w:themeColor="text1"/>
                <w:sz w:val="24"/>
                <w:highlight w:val="none"/>
                <w:u w:val="single"/>
                <w:lang w:val="en-US" w:eastAsia="zh-CN"/>
                <w14:textFill>
                  <w14:solidFill>
                    <w14:schemeClr w14:val="tx1"/>
                  </w14:solidFill>
                </w14:textFill>
              </w:rPr>
              <w:t>52.82</w:t>
            </w:r>
            <w:r>
              <w:rPr>
                <w:rFonts w:hint="default" w:ascii="Times New Roman" w:hAnsi="Times New Roman" w:eastAsia="宋体" w:cs="Times New Roman"/>
                <w:color w:val="000000" w:themeColor="text1"/>
                <w:sz w:val="24"/>
                <w:highlight w:val="none"/>
                <w14:textFill>
                  <w14:solidFill>
                    <w14:schemeClr w14:val="tx1"/>
                  </w14:solidFill>
                </w14:textFill>
              </w:rPr>
              <w:t>秒，</w:t>
            </w:r>
            <w:r>
              <w:rPr>
                <w:rFonts w:hint="default" w:ascii="Times New Roman" w:hAnsi="Times New Roman" w:eastAsia="宋体" w:cs="Times New Roman"/>
                <w:color w:val="000000" w:themeColor="text1"/>
                <w:sz w:val="24"/>
                <w:highlight w:val="none"/>
                <w:u w:val="single"/>
                <w14:textFill>
                  <w14:solidFill>
                    <w14:schemeClr w14:val="tx1"/>
                  </w14:solidFill>
                </w14:textFill>
              </w:rPr>
              <w:t>39</w:t>
            </w:r>
            <w:r>
              <w:rPr>
                <w:rFonts w:hint="default" w:ascii="Times New Roman" w:hAnsi="Times New Roman" w:eastAsia="宋体" w:cs="Times New Roman"/>
                <w:color w:val="000000" w:themeColor="text1"/>
                <w:sz w:val="24"/>
                <w:highlight w:val="none"/>
                <w14:textFill>
                  <w14:solidFill>
                    <w14:schemeClr w14:val="tx1"/>
                  </w14:solidFill>
                </w14:textFill>
              </w:rPr>
              <w:t>度</w:t>
            </w:r>
            <w:r>
              <w:rPr>
                <w:rFonts w:hint="default" w:ascii="Times New Roman" w:hAnsi="Times New Roman" w:eastAsia="宋体" w:cs="Times New Roman"/>
                <w:color w:val="000000" w:themeColor="text1"/>
                <w:sz w:val="24"/>
                <w:highlight w:val="none"/>
                <w:u w:val="single"/>
                <w14:textFill>
                  <w14:solidFill>
                    <w14:schemeClr w14:val="tx1"/>
                  </w14:solidFill>
                </w14:textFill>
              </w:rPr>
              <w:t>4</w:t>
            </w:r>
            <w:r>
              <w:rPr>
                <w:rFonts w:hint="default" w:ascii="Times New Roman" w:hAnsi="Times New Roman" w:eastAsia="宋体" w:cs="Times New Roman"/>
                <w:color w:val="000000" w:themeColor="text1"/>
                <w:sz w:val="24"/>
                <w:highlight w:val="none"/>
                <w:u w:val="single"/>
                <w:lang w:val="en-US" w:eastAsia="zh-CN"/>
                <w14:textFill>
                  <w14:solidFill>
                    <w14:schemeClr w14:val="tx1"/>
                  </w14:solidFill>
                </w14:textFill>
              </w:rPr>
              <w:t>2</w:t>
            </w:r>
            <w:r>
              <w:rPr>
                <w:rFonts w:hint="default" w:ascii="Times New Roman" w:hAnsi="Times New Roman" w:eastAsia="宋体" w:cs="Times New Roman"/>
                <w:color w:val="000000" w:themeColor="text1"/>
                <w:sz w:val="24"/>
                <w:highlight w:val="none"/>
                <w14:textFill>
                  <w14:solidFill>
                    <w14:schemeClr w14:val="tx1"/>
                  </w14:solidFill>
                </w14:textFill>
              </w:rPr>
              <w:t>分</w:t>
            </w:r>
            <w:r>
              <w:rPr>
                <w:rFonts w:hint="default" w:ascii="Times New Roman" w:hAnsi="Times New Roman" w:eastAsia="宋体" w:cs="Times New Roman"/>
                <w:color w:val="000000" w:themeColor="text1"/>
                <w:sz w:val="24"/>
                <w:highlight w:val="none"/>
                <w:u w:val="single"/>
                <w:lang w:val="en-US" w:eastAsia="zh-CN"/>
                <w14:textFill>
                  <w14:solidFill>
                    <w14:schemeClr w14:val="tx1"/>
                  </w14:solidFill>
                </w14:textFill>
              </w:rPr>
              <w:t>9.31</w:t>
            </w:r>
            <w:r>
              <w:rPr>
                <w:rFonts w:hint="default" w:ascii="Times New Roman" w:hAnsi="Times New Roman" w:eastAsia="宋体" w:cs="Times New Roman"/>
                <w:color w:val="000000" w:themeColor="text1"/>
                <w:sz w:val="24"/>
                <w:highlight w:val="none"/>
                <w14:textFill>
                  <w14:solidFill>
                    <w14:schemeClr w14:val="tx1"/>
                  </w14:solidFill>
                </w14:textFill>
              </w:rPr>
              <w:t>秒</w:t>
            </w:r>
          </w:p>
        </w:tc>
      </w:tr>
      <w:tr w14:paraId="6C5CEB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9" w:hRule="atLeast"/>
          <w:jc w:val="center"/>
        </w:trPr>
        <w:tc>
          <w:tcPr>
            <w:tcW w:w="843" w:type="dxa"/>
            <w:noWrap w:val="0"/>
            <w:tcMar>
              <w:top w:w="16" w:type="dxa"/>
              <w:left w:w="16" w:type="dxa"/>
              <w:right w:w="16" w:type="dxa"/>
            </w:tcMar>
            <w:vAlign w:val="center"/>
          </w:tcPr>
          <w:p w14:paraId="0A686FD2">
            <w:pPr>
              <w:adjustRightInd w:val="0"/>
              <w:snapToGrid w:val="0"/>
              <w:jc w:val="center"/>
              <w:rPr>
                <w:rFonts w:hint="default" w:ascii="Times New Roman" w:hAnsi="Times New Roman" w:eastAsia="宋体" w:cs="Times New Roman"/>
                <w:b/>
                <w:bCs/>
                <w:color w:val="000000" w:themeColor="text1"/>
                <w:sz w:val="24"/>
                <w:highlight w:val="none"/>
                <w14:textFill>
                  <w14:solidFill>
                    <w14:schemeClr w14:val="tx1"/>
                  </w14:solidFill>
                </w14:textFill>
              </w:rPr>
            </w:pPr>
            <w:r>
              <w:rPr>
                <w:rFonts w:hint="default" w:ascii="Times New Roman" w:hAnsi="Times New Roman" w:eastAsia="宋体" w:cs="Times New Roman"/>
                <w:b/>
                <w:bCs/>
                <w:color w:val="000000" w:themeColor="text1"/>
                <w:sz w:val="24"/>
                <w:highlight w:val="none"/>
                <w14:textFill>
                  <w14:solidFill>
                    <w14:schemeClr w14:val="tx1"/>
                  </w14:solidFill>
                </w14:textFill>
              </w:rPr>
              <w:t>国民经济行业类别</w:t>
            </w:r>
          </w:p>
        </w:tc>
        <w:tc>
          <w:tcPr>
            <w:tcW w:w="2829" w:type="dxa"/>
            <w:noWrap w:val="0"/>
            <w:vAlign w:val="center"/>
          </w:tcPr>
          <w:p w14:paraId="77034EF6">
            <w:pPr>
              <w:keepNext w:val="0"/>
              <w:keepLines w:val="0"/>
              <w:widowControl/>
              <w:suppressLineNumbers w:val="0"/>
              <w:jc w:val="left"/>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C30</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8</w:t>
            </w:r>
            <w:r>
              <w:rPr>
                <w:rFonts w:hint="default" w:ascii="Times New Roman" w:hAnsi="Times New Roman" w:eastAsia="宋体" w:cs="Times New Roman"/>
                <w:color w:val="000000" w:themeColor="text1"/>
                <w:sz w:val="24"/>
                <w:highlight w:val="none"/>
                <w14:textFill>
                  <w14:solidFill>
                    <w14:schemeClr w14:val="tx1"/>
                  </w14:solidFill>
                </w14:textFill>
              </w:rPr>
              <w:t>9</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耐火陶瓷制品及</w:t>
            </w:r>
            <w:r>
              <w:rPr>
                <w:rFonts w:hint="default" w:ascii="Times New Roman" w:hAnsi="Times New Roman" w:eastAsia="宋体" w:cs="Times New Roman"/>
                <w:color w:val="000000" w:themeColor="text1"/>
                <w:sz w:val="24"/>
                <w:highlight w:val="none"/>
                <w14:textFill>
                  <w14:solidFill>
                    <w14:schemeClr w14:val="tx1"/>
                  </w14:solidFill>
                </w14:textFill>
              </w:rPr>
              <w:t>其他</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耐火材料</w:t>
            </w:r>
            <w:r>
              <w:rPr>
                <w:rFonts w:hint="default" w:ascii="Times New Roman" w:hAnsi="Times New Roman" w:eastAsia="宋体" w:cs="Times New Roman"/>
                <w:color w:val="000000" w:themeColor="text1"/>
                <w:sz w:val="24"/>
                <w:highlight w:val="none"/>
                <w14:textFill>
                  <w14:solidFill>
                    <w14:schemeClr w14:val="tx1"/>
                  </w14:solidFill>
                </w14:textFill>
              </w:rPr>
              <w:t>制造</w:t>
            </w:r>
            <w:r>
              <w:rPr>
                <w:rFonts w:hint="eastAsia" w:ascii="Times New Roman" w:hAnsi="Times New Roman"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N7723</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固体废物治理</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r>
              <w:rPr>
                <w:rFonts w:hint="eastAsia" w:cs="Times New Roman"/>
                <w:color w:val="000000" w:themeColor="text1"/>
                <w:sz w:val="24"/>
                <w:highlight w:val="none"/>
                <w:lang w:val="en-US" w:eastAsia="zh-CN"/>
                <w14:textFill>
                  <w14:solidFill>
                    <w14:schemeClr w14:val="tx1"/>
                  </w14:solidFill>
                </w14:textFill>
              </w:rPr>
              <w:t>D</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4430热力生产和供应</w:t>
            </w:r>
          </w:p>
        </w:tc>
        <w:tc>
          <w:tcPr>
            <w:tcW w:w="1996" w:type="dxa"/>
            <w:noWrap w:val="0"/>
            <w:vAlign w:val="center"/>
          </w:tcPr>
          <w:p w14:paraId="07E9AA61">
            <w:pPr>
              <w:adjustRightInd w:val="0"/>
              <w:snapToGrid w:val="0"/>
              <w:jc w:val="center"/>
              <w:rPr>
                <w:rFonts w:hint="default" w:ascii="Times New Roman" w:hAnsi="Times New Roman" w:eastAsia="宋体" w:cs="Times New Roman"/>
                <w:b/>
                <w:bCs/>
                <w:color w:val="000000" w:themeColor="text1"/>
                <w:sz w:val="24"/>
                <w:highlight w:val="none"/>
                <w14:textFill>
                  <w14:solidFill>
                    <w14:schemeClr w14:val="tx1"/>
                  </w14:solidFill>
                </w14:textFill>
              </w:rPr>
            </w:pPr>
            <w:bookmarkStart w:id="0" w:name="_Hlk49843745"/>
            <w:r>
              <w:rPr>
                <w:rFonts w:hint="default" w:ascii="Times New Roman" w:hAnsi="Times New Roman" w:eastAsia="宋体" w:cs="Times New Roman"/>
                <w:b/>
                <w:bCs/>
                <w:color w:val="000000" w:themeColor="text1"/>
                <w:sz w:val="24"/>
                <w:highlight w:val="none"/>
                <w14:textFill>
                  <w14:solidFill>
                    <w14:schemeClr w14:val="tx1"/>
                  </w14:solidFill>
                </w14:textFill>
              </w:rPr>
              <w:t>建设项目</w:t>
            </w:r>
          </w:p>
          <w:p w14:paraId="0084EA9F">
            <w:pPr>
              <w:adjustRightInd w:val="0"/>
              <w:snapToGrid w:val="0"/>
              <w:jc w:val="center"/>
              <w:rPr>
                <w:rFonts w:hint="default" w:ascii="Times New Roman" w:hAnsi="Times New Roman" w:eastAsia="宋体" w:cs="Times New Roman"/>
                <w:b/>
                <w:bCs/>
                <w:color w:val="000000" w:themeColor="text1"/>
                <w:sz w:val="24"/>
                <w:highlight w:val="none"/>
                <w14:textFill>
                  <w14:solidFill>
                    <w14:schemeClr w14:val="tx1"/>
                  </w14:solidFill>
                </w14:textFill>
              </w:rPr>
            </w:pPr>
            <w:r>
              <w:rPr>
                <w:rFonts w:hint="default" w:ascii="Times New Roman" w:hAnsi="Times New Roman" w:eastAsia="宋体" w:cs="Times New Roman"/>
                <w:b/>
                <w:bCs/>
                <w:color w:val="000000" w:themeColor="text1"/>
                <w:sz w:val="24"/>
                <w:highlight w:val="none"/>
                <w14:textFill>
                  <w14:solidFill>
                    <w14:schemeClr w14:val="tx1"/>
                  </w14:solidFill>
                </w14:textFill>
              </w:rPr>
              <w:t>行业类别</w:t>
            </w:r>
            <w:bookmarkEnd w:id="0"/>
          </w:p>
        </w:tc>
        <w:tc>
          <w:tcPr>
            <w:tcW w:w="3202" w:type="dxa"/>
            <w:noWrap w:val="0"/>
            <w:vAlign w:val="center"/>
          </w:tcPr>
          <w:p w14:paraId="780E8828">
            <w:pPr>
              <w:keepNext w:val="0"/>
              <w:keepLines w:val="0"/>
              <w:widowControl/>
              <w:suppressLineNumbers w:val="0"/>
              <w:jc w:val="left"/>
              <w:rPr>
                <w:rFonts w:hint="default" w:ascii="Times New Roman" w:hAnsi="Times New Roman" w:eastAsia="宋体" w:cs="Times New Roman"/>
                <w:color w:val="000000" w:themeColor="text1"/>
                <w:sz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四十七、生态保护和环境治理业</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103</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一般工业固体废物（含污水处理污泥）、建筑施工废弃物处置及综合利用（其他）四十一、电力、热力生产和供应业91、热力生产和供应工程（包括建设单位自建自用的供热工程）</w:t>
            </w:r>
          </w:p>
        </w:tc>
      </w:tr>
      <w:tr w14:paraId="4629D2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442" w:hRule="atLeast"/>
          <w:jc w:val="center"/>
        </w:trPr>
        <w:tc>
          <w:tcPr>
            <w:tcW w:w="843" w:type="dxa"/>
            <w:noWrap w:val="0"/>
            <w:tcMar>
              <w:top w:w="16" w:type="dxa"/>
              <w:left w:w="16" w:type="dxa"/>
              <w:right w:w="16" w:type="dxa"/>
            </w:tcMar>
            <w:vAlign w:val="center"/>
          </w:tcPr>
          <w:p w14:paraId="1BF75D47">
            <w:pPr>
              <w:adjustRightInd w:val="0"/>
              <w:snapToGrid w:val="0"/>
              <w:jc w:val="center"/>
              <w:rPr>
                <w:rFonts w:hint="default" w:ascii="Times New Roman" w:hAnsi="Times New Roman" w:eastAsia="宋体" w:cs="Times New Roman"/>
                <w:b/>
                <w:bCs/>
                <w:color w:val="000000" w:themeColor="text1"/>
                <w:sz w:val="24"/>
                <w:highlight w:val="none"/>
                <w14:textFill>
                  <w14:solidFill>
                    <w14:schemeClr w14:val="tx1"/>
                  </w14:solidFill>
                </w14:textFill>
              </w:rPr>
            </w:pPr>
            <w:r>
              <w:rPr>
                <w:rFonts w:hint="default" w:ascii="Times New Roman" w:hAnsi="Times New Roman" w:eastAsia="宋体" w:cs="Times New Roman"/>
                <w:b/>
                <w:bCs/>
                <w:color w:val="000000" w:themeColor="text1"/>
                <w:sz w:val="24"/>
                <w:highlight w:val="none"/>
                <w14:textFill>
                  <w14:solidFill>
                    <w14:schemeClr w14:val="tx1"/>
                  </w14:solidFill>
                </w14:textFill>
              </w:rPr>
              <w:t>建设</w:t>
            </w:r>
          </w:p>
          <w:p w14:paraId="0865B45A">
            <w:pPr>
              <w:adjustRightInd w:val="0"/>
              <w:snapToGrid w:val="0"/>
              <w:jc w:val="center"/>
              <w:rPr>
                <w:rFonts w:hint="default" w:ascii="Times New Roman" w:hAnsi="Times New Roman" w:eastAsia="宋体" w:cs="Times New Roman"/>
                <w:b/>
                <w:bCs/>
                <w:color w:val="000000" w:themeColor="text1"/>
                <w:sz w:val="24"/>
                <w:highlight w:val="none"/>
                <w14:textFill>
                  <w14:solidFill>
                    <w14:schemeClr w14:val="tx1"/>
                  </w14:solidFill>
                </w14:textFill>
              </w:rPr>
            </w:pPr>
            <w:r>
              <w:rPr>
                <w:rFonts w:hint="default" w:ascii="Times New Roman" w:hAnsi="Times New Roman" w:eastAsia="宋体" w:cs="Times New Roman"/>
                <w:b/>
                <w:bCs/>
                <w:color w:val="000000" w:themeColor="text1"/>
                <w:sz w:val="24"/>
                <w:highlight w:val="none"/>
                <w14:textFill>
                  <w14:solidFill>
                    <w14:schemeClr w14:val="tx1"/>
                  </w14:solidFill>
                </w14:textFill>
              </w:rPr>
              <w:t>性质</w:t>
            </w:r>
          </w:p>
        </w:tc>
        <w:tc>
          <w:tcPr>
            <w:tcW w:w="2829" w:type="dxa"/>
            <w:noWrap w:val="0"/>
            <w:vAlign w:val="center"/>
          </w:tcPr>
          <w:p w14:paraId="03E3C5E5">
            <w:pPr>
              <w:jc w:val="left"/>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kern w:val="0"/>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新建（迁建）</w:t>
            </w:r>
          </w:p>
          <w:p w14:paraId="7A5B10EC">
            <w:pPr>
              <w:jc w:val="left"/>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kern w:val="0"/>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改建</w:t>
            </w:r>
          </w:p>
          <w:p w14:paraId="54DF6A28">
            <w:pPr>
              <w:jc w:val="left"/>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kern w:val="0"/>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扩建</w:t>
            </w:r>
          </w:p>
          <w:p w14:paraId="69216161">
            <w:pPr>
              <w:jc w:val="left"/>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kern w:val="0"/>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技术改造</w:t>
            </w:r>
          </w:p>
        </w:tc>
        <w:tc>
          <w:tcPr>
            <w:tcW w:w="1996" w:type="dxa"/>
            <w:noWrap w:val="0"/>
            <w:vAlign w:val="center"/>
          </w:tcPr>
          <w:p w14:paraId="13A3A27F">
            <w:pPr>
              <w:adjustRightInd w:val="0"/>
              <w:snapToGrid w:val="0"/>
              <w:jc w:val="center"/>
              <w:rPr>
                <w:rFonts w:hint="default" w:ascii="Times New Roman" w:hAnsi="Times New Roman" w:eastAsia="宋体" w:cs="Times New Roman"/>
                <w:b/>
                <w:bCs/>
                <w:color w:val="000000" w:themeColor="text1"/>
                <w:sz w:val="24"/>
                <w:highlight w:val="none"/>
                <w14:textFill>
                  <w14:solidFill>
                    <w14:schemeClr w14:val="tx1"/>
                  </w14:solidFill>
                </w14:textFill>
              </w:rPr>
            </w:pPr>
            <w:r>
              <w:rPr>
                <w:rFonts w:hint="default" w:ascii="Times New Roman" w:hAnsi="Times New Roman" w:eastAsia="宋体" w:cs="Times New Roman"/>
                <w:b/>
                <w:bCs/>
                <w:color w:val="000000" w:themeColor="text1"/>
                <w:sz w:val="24"/>
                <w:highlight w:val="none"/>
                <w14:textFill>
                  <w14:solidFill>
                    <w14:schemeClr w14:val="tx1"/>
                  </w14:solidFill>
                </w14:textFill>
              </w:rPr>
              <w:t>建设项目</w:t>
            </w:r>
          </w:p>
          <w:p w14:paraId="1B39E46B">
            <w:pPr>
              <w:adjustRightInd w:val="0"/>
              <w:snapToGrid w:val="0"/>
              <w:jc w:val="center"/>
              <w:rPr>
                <w:rFonts w:hint="default" w:ascii="Times New Roman" w:hAnsi="Times New Roman" w:eastAsia="宋体" w:cs="Times New Roman"/>
                <w:b/>
                <w:bCs/>
                <w:color w:val="000000" w:themeColor="text1"/>
                <w:sz w:val="24"/>
                <w:highlight w:val="none"/>
                <w14:textFill>
                  <w14:solidFill>
                    <w14:schemeClr w14:val="tx1"/>
                  </w14:solidFill>
                </w14:textFill>
              </w:rPr>
            </w:pPr>
            <w:r>
              <w:rPr>
                <w:rFonts w:hint="default" w:ascii="Times New Roman" w:hAnsi="Times New Roman" w:eastAsia="宋体" w:cs="Times New Roman"/>
                <w:b/>
                <w:bCs/>
                <w:color w:val="000000" w:themeColor="text1"/>
                <w:sz w:val="24"/>
                <w:highlight w:val="none"/>
                <w14:textFill>
                  <w14:solidFill>
                    <w14:schemeClr w14:val="tx1"/>
                  </w14:solidFill>
                </w14:textFill>
              </w:rPr>
              <w:t>申报情形</w:t>
            </w:r>
          </w:p>
        </w:tc>
        <w:tc>
          <w:tcPr>
            <w:tcW w:w="3202" w:type="dxa"/>
            <w:noWrap w:val="0"/>
            <w:vAlign w:val="center"/>
          </w:tcPr>
          <w:p w14:paraId="701A5751">
            <w:pPr>
              <w:jc w:val="left"/>
              <w:rPr>
                <w:rFonts w:hint="default" w:ascii="Times New Roman" w:hAnsi="Times New Roman" w:eastAsia="宋体" w:cs="Times New Roman"/>
                <w:color w:val="000000" w:themeColor="text1"/>
                <w:sz w:val="24"/>
                <w:highlight w:val="none"/>
                <w:lang w:eastAsia="zh-CN"/>
                <w14:textFill>
                  <w14:solidFill>
                    <w14:schemeClr w14:val="tx1"/>
                  </w14:solidFill>
                </w14:textFill>
              </w:rPr>
            </w:pPr>
            <w:r>
              <w:rPr>
                <w:rFonts w:hint="default" w:ascii="Times New Roman" w:hAnsi="Times New Roman" w:eastAsia="宋体" w:cs="Times New Roman"/>
                <w:color w:val="000000" w:themeColor="text1"/>
                <w:kern w:val="0"/>
                <w:sz w:val="24"/>
                <w:highlight w:val="none"/>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首次申报项目</w:t>
            </w:r>
          </w:p>
          <w:p w14:paraId="47608D09">
            <w:pPr>
              <w:jc w:val="left"/>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kern w:val="0"/>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不予批准后再次申报项目</w:t>
            </w:r>
          </w:p>
          <w:p w14:paraId="330BB8B7">
            <w:pPr>
              <w:jc w:val="left"/>
              <w:rPr>
                <w:rFonts w:hint="default" w:ascii="Times New Roman" w:hAnsi="Times New Roman" w:eastAsia="宋体" w:cs="Times New Roman"/>
                <w:color w:val="000000" w:themeColor="text1"/>
                <w:sz w:val="24"/>
                <w:highlight w:val="none"/>
                <w:lang w:eastAsia="zh-CN"/>
                <w14:textFill>
                  <w14:solidFill>
                    <w14:schemeClr w14:val="tx1"/>
                  </w14:solidFill>
                </w14:textFill>
              </w:rPr>
            </w:pPr>
            <w:r>
              <w:rPr>
                <w:rFonts w:hint="default" w:ascii="Times New Roman" w:hAnsi="Times New Roman" w:eastAsia="宋体" w:cs="Times New Roman"/>
                <w:color w:val="000000" w:themeColor="text1"/>
                <w:kern w:val="0"/>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超五年重新审核项目</w:t>
            </w:r>
          </w:p>
          <w:p w14:paraId="6504470A">
            <w:pPr>
              <w:jc w:val="left"/>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kern w:val="0"/>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重大变动重新报批项目</w:t>
            </w:r>
          </w:p>
        </w:tc>
      </w:tr>
      <w:tr w14:paraId="1A74F1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37" w:hRule="atLeast"/>
          <w:jc w:val="center"/>
        </w:trPr>
        <w:tc>
          <w:tcPr>
            <w:tcW w:w="843" w:type="dxa"/>
            <w:noWrap w:val="0"/>
            <w:tcMar>
              <w:top w:w="16" w:type="dxa"/>
              <w:left w:w="16" w:type="dxa"/>
              <w:right w:w="16" w:type="dxa"/>
            </w:tcMar>
            <w:vAlign w:val="center"/>
          </w:tcPr>
          <w:p w14:paraId="63AD7FBB">
            <w:pPr>
              <w:adjustRightInd w:val="0"/>
              <w:snapToGrid w:val="0"/>
              <w:spacing w:line="240" w:lineRule="exact"/>
              <w:rPr>
                <w:rFonts w:hint="default" w:ascii="Times New Roman" w:hAnsi="Times New Roman" w:eastAsia="宋体" w:cs="Times New Roman"/>
                <w:b/>
                <w:bCs/>
                <w:color w:val="000000" w:themeColor="text1"/>
                <w:sz w:val="24"/>
                <w:highlight w:val="none"/>
                <w14:textFill>
                  <w14:solidFill>
                    <w14:schemeClr w14:val="tx1"/>
                  </w14:solidFill>
                </w14:textFill>
              </w:rPr>
            </w:pPr>
            <w:r>
              <w:rPr>
                <w:rFonts w:hint="default" w:ascii="Times New Roman" w:hAnsi="Times New Roman" w:eastAsia="宋体" w:cs="Times New Roman"/>
                <w:b/>
                <w:bCs/>
                <w:color w:val="000000" w:themeColor="text1"/>
                <w:sz w:val="24"/>
                <w:highlight w:val="none"/>
                <w14:textFill>
                  <w14:solidFill>
                    <w14:schemeClr w14:val="tx1"/>
                  </w14:solidFill>
                </w14:textFill>
              </w:rPr>
              <w:t>项目审批（核准/备案）部门</w:t>
            </w:r>
          </w:p>
          <w:p w14:paraId="3EE61B7F">
            <w:pPr>
              <w:adjustRightInd w:val="0"/>
              <w:snapToGrid w:val="0"/>
              <w:spacing w:line="240" w:lineRule="exact"/>
              <w:jc w:val="center"/>
              <w:rPr>
                <w:rFonts w:hint="default" w:ascii="Times New Roman" w:hAnsi="Times New Roman" w:eastAsia="宋体" w:cs="Times New Roman"/>
                <w:b/>
                <w:bCs/>
                <w:color w:val="000000" w:themeColor="text1"/>
                <w:sz w:val="24"/>
                <w:highlight w:val="none"/>
                <w14:textFill>
                  <w14:solidFill>
                    <w14:schemeClr w14:val="tx1"/>
                  </w14:solidFill>
                </w14:textFill>
              </w:rPr>
            </w:pPr>
            <w:r>
              <w:rPr>
                <w:rFonts w:hint="default" w:ascii="Times New Roman" w:hAnsi="Times New Roman" w:eastAsia="宋体" w:cs="Times New Roman"/>
                <w:b/>
                <w:bCs/>
                <w:color w:val="000000" w:themeColor="text1"/>
                <w:sz w:val="24"/>
                <w:highlight w:val="none"/>
                <w14:textFill>
                  <w14:solidFill>
                    <w14:schemeClr w14:val="tx1"/>
                  </w14:solidFill>
                </w14:textFill>
              </w:rPr>
              <w:t>（选填）</w:t>
            </w:r>
          </w:p>
        </w:tc>
        <w:tc>
          <w:tcPr>
            <w:tcW w:w="2829" w:type="dxa"/>
            <w:noWrap w:val="0"/>
            <w:vAlign w:val="center"/>
          </w:tcPr>
          <w:p w14:paraId="30880E49">
            <w:pPr>
              <w:adjustRightInd w:val="0"/>
              <w:snapToGrid w:val="0"/>
              <w:jc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准格尔旗</w:t>
            </w:r>
            <w:r>
              <w:rPr>
                <w:rFonts w:hint="default" w:ascii="Times New Roman" w:hAnsi="Times New Roman" w:eastAsia="宋体" w:cs="Times New Roman"/>
                <w:color w:val="000000" w:themeColor="text1"/>
                <w:sz w:val="24"/>
                <w:highlight w:val="none"/>
                <w14:textFill>
                  <w14:solidFill>
                    <w14:schemeClr w14:val="tx1"/>
                  </w14:solidFill>
                </w14:textFill>
              </w:rPr>
              <w:t>发展</w:t>
            </w:r>
          </w:p>
          <w:p w14:paraId="618DBD92">
            <w:pPr>
              <w:adjustRightInd w:val="0"/>
              <w:snapToGrid w:val="0"/>
              <w:jc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和改革委员会</w:t>
            </w:r>
          </w:p>
        </w:tc>
        <w:tc>
          <w:tcPr>
            <w:tcW w:w="1996" w:type="dxa"/>
            <w:noWrap w:val="0"/>
            <w:vAlign w:val="center"/>
          </w:tcPr>
          <w:p w14:paraId="0450916C">
            <w:pPr>
              <w:adjustRightInd w:val="0"/>
              <w:snapToGrid w:val="0"/>
              <w:jc w:val="center"/>
              <w:rPr>
                <w:rFonts w:hint="default" w:ascii="Times New Roman" w:hAnsi="Times New Roman" w:eastAsia="宋体" w:cs="Times New Roman"/>
                <w:b/>
                <w:bCs/>
                <w:color w:val="000000" w:themeColor="text1"/>
                <w:sz w:val="24"/>
                <w:highlight w:val="none"/>
                <w14:textFill>
                  <w14:solidFill>
                    <w14:schemeClr w14:val="tx1"/>
                  </w14:solidFill>
                </w14:textFill>
              </w:rPr>
            </w:pPr>
            <w:r>
              <w:rPr>
                <w:rFonts w:hint="default" w:ascii="Times New Roman" w:hAnsi="Times New Roman" w:eastAsia="宋体" w:cs="Times New Roman"/>
                <w:b/>
                <w:bCs/>
                <w:color w:val="000000" w:themeColor="text1"/>
                <w:sz w:val="24"/>
                <w:highlight w:val="none"/>
                <w14:textFill>
                  <w14:solidFill>
                    <w14:schemeClr w14:val="tx1"/>
                  </w14:solidFill>
                </w14:textFill>
              </w:rPr>
              <w:t>项目审批（核准/</w:t>
            </w:r>
          </w:p>
          <w:p w14:paraId="46530B17">
            <w:pPr>
              <w:adjustRightInd w:val="0"/>
              <w:snapToGrid w:val="0"/>
              <w:jc w:val="center"/>
              <w:rPr>
                <w:rFonts w:hint="default" w:ascii="Times New Roman" w:hAnsi="Times New Roman" w:eastAsia="宋体" w:cs="Times New Roman"/>
                <w:b/>
                <w:bCs/>
                <w:color w:val="000000" w:themeColor="text1"/>
                <w:sz w:val="24"/>
                <w:highlight w:val="none"/>
                <w14:textFill>
                  <w14:solidFill>
                    <w14:schemeClr w14:val="tx1"/>
                  </w14:solidFill>
                </w14:textFill>
              </w:rPr>
            </w:pPr>
            <w:r>
              <w:rPr>
                <w:rFonts w:hint="default" w:ascii="Times New Roman" w:hAnsi="Times New Roman" w:eastAsia="宋体" w:cs="Times New Roman"/>
                <w:b/>
                <w:bCs/>
                <w:color w:val="000000" w:themeColor="text1"/>
                <w:sz w:val="24"/>
                <w:highlight w:val="none"/>
                <w14:textFill>
                  <w14:solidFill>
                    <w14:schemeClr w14:val="tx1"/>
                  </w14:solidFill>
                </w14:textFill>
              </w:rPr>
              <w:t>备案）文号（选填）</w:t>
            </w:r>
          </w:p>
        </w:tc>
        <w:tc>
          <w:tcPr>
            <w:tcW w:w="3202" w:type="dxa"/>
            <w:noWrap w:val="0"/>
            <w:vAlign w:val="center"/>
          </w:tcPr>
          <w:p w14:paraId="7CE1F294">
            <w:pPr>
              <w:adjustRightInd w:val="0"/>
              <w:snapToGrid w:val="0"/>
              <w:jc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2509-150622-04-05-154090</w:t>
            </w:r>
          </w:p>
        </w:tc>
      </w:tr>
      <w:tr w14:paraId="3A4033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843" w:type="dxa"/>
            <w:noWrap w:val="0"/>
            <w:tcMar>
              <w:top w:w="16" w:type="dxa"/>
              <w:left w:w="16" w:type="dxa"/>
              <w:right w:w="16" w:type="dxa"/>
            </w:tcMar>
            <w:vAlign w:val="center"/>
          </w:tcPr>
          <w:p w14:paraId="0D078221">
            <w:pPr>
              <w:adjustRightInd w:val="0"/>
              <w:snapToGrid w:val="0"/>
              <w:jc w:val="center"/>
              <w:rPr>
                <w:rFonts w:hint="default" w:ascii="Times New Roman" w:hAnsi="Times New Roman" w:eastAsia="宋体" w:cs="Times New Roman"/>
                <w:b/>
                <w:bCs/>
                <w:color w:val="000000" w:themeColor="text1"/>
                <w:sz w:val="24"/>
                <w:highlight w:val="none"/>
                <w14:textFill>
                  <w14:solidFill>
                    <w14:schemeClr w14:val="tx1"/>
                  </w14:solidFill>
                </w14:textFill>
              </w:rPr>
            </w:pPr>
            <w:r>
              <w:rPr>
                <w:rFonts w:hint="default" w:ascii="Times New Roman" w:hAnsi="Times New Roman" w:eastAsia="宋体" w:cs="Times New Roman"/>
                <w:b/>
                <w:bCs/>
                <w:color w:val="000000" w:themeColor="text1"/>
                <w:sz w:val="24"/>
                <w:highlight w:val="none"/>
                <w14:textFill>
                  <w14:solidFill>
                    <w14:schemeClr w14:val="tx1"/>
                  </w14:solidFill>
                </w14:textFill>
              </w:rPr>
              <w:t>总投资（万元）</w:t>
            </w:r>
          </w:p>
        </w:tc>
        <w:tc>
          <w:tcPr>
            <w:tcW w:w="2829" w:type="dxa"/>
            <w:noWrap w:val="0"/>
            <w:vAlign w:val="center"/>
          </w:tcPr>
          <w:p w14:paraId="2BE120E5">
            <w:pPr>
              <w:adjustRightInd w:val="0"/>
              <w:snapToGrid w:val="0"/>
              <w:jc w:val="center"/>
              <w:rPr>
                <w:rFonts w:hint="default" w:ascii="Times New Roman" w:hAnsi="Times New Roman" w:eastAsia="宋体" w:cs="Times New Roman"/>
                <w:color w:val="000000" w:themeColor="text1"/>
                <w:sz w:val="24"/>
                <w:highlight w:val="none"/>
                <w:lang w:val="en-US"/>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13014.3</w:t>
            </w:r>
          </w:p>
        </w:tc>
        <w:tc>
          <w:tcPr>
            <w:tcW w:w="1996" w:type="dxa"/>
            <w:noWrap w:val="0"/>
            <w:tcMar>
              <w:top w:w="16" w:type="dxa"/>
              <w:left w:w="16" w:type="dxa"/>
              <w:right w:w="16" w:type="dxa"/>
            </w:tcMar>
            <w:vAlign w:val="center"/>
          </w:tcPr>
          <w:p w14:paraId="1E651C29">
            <w:pPr>
              <w:adjustRightInd w:val="0"/>
              <w:snapToGrid w:val="0"/>
              <w:jc w:val="center"/>
              <w:rPr>
                <w:rFonts w:hint="default" w:ascii="Times New Roman" w:hAnsi="Times New Roman" w:eastAsia="宋体" w:cs="Times New Roman"/>
                <w:b/>
                <w:bCs/>
                <w:color w:val="000000" w:themeColor="text1"/>
                <w:sz w:val="24"/>
                <w:highlight w:val="none"/>
                <w14:textFill>
                  <w14:solidFill>
                    <w14:schemeClr w14:val="tx1"/>
                  </w14:solidFill>
                </w14:textFill>
              </w:rPr>
            </w:pPr>
            <w:r>
              <w:rPr>
                <w:rFonts w:hint="default" w:ascii="Times New Roman" w:hAnsi="Times New Roman" w:eastAsia="宋体" w:cs="Times New Roman"/>
                <w:b/>
                <w:bCs/>
                <w:color w:val="000000" w:themeColor="text1"/>
                <w:sz w:val="24"/>
                <w:highlight w:val="none"/>
                <w14:textFill>
                  <w14:solidFill>
                    <w14:schemeClr w14:val="tx1"/>
                  </w14:solidFill>
                </w14:textFill>
              </w:rPr>
              <w:t>环保投资（万元）</w:t>
            </w:r>
          </w:p>
        </w:tc>
        <w:tc>
          <w:tcPr>
            <w:tcW w:w="3202" w:type="dxa"/>
            <w:noWrap w:val="0"/>
            <w:vAlign w:val="center"/>
          </w:tcPr>
          <w:p w14:paraId="48AA0E0B">
            <w:pPr>
              <w:adjustRightInd w:val="0"/>
              <w:snapToGrid w:val="0"/>
              <w:jc w:val="cente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655.5</w:t>
            </w:r>
          </w:p>
        </w:tc>
      </w:tr>
      <w:tr w14:paraId="5D51FE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00" w:hRule="atLeast"/>
          <w:jc w:val="center"/>
        </w:trPr>
        <w:tc>
          <w:tcPr>
            <w:tcW w:w="843" w:type="dxa"/>
            <w:noWrap w:val="0"/>
            <w:tcMar>
              <w:top w:w="16" w:type="dxa"/>
              <w:left w:w="16" w:type="dxa"/>
              <w:right w:w="16" w:type="dxa"/>
            </w:tcMar>
            <w:vAlign w:val="center"/>
          </w:tcPr>
          <w:p w14:paraId="7CDB8C91">
            <w:pPr>
              <w:adjustRightInd w:val="0"/>
              <w:snapToGrid w:val="0"/>
              <w:jc w:val="center"/>
              <w:rPr>
                <w:rFonts w:hint="default" w:ascii="Times New Roman" w:hAnsi="Times New Roman" w:eastAsia="宋体" w:cs="Times New Roman"/>
                <w:b/>
                <w:bCs/>
                <w:color w:val="000000" w:themeColor="text1"/>
                <w:sz w:val="24"/>
                <w:highlight w:val="none"/>
                <w14:textFill>
                  <w14:solidFill>
                    <w14:schemeClr w14:val="tx1"/>
                  </w14:solidFill>
                </w14:textFill>
              </w:rPr>
            </w:pPr>
            <w:r>
              <w:rPr>
                <w:rFonts w:hint="default" w:ascii="Times New Roman" w:hAnsi="Times New Roman" w:eastAsia="宋体" w:cs="Times New Roman"/>
                <w:b/>
                <w:bCs/>
                <w:color w:val="000000" w:themeColor="text1"/>
                <w:sz w:val="24"/>
                <w:highlight w:val="none"/>
                <w14:textFill>
                  <w14:solidFill>
                    <w14:schemeClr w14:val="tx1"/>
                  </w14:solidFill>
                </w14:textFill>
              </w:rPr>
              <w:t>环保投资占比（%）</w:t>
            </w:r>
          </w:p>
        </w:tc>
        <w:tc>
          <w:tcPr>
            <w:tcW w:w="2829" w:type="dxa"/>
            <w:noWrap w:val="0"/>
            <w:vAlign w:val="center"/>
          </w:tcPr>
          <w:p w14:paraId="629323C8">
            <w:pPr>
              <w:adjustRightInd w:val="0"/>
              <w:snapToGrid w:val="0"/>
              <w:jc w:val="cente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5.04</w:t>
            </w:r>
          </w:p>
        </w:tc>
        <w:tc>
          <w:tcPr>
            <w:tcW w:w="1996" w:type="dxa"/>
            <w:noWrap w:val="0"/>
            <w:tcMar>
              <w:top w:w="16" w:type="dxa"/>
              <w:left w:w="16" w:type="dxa"/>
              <w:right w:w="16" w:type="dxa"/>
            </w:tcMar>
            <w:vAlign w:val="center"/>
          </w:tcPr>
          <w:p w14:paraId="1529A5E7">
            <w:pPr>
              <w:adjustRightInd w:val="0"/>
              <w:snapToGrid w:val="0"/>
              <w:jc w:val="center"/>
              <w:rPr>
                <w:rFonts w:hint="default" w:ascii="Times New Roman" w:hAnsi="Times New Roman" w:eastAsia="宋体" w:cs="Times New Roman"/>
                <w:b/>
                <w:bCs/>
                <w:color w:val="000000" w:themeColor="text1"/>
                <w:sz w:val="24"/>
                <w:highlight w:val="none"/>
                <w14:textFill>
                  <w14:solidFill>
                    <w14:schemeClr w14:val="tx1"/>
                  </w14:solidFill>
                </w14:textFill>
              </w:rPr>
            </w:pPr>
            <w:r>
              <w:rPr>
                <w:rFonts w:hint="default" w:ascii="Times New Roman" w:hAnsi="Times New Roman" w:eastAsia="宋体" w:cs="Times New Roman"/>
                <w:b/>
                <w:bCs/>
                <w:color w:val="000000" w:themeColor="text1"/>
                <w:sz w:val="24"/>
                <w:highlight w:val="none"/>
                <w14:textFill>
                  <w14:solidFill>
                    <w14:schemeClr w14:val="tx1"/>
                  </w14:solidFill>
                </w14:textFill>
              </w:rPr>
              <w:t>施工工期</w:t>
            </w:r>
          </w:p>
        </w:tc>
        <w:tc>
          <w:tcPr>
            <w:tcW w:w="3202" w:type="dxa"/>
            <w:noWrap w:val="0"/>
            <w:vAlign w:val="center"/>
          </w:tcPr>
          <w:p w14:paraId="48F491EB">
            <w:pPr>
              <w:adjustRightInd w:val="0"/>
              <w:snapToGrid w:val="0"/>
              <w:jc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24</w:t>
            </w:r>
            <w:r>
              <w:rPr>
                <w:rFonts w:hint="default" w:ascii="Times New Roman" w:hAnsi="Times New Roman" w:eastAsia="宋体" w:cs="Times New Roman"/>
                <w:color w:val="000000" w:themeColor="text1"/>
                <w:sz w:val="24"/>
                <w:highlight w:val="none"/>
                <w14:textFill>
                  <w14:solidFill>
                    <w14:schemeClr w14:val="tx1"/>
                  </w14:solidFill>
                </w14:textFill>
              </w:rPr>
              <w:t>个月</w:t>
            </w:r>
          </w:p>
        </w:tc>
      </w:tr>
      <w:tr w14:paraId="59D366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08" w:hRule="atLeast"/>
          <w:jc w:val="center"/>
        </w:trPr>
        <w:tc>
          <w:tcPr>
            <w:tcW w:w="843" w:type="dxa"/>
            <w:noWrap w:val="0"/>
            <w:tcMar>
              <w:top w:w="16" w:type="dxa"/>
              <w:left w:w="16" w:type="dxa"/>
              <w:right w:w="16" w:type="dxa"/>
            </w:tcMar>
            <w:vAlign w:val="center"/>
          </w:tcPr>
          <w:p w14:paraId="188BC55F">
            <w:pPr>
              <w:adjustRightInd w:val="0"/>
              <w:snapToGrid w:val="0"/>
              <w:jc w:val="center"/>
              <w:rPr>
                <w:rFonts w:hint="default" w:ascii="Times New Roman" w:hAnsi="Times New Roman" w:eastAsia="宋体" w:cs="Times New Roman"/>
                <w:b/>
                <w:bCs/>
                <w:color w:val="000000" w:themeColor="text1"/>
                <w:sz w:val="24"/>
                <w:highlight w:val="none"/>
                <w14:textFill>
                  <w14:solidFill>
                    <w14:schemeClr w14:val="tx1"/>
                  </w14:solidFill>
                </w14:textFill>
              </w:rPr>
            </w:pPr>
            <w:r>
              <w:rPr>
                <w:rFonts w:hint="default" w:ascii="Times New Roman" w:hAnsi="Times New Roman" w:eastAsia="宋体" w:cs="Times New Roman"/>
                <w:b/>
                <w:bCs/>
                <w:color w:val="000000" w:themeColor="text1"/>
                <w:sz w:val="24"/>
                <w:highlight w:val="none"/>
                <w14:textFill>
                  <w14:solidFill>
                    <w14:schemeClr w14:val="tx1"/>
                  </w14:solidFill>
                </w14:textFill>
              </w:rPr>
              <w:t>是否开工建设</w:t>
            </w:r>
          </w:p>
        </w:tc>
        <w:tc>
          <w:tcPr>
            <w:tcW w:w="2829" w:type="dxa"/>
            <w:noWrap w:val="0"/>
            <w:vAlign w:val="center"/>
          </w:tcPr>
          <w:p w14:paraId="2819E57F">
            <w:pPr>
              <w:adjustRightInd w:val="0"/>
              <w:snapToGrid w:val="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kern w:val="0"/>
                <w:sz w:val="24"/>
                <w:highlight w:val="none"/>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否</w:t>
            </w:r>
          </w:p>
          <w:p w14:paraId="49D9D7E6">
            <w:pPr>
              <w:adjustRightInd w:val="0"/>
              <w:snapToGrid w:val="0"/>
              <w:rPr>
                <w:rFonts w:hint="default" w:ascii="Times New Roman" w:hAnsi="Times New Roman" w:eastAsia="宋体" w:cs="Times New Roman"/>
                <w:color w:val="000000" w:themeColor="text1"/>
                <w:sz w:val="24"/>
                <w:highlight w:val="none"/>
                <w:lang w:eastAsia="zh-CN"/>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□是：</w:t>
            </w:r>
          </w:p>
        </w:tc>
        <w:tc>
          <w:tcPr>
            <w:tcW w:w="1996" w:type="dxa"/>
            <w:noWrap w:val="0"/>
            <w:tcMar>
              <w:top w:w="16" w:type="dxa"/>
              <w:left w:w="16" w:type="dxa"/>
              <w:right w:w="16" w:type="dxa"/>
            </w:tcMar>
            <w:vAlign w:val="center"/>
          </w:tcPr>
          <w:p w14:paraId="5452E649">
            <w:pPr>
              <w:adjustRightInd w:val="0"/>
              <w:snapToGrid w:val="0"/>
              <w:jc w:val="center"/>
              <w:rPr>
                <w:rFonts w:hint="default" w:ascii="Times New Roman" w:hAnsi="Times New Roman" w:eastAsia="宋体" w:cs="Times New Roman"/>
                <w:b/>
                <w:bCs/>
                <w:color w:val="000000" w:themeColor="text1"/>
                <w:sz w:val="24"/>
                <w:highlight w:val="none"/>
                <w14:textFill>
                  <w14:solidFill>
                    <w14:schemeClr w14:val="tx1"/>
                  </w14:solidFill>
                </w14:textFill>
              </w:rPr>
            </w:pPr>
            <w:r>
              <w:rPr>
                <w:rFonts w:hint="default" w:ascii="Times New Roman" w:hAnsi="Times New Roman" w:eastAsia="宋体" w:cs="Times New Roman"/>
                <w:b/>
                <w:bCs/>
                <w:color w:val="000000" w:themeColor="text1"/>
                <w:sz w:val="24"/>
                <w:highlight w:val="none"/>
                <w14:textFill>
                  <w14:solidFill>
                    <w14:schemeClr w14:val="tx1"/>
                  </w14:solidFill>
                </w14:textFill>
              </w:rPr>
              <w:t>用地（用海）</w:t>
            </w:r>
          </w:p>
          <w:p w14:paraId="410C74CF">
            <w:pPr>
              <w:adjustRightInd w:val="0"/>
              <w:snapToGrid w:val="0"/>
              <w:jc w:val="center"/>
              <w:rPr>
                <w:rFonts w:hint="default" w:ascii="Times New Roman" w:hAnsi="Times New Roman" w:eastAsia="宋体" w:cs="Times New Roman"/>
                <w:b/>
                <w:bCs/>
                <w:color w:val="000000" w:themeColor="text1"/>
                <w:sz w:val="24"/>
                <w:highlight w:val="none"/>
                <w14:textFill>
                  <w14:solidFill>
                    <w14:schemeClr w14:val="tx1"/>
                  </w14:solidFill>
                </w14:textFill>
              </w:rPr>
            </w:pPr>
            <w:r>
              <w:rPr>
                <w:rFonts w:hint="default" w:ascii="Times New Roman" w:hAnsi="Times New Roman" w:eastAsia="宋体" w:cs="Times New Roman"/>
                <w:b/>
                <w:bCs/>
                <w:color w:val="000000" w:themeColor="text1"/>
                <w:sz w:val="24"/>
                <w:highlight w:val="none"/>
                <w14:textFill>
                  <w14:solidFill>
                    <w14:schemeClr w14:val="tx1"/>
                  </w14:solidFill>
                </w14:textFill>
              </w:rPr>
              <w:t>面积（</w:t>
            </w:r>
            <w:r>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t>h</w:t>
            </w:r>
            <w:r>
              <w:rPr>
                <w:rFonts w:hint="default" w:ascii="Times New Roman" w:hAnsi="Times New Roman" w:eastAsia="宋体" w:cs="Times New Roman"/>
                <w:b/>
                <w:bCs/>
                <w:color w:val="000000" w:themeColor="text1"/>
                <w:sz w:val="24"/>
                <w:highlight w:val="none"/>
                <w14:textFill>
                  <w14:solidFill>
                    <w14:schemeClr w14:val="tx1"/>
                  </w14:solidFill>
                </w14:textFill>
              </w:rPr>
              <w:t>m</w:t>
            </w:r>
            <w:r>
              <w:rPr>
                <w:rFonts w:hint="default" w:ascii="Times New Roman" w:hAnsi="Times New Roman" w:eastAsia="宋体" w:cs="Times New Roman"/>
                <w:b/>
                <w:bCs/>
                <w:color w:val="000000" w:themeColor="text1"/>
                <w:sz w:val="24"/>
                <w:highlight w:val="none"/>
                <w:vertAlign w:val="superscript"/>
                <w14:textFill>
                  <w14:solidFill>
                    <w14:schemeClr w14:val="tx1"/>
                  </w14:solidFill>
                </w14:textFill>
              </w:rPr>
              <w:t>2</w:t>
            </w:r>
            <w:r>
              <w:rPr>
                <w:rFonts w:hint="default" w:ascii="Times New Roman" w:hAnsi="Times New Roman" w:eastAsia="宋体" w:cs="Times New Roman"/>
                <w:b/>
                <w:bCs/>
                <w:color w:val="000000" w:themeColor="text1"/>
                <w:sz w:val="24"/>
                <w:highlight w:val="none"/>
                <w14:textFill>
                  <w14:solidFill>
                    <w14:schemeClr w14:val="tx1"/>
                  </w14:solidFill>
                </w14:textFill>
              </w:rPr>
              <w:t>）</w:t>
            </w:r>
          </w:p>
        </w:tc>
        <w:tc>
          <w:tcPr>
            <w:tcW w:w="3202" w:type="dxa"/>
            <w:noWrap w:val="0"/>
            <w:vAlign w:val="center"/>
          </w:tcPr>
          <w:p w14:paraId="368F9B1C">
            <w:pPr>
              <w:adjustRightInd w:val="0"/>
              <w:snapToGrid w:val="0"/>
              <w:jc w:val="cente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eastAsia" w:cs="Times New Roman"/>
                <w:color w:val="000000" w:themeColor="text1"/>
                <w:kern w:val="0"/>
                <w:sz w:val="24"/>
                <w:highlight w:val="none"/>
                <w:lang w:val="en-US" w:eastAsia="zh-CN"/>
                <w14:textFill>
                  <w14:solidFill>
                    <w14:schemeClr w14:val="tx1"/>
                  </w14:solidFill>
                </w14:textFill>
              </w:rPr>
              <w:t>32352.14</w:t>
            </w:r>
          </w:p>
        </w:tc>
      </w:tr>
      <w:tr w14:paraId="366EC1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843" w:type="dxa"/>
            <w:noWrap w:val="0"/>
            <w:vAlign w:val="center"/>
          </w:tcPr>
          <w:p w14:paraId="67E6F690">
            <w:pPr>
              <w:autoSpaceDE w:val="0"/>
              <w:autoSpaceDN w:val="0"/>
              <w:adjustRightInd w:val="0"/>
              <w:snapToGrid w:val="0"/>
              <w:jc w:val="center"/>
              <w:rPr>
                <w:rFonts w:hint="default" w:ascii="Times New Roman" w:hAnsi="Times New Roman" w:eastAsia="宋体" w:cs="Times New Roman"/>
                <w:b/>
                <w:bCs/>
                <w:color w:val="000000" w:themeColor="text1"/>
                <w:kern w:val="0"/>
                <w:sz w:val="24"/>
                <w:highlight w:val="none"/>
                <w14:textFill>
                  <w14:solidFill>
                    <w14:schemeClr w14:val="tx1"/>
                  </w14:solidFill>
                </w14:textFill>
              </w:rPr>
            </w:pPr>
            <w:r>
              <w:rPr>
                <w:rFonts w:hint="default" w:ascii="Times New Roman" w:hAnsi="Times New Roman" w:eastAsia="宋体" w:cs="Times New Roman"/>
                <w:b/>
                <w:bCs/>
                <w:color w:val="000000" w:themeColor="text1"/>
                <w:kern w:val="0"/>
                <w:sz w:val="24"/>
                <w:highlight w:val="none"/>
                <w14:textFill>
                  <w14:solidFill>
                    <w14:schemeClr w14:val="tx1"/>
                  </w14:solidFill>
                </w14:textFill>
              </w:rPr>
              <w:t>专项评价</w:t>
            </w:r>
          </w:p>
          <w:p w14:paraId="717A5EC4">
            <w:pPr>
              <w:autoSpaceDE w:val="0"/>
              <w:autoSpaceDN w:val="0"/>
              <w:adjustRightInd w:val="0"/>
              <w:snapToGrid w:val="0"/>
              <w:jc w:val="center"/>
              <w:rPr>
                <w:rFonts w:hint="default" w:ascii="Times New Roman" w:hAnsi="Times New Roman" w:eastAsia="宋体" w:cs="Times New Roman"/>
                <w:b/>
                <w:bCs/>
                <w:color w:val="000000" w:themeColor="text1"/>
                <w:kern w:val="0"/>
                <w:sz w:val="24"/>
                <w:highlight w:val="none"/>
                <w14:textFill>
                  <w14:solidFill>
                    <w14:schemeClr w14:val="tx1"/>
                  </w14:solidFill>
                </w14:textFill>
              </w:rPr>
            </w:pPr>
            <w:r>
              <w:rPr>
                <w:rFonts w:hint="default" w:ascii="Times New Roman" w:hAnsi="Times New Roman" w:eastAsia="宋体" w:cs="Times New Roman"/>
                <w:b/>
                <w:bCs/>
                <w:color w:val="000000" w:themeColor="text1"/>
                <w:kern w:val="0"/>
                <w:sz w:val="24"/>
                <w:highlight w:val="none"/>
                <w14:textFill>
                  <w14:solidFill>
                    <w14:schemeClr w14:val="tx1"/>
                  </w14:solidFill>
                </w14:textFill>
              </w:rPr>
              <w:t>设置情况</w:t>
            </w:r>
          </w:p>
        </w:tc>
        <w:tc>
          <w:tcPr>
            <w:tcW w:w="8027" w:type="dxa"/>
            <w:gridSpan w:val="3"/>
            <w:noWrap w:val="0"/>
            <w:vAlign w:val="center"/>
          </w:tcPr>
          <w:p w14:paraId="3B3972B4">
            <w:pPr>
              <w:keepNext w:val="0"/>
              <w:keepLines w:val="0"/>
              <w:pageBreakBefore w:val="0"/>
              <w:widowControl w:val="0"/>
              <w:kinsoku/>
              <w:wordWrap/>
              <w:overflowPunct/>
              <w:topLinePunct w:val="0"/>
              <w:autoSpaceDE w:val="0"/>
              <w:autoSpaceDN w:val="0"/>
              <w:bidi w:val="0"/>
              <w:adjustRightInd w:val="0"/>
              <w:snapToGrid w:val="0"/>
              <w:spacing w:line="360" w:lineRule="auto"/>
              <w:ind w:firstLine="476" w:firstLineChars="200"/>
              <w:jc w:val="both"/>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1"/>
                <w:sz w:val="24"/>
                <w:szCs w:val="24"/>
                <w:highlight w:val="none"/>
                <w14:textFill>
                  <w14:solidFill>
                    <w14:schemeClr w14:val="tx1"/>
                  </w14:solidFill>
                </w14:textFill>
              </w:rPr>
              <w:t>根据《建设项目环境影响报告表编制指南</w:t>
            </w:r>
            <w:r>
              <w:rPr>
                <w:rFonts w:hint="default" w:ascii="Times New Roman" w:hAnsi="Times New Roman" w:eastAsia="宋体" w:cs="Times New Roman"/>
                <w:color w:val="000000" w:themeColor="text1"/>
                <w:spacing w:val="-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1"/>
                <w:sz w:val="24"/>
                <w:szCs w:val="24"/>
                <w:highlight w:val="none"/>
                <w14:textFill>
                  <w14:solidFill>
                    <w14:schemeClr w14:val="tx1"/>
                  </w14:solidFill>
                </w14:textFill>
              </w:rPr>
              <w:t>污染影响类</w:t>
            </w:r>
            <w:r>
              <w:rPr>
                <w:rFonts w:hint="default" w:ascii="Times New Roman" w:hAnsi="Times New Roman" w:eastAsia="宋体" w:cs="Times New Roman"/>
                <w:color w:val="000000" w:themeColor="text1"/>
                <w:spacing w:val="-1"/>
                <w:sz w:val="24"/>
                <w:szCs w:val="24"/>
                <w:highlight w:val="none"/>
                <w:lang w:eastAsia="zh-CN"/>
                <w14:textFill>
                  <w14:solidFill>
                    <w14:schemeClr w14:val="tx1"/>
                  </w14:solidFill>
                </w14:textFill>
              </w:rPr>
              <w:t>）</w:t>
            </w:r>
            <w:r>
              <w:rPr>
                <w:rFonts w:hint="eastAsia" w:ascii="Times New Roman" w:hAnsi="Times New Roman" w:eastAsia="宋体" w:cs="Times New Roman"/>
                <w:color w:val="000000" w:themeColor="text1"/>
                <w:spacing w:val="-1"/>
                <w:sz w:val="24"/>
                <w:szCs w:val="24"/>
                <w:highlight w:val="none"/>
                <w:lang w:eastAsia="zh-CN"/>
                <w14:textFill>
                  <w14:solidFill>
                    <w14:schemeClr w14:val="tx1"/>
                  </w14:solidFill>
                </w14:textFill>
              </w:rPr>
              <w:t>（试行）》</w:t>
            </w:r>
            <w:r>
              <w:rPr>
                <w:rFonts w:hint="default" w:ascii="Times New Roman" w:hAnsi="Times New Roman" w:eastAsia="宋体" w:cs="Times New Roman"/>
                <w:color w:val="000000" w:themeColor="text1"/>
                <w:sz w:val="24"/>
                <w:szCs w:val="24"/>
                <w:highlight w:val="none"/>
                <w14:textFill>
                  <w14:solidFill>
                    <w14:schemeClr w14:val="tx1"/>
                  </w14:solidFill>
                </w14:textFill>
              </w:rPr>
              <w:t>表1专项评价设置原则表，本项目无需编制专项评价。</w:t>
            </w:r>
          </w:p>
          <w:p w14:paraId="658BDA6F">
            <w:pPr>
              <w:autoSpaceDE w:val="0"/>
              <w:autoSpaceDN w:val="0"/>
              <w:adjustRightInd w:val="0"/>
              <w:snapToGrid w:val="0"/>
              <w:jc w:val="center"/>
              <w:rPr>
                <w:rFonts w:hint="default" w:ascii="Times New Roman" w:hAnsi="Times New Roman" w:eastAsia="宋体" w:cs="Times New Roman"/>
                <w:b/>
                <w:bCs/>
                <w:color w:val="000000" w:themeColor="text1"/>
                <w:spacing w:val="-3"/>
                <w:sz w:val="24"/>
                <w:szCs w:val="24"/>
                <w:highlight w:val="none"/>
                <w14:textFill>
                  <w14:solidFill>
                    <w14:schemeClr w14:val="tx1"/>
                  </w14:solidFill>
                </w14:textFill>
              </w:rPr>
            </w:pPr>
            <w:r>
              <w:rPr>
                <w:rFonts w:hint="default" w:ascii="Times New Roman" w:hAnsi="Times New Roman" w:eastAsia="宋体" w:cs="Times New Roman"/>
                <w:b/>
                <w:bCs/>
                <w:color w:val="000000" w:themeColor="text1"/>
                <w:spacing w:val="-3"/>
                <w:sz w:val="24"/>
                <w:szCs w:val="24"/>
                <w:highlight w:val="none"/>
                <w14:textFill>
                  <w14:solidFill>
                    <w14:schemeClr w14:val="tx1"/>
                  </w14:solidFill>
                </w14:textFill>
              </w:rPr>
              <w:t>表1专项设置原则表</w:t>
            </w:r>
          </w:p>
          <w:tbl>
            <w:tblPr>
              <w:tblStyle w:val="2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6"/>
              <w:gridCol w:w="3075"/>
              <w:gridCol w:w="2922"/>
              <w:gridCol w:w="665"/>
            </w:tblGrid>
            <w:tr w14:paraId="2AC0F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pct"/>
                  <w:noWrap w:val="0"/>
                  <w:vAlign w:val="center"/>
                </w:tcPr>
                <w:p w14:paraId="36763272">
                  <w:pPr>
                    <w:adjustRightInd w:val="0"/>
                    <w:snapToGrid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专项评价的类别</w:t>
                  </w:r>
                </w:p>
              </w:tc>
              <w:tc>
                <w:tcPr>
                  <w:tcW w:w="1971" w:type="pct"/>
                  <w:noWrap w:val="0"/>
                  <w:vAlign w:val="center"/>
                </w:tcPr>
                <w:p w14:paraId="0FFD3A2A">
                  <w:pPr>
                    <w:adjustRightInd w:val="0"/>
                    <w:snapToGrid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设置原则</w:t>
                  </w:r>
                </w:p>
              </w:tc>
              <w:tc>
                <w:tcPr>
                  <w:tcW w:w="1873" w:type="pct"/>
                  <w:noWrap w:val="0"/>
                  <w:vAlign w:val="center"/>
                </w:tcPr>
                <w:p w14:paraId="2D270F3C">
                  <w:pPr>
                    <w:adjustRightInd w:val="0"/>
                    <w:snapToGrid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本项目</w:t>
                  </w:r>
                </w:p>
              </w:tc>
              <w:tc>
                <w:tcPr>
                  <w:tcW w:w="426" w:type="pct"/>
                  <w:noWrap w:val="0"/>
                  <w:vAlign w:val="center"/>
                </w:tcPr>
                <w:p w14:paraId="099F37BC">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b/>
                      <w:bCs/>
                      <w:color w:val="000000" w:themeColor="text1"/>
                      <w:spacing w:val="-3"/>
                      <w:sz w:val="21"/>
                      <w:szCs w:val="21"/>
                      <w:highlight w:val="none"/>
                      <w:vertAlign w:val="baseline"/>
                      <w14:textFill>
                        <w14:solidFill>
                          <w14:schemeClr w14:val="tx1"/>
                        </w14:solidFill>
                      </w14:textFill>
                    </w:rPr>
                  </w:pPr>
                  <w:r>
                    <w:rPr>
                      <w:rFonts w:hint="default" w:ascii="Times New Roman" w:hAnsi="Times New Roman" w:eastAsia="宋体" w:cs="Times New Roman"/>
                      <w:color w:val="000000" w:themeColor="text1"/>
                      <w:spacing w:val="3"/>
                      <w:sz w:val="21"/>
                      <w:szCs w:val="21"/>
                      <w:highlight w:val="none"/>
                      <w14:textFill>
                        <w14:solidFill>
                          <w14:schemeClr w14:val="tx1"/>
                        </w14:solidFill>
                      </w14:textFill>
                    </w:rPr>
                    <w:t>情况判定</w:t>
                  </w:r>
                </w:p>
              </w:tc>
            </w:tr>
            <w:tr w14:paraId="3D335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pct"/>
                  <w:noWrap w:val="0"/>
                  <w:vAlign w:val="center"/>
                </w:tcPr>
                <w:p w14:paraId="62F820CD">
                  <w:pPr>
                    <w:adjustRightInd w:val="0"/>
                    <w:snapToGrid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大气</w:t>
                  </w:r>
                </w:p>
              </w:tc>
              <w:tc>
                <w:tcPr>
                  <w:tcW w:w="1971" w:type="pct"/>
                  <w:noWrap w:val="0"/>
                  <w:vAlign w:val="center"/>
                </w:tcPr>
                <w:p w14:paraId="3FEB9CED">
                  <w:pPr>
                    <w:adjustRightInd w:val="0"/>
                    <w:snapToGrid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排放废气含有毒有害污染物、二噁英、苯并[a]芘、氰化物、氯气且厂界外500</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m</w:t>
                  </w:r>
                  <w:r>
                    <w:rPr>
                      <w:rFonts w:hint="default" w:ascii="Times New Roman" w:hAnsi="Times New Roman" w:eastAsia="宋体" w:cs="Times New Roman"/>
                      <w:color w:val="000000" w:themeColor="text1"/>
                      <w:sz w:val="21"/>
                      <w:szCs w:val="21"/>
                      <w:highlight w:val="none"/>
                      <w14:textFill>
                        <w14:solidFill>
                          <w14:schemeClr w14:val="tx1"/>
                        </w14:solidFill>
                      </w14:textFill>
                    </w:rPr>
                    <w:t>范围内有环境空气保护目标的建设项目。</w:t>
                  </w:r>
                </w:p>
              </w:tc>
              <w:tc>
                <w:tcPr>
                  <w:tcW w:w="1873" w:type="pct"/>
                  <w:noWrap w:val="0"/>
                  <w:vAlign w:val="center"/>
                </w:tcPr>
                <w:p w14:paraId="47A3A8FD">
                  <w:pPr>
                    <w:adjustRightInd w:val="0"/>
                    <w:snapToGrid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本项目废气中不含所述毒有害污染物，</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且</w:t>
                  </w:r>
                  <w:r>
                    <w:rPr>
                      <w:rFonts w:hint="default" w:ascii="Times New Roman" w:hAnsi="Times New Roman" w:eastAsia="宋体" w:cs="Times New Roman"/>
                      <w:color w:val="000000" w:themeColor="text1"/>
                      <w:sz w:val="21"/>
                      <w:szCs w:val="21"/>
                      <w:highlight w:val="none"/>
                      <w14:textFill>
                        <w14:solidFill>
                          <w14:schemeClr w14:val="tx1"/>
                        </w14:solidFill>
                      </w14:textFill>
                    </w:rPr>
                    <w:t>厂界外500m范围内无大气环境保护目标。</w:t>
                  </w:r>
                </w:p>
              </w:tc>
              <w:tc>
                <w:tcPr>
                  <w:tcW w:w="426" w:type="pct"/>
                  <w:noWrap w:val="0"/>
                  <w:vAlign w:val="center"/>
                </w:tcPr>
                <w:p w14:paraId="40E5C7EB">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b/>
                      <w:bCs/>
                      <w:color w:val="000000" w:themeColor="text1"/>
                      <w:spacing w:val="-3"/>
                      <w:sz w:val="21"/>
                      <w:szCs w:val="21"/>
                      <w:highlight w:val="none"/>
                      <w:vertAlign w:val="baseline"/>
                      <w14:textFill>
                        <w14:solidFill>
                          <w14:schemeClr w14:val="tx1"/>
                        </w14:solidFill>
                      </w14:textFill>
                    </w:rPr>
                  </w:pPr>
                  <w:r>
                    <w:rPr>
                      <w:rFonts w:hint="default" w:ascii="Times New Roman" w:hAnsi="Times New Roman" w:eastAsia="宋体" w:cs="Times New Roman"/>
                      <w:color w:val="000000" w:themeColor="text1"/>
                      <w:spacing w:val="4"/>
                      <w:sz w:val="21"/>
                      <w:szCs w:val="21"/>
                      <w:highlight w:val="none"/>
                      <w14:textFill>
                        <w14:solidFill>
                          <w14:schemeClr w14:val="tx1"/>
                        </w14:solidFill>
                      </w14:textFill>
                    </w:rPr>
                    <w:t>不涉及</w:t>
                  </w:r>
                </w:p>
              </w:tc>
            </w:tr>
            <w:tr w14:paraId="468A0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pct"/>
                  <w:noWrap w:val="0"/>
                  <w:vAlign w:val="center"/>
                </w:tcPr>
                <w:p w14:paraId="5C2BA0CA">
                  <w:pPr>
                    <w:adjustRightInd w:val="0"/>
                    <w:snapToGrid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地表水</w:t>
                  </w:r>
                </w:p>
              </w:tc>
              <w:tc>
                <w:tcPr>
                  <w:tcW w:w="1971" w:type="pct"/>
                  <w:noWrap w:val="0"/>
                  <w:vAlign w:val="center"/>
                </w:tcPr>
                <w:p w14:paraId="171857A5">
                  <w:pPr>
                    <w:adjustRightInd w:val="0"/>
                    <w:snapToGrid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新增工业废水直排建设项目</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槽罐车外送污水处理厂的除外</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新增废水直排的污水集中处理厂。</w:t>
                  </w:r>
                </w:p>
              </w:tc>
              <w:tc>
                <w:tcPr>
                  <w:tcW w:w="1873" w:type="pct"/>
                  <w:noWrap w:val="0"/>
                  <w:vAlign w:val="center"/>
                </w:tcPr>
                <w:p w14:paraId="35442235">
                  <w:pPr>
                    <w:adjustRightInd w:val="0"/>
                    <w:snapToGrid w:val="0"/>
                    <w:jc w:val="both"/>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本项目脱硫废水经三联箱装置处理后</w:t>
                  </w:r>
                  <w:r>
                    <w:rPr>
                      <w:rFonts w:hint="eastAsia" w:cs="Times New Roman"/>
                      <w:color w:val="000000" w:themeColor="text1"/>
                      <w:sz w:val="21"/>
                      <w:szCs w:val="21"/>
                      <w:highlight w:val="none"/>
                      <w:lang w:val="en-US" w:eastAsia="zh-CN"/>
                      <w14:textFill>
                        <w14:solidFill>
                          <w14:schemeClr w14:val="tx1"/>
                        </w14:solidFill>
                      </w14:textFill>
                    </w:rPr>
                    <w:t>回用</w:t>
                  </w:r>
                  <w:r>
                    <w:rPr>
                      <w:rFonts w:hint="eastAsia" w:ascii="宋体" w:hAnsi="宋体" w:cs="宋体"/>
                      <w:color w:val="000000" w:themeColor="text1"/>
                      <w:kern w:val="0"/>
                      <w:sz w:val="21"/>
                      <w:szCs w:val="21"/>
                      <w:highlight w:val="none"/>
                      <w:lang w:val="en-US" w:eastAsia="zh-CN" w:bidi="ar"/>
                      <w14:textFill>
                        <w14:solidFill>
                          <w14:schemeClr w14:val="tx1"/>
                        </w14:solidFill>
                      </w14:textFill>
                    </w:rPr>
                    <w:t>脱硫浆液制备用水</w:t>
                  </w:r>
                  <w:r>
                    <w:rPr>
                      <w:rFonts w:hint="eastAsia" w:cs="Times New Roman"/>
                      <w:color w:val="000000" w:themeColor="text1"/>
                      <w:sz w:val="21"/>
                      <w:szCs w:val="21"/>
                      <w:highlight w:val="none"/>
                      <w:lang w:eastAsia="zh-CN"/>
                      <w14:textFill>
                        <w14:solidFill>
                          <w14:schemeClr w14:val="tx1"/>
                        </w14:solidFill>
                      </w14:textFill>
                    </w:rPr>
                    <w:t>；</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锅炉排水和软水制备排水</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罐车拉运</w:t>
                  </w:r>
                  <w:r>
                    <w:rPr>
                      <w:rFonts w:hint="default" w:ascii="宋体" w:hAnsi="宋体" w:eastAsia="宋体" w:cs="宋体"/>
                      <w:color w:val="000000" w:themeColor="text1"/>
                      <w:kern w:val="0"/>
                      <w:sz w:val="21"/>
                      <w:szCs w:val="21"/>
                      <w:highlight w:val="none"/>
                      <w:lang w:val="en-US" w:eastAsia="zh-CN" w:bidi="ar"/>
                      <w14:textFill>
                        <w14:solidFill>
                          <w14:schemeClr w14:val="tx1"/>
                        </w14:solidFill>
                      </w14:textFill>
                    </w:rPr>
                    <w:t>至园区生产废水处理厂处理</w:t>
                  </w:r>
                  <w:r>
                    <w:rPr>
                      <w:rFonts w:hint="default" w:ascii="Times New Roman" w:hAnsi="Times New Roman" w:eastAsia="宋体" w:cs="Times New Roman"/>
                      <w:color w:val="000000" w:themeColor="text1"/>
                      <w:sz w:val="21"/>
                      <w:szCs w:val="21"/>
                      <w:highlight w:val="none"/>
                      <w14:textFill>
                        <w14:solidFill>
                          <w14:schemeClr w14:val="tx1"/>
                        </w14:solidFill>
                      </w14:textFill>
                    </w:rPr>
                    <w:t>；生活污水经厂区</w:t>
                  </w:r>
                  <w:r>
                    <w:rPr>
                      <w:rFonts w:hint="eastAsia" w:cs="Times New Roman"/>
                      <w:color w:val="000000" w:themeColor="text1"/>
                      <w:sz w:val="21"/>
                      <w:szCs w:val="21"/>
                      <w:highlight w:val="none"/>
                      <w:lang w:val="en-US" w:eastAsia="zh-CN"/>
                      <w14:textFill>
                        <w14:solidFill>
                          <w14:schemeClr w14:val="tx1"/>
                        </w14:solidFill>
                      </w14:textFill>
                    </w:rPr>
                    <w:t>防渗漏</w:t>
                  </w:r>
                  <w:r>
                    <w:rPr>
                      <w:rFonts w:hint="default" w:ascii="Times New Roman" w:hAnsi="Times New Roman" w:eastAsia="宋体" w:cs="Times New Roman"/>
                      <w:color w:val="000000" w:themeColor="text1"/>
                      <w:sz w:val="21"/>
                      <w:szCs w:val="21"/>
                      <w:highlight w:val="none"/>
                      <w14:textFill>
                        <w14:solidFill>
                          <w14:schemeClr w14:val="tx1"/>
                        </w14:solidFill>
                      </w14:textFill>
                    </w:rPr>
                    <w:t>化粪池处理后排入产业园污水处理厂处理，不外排。</w:t>
                  </w:r>
                </w:p>
              </w:tc>
              <w:tc>
                <w:tcPr>
                  <w:tcW w:w="426" w:type="pct"/>
                  <w:noWrap w:val="0"/>
                  <w:vAlign w:val="center"/>
                </w:tcPr>
                <w:p w14:paraId="73D83562">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b/>
                      <w:bCs/>
                      <w:color w:val="000000" w:themeColor="text1"/>
                      <w:spacing w:val="-3"/>
                      <w:sz w:val="21"/>
                      <w:szCs w:val="21"/>
                      <w:highlight w:val="none"/>
                      <w:vertAlign w:val="baseline"/>
                      <w14:textFill>
                        <w14:solidFill>
                          <w14:schemeClr w14:val="tx1"/>
                        </w14:solidFill>
                      </w14:textFill>
                    </w:rPr>
                  </w:pPr>
                  <w:r>
                    <w:rPr>
                      <w:rFonts w:hint="default" w:ascii="Times New Roman" w:hAnsi="Times New Roman" w:eastAsia="宋体" w:cs="Times New Roman"/>
                      <w:color w:val="000000" w:themeColor="text1"/>
                      <w:spacing w:val="4"/>
                      <w:sz w:val="21"/>
                      <w:szCs w:val="21"/>
                      <w:highlight w:val="none"/>
                      <w14:textFill>
                        <w14:solidFill>
                          <w14:schemeClr w14:val="tx1"/>
                        </w14:solidFill>
                      </w14:textFill>
                    </w:rPr>
                    <w:t>不涉及</w:t>
                  </w:r>
                </w:p>
              </w:tc>
            </w:tr>
            <w:tr w14:paraId="4F84F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pct"/>
                  <w:noWrap w:val="0"/>
                  <w:vAlign w:val="center"/>
                </w:tcPr>
                <w:p w14:paraId="1CB87A65">
                  <w:pPr>
                    <w:adjustRightInd w:val="0"/>
                    <w:snapToGrid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环境风险</w:t>
                  </w:r>
                </w:p>
              </w:tc>
              <w:tc>
                <w:tcPr>
                  <w:tcW w:w="1971" w:type="pct"/>
                  <w:noWrap w:val="0"/>
                  <w:vAlign w:val="center"/>
                </w:tcPr>
                <w:p w14:paraId="6E2982B3">
                  <w:pPr>
                    <w:adjustRightInd w:val="0"/>
                    <w:snapToGrid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有毒有害和易燃易爆危险物质存储量超过临界量的建设项目。</w:t>
                  </w:r>
                </w:p>
              </w:tc>
              <w:tc>
                <w:tcPr>
                  <w:tcW w:w="1873" w:type="pct"/>
                  <w:noWrap w:val="0"/>
                  <w:vAlign w:val="center"/>
                </w:tcPr>
                <w:p w14:paraId="2745ABD3">
                  <w:pPr>
                    <w:keepNext w:val="0"/>
                    <w:keepLines w:val="0"/>
                    <w:widowControl/>
                    <w:suppressLineNumbers w:val="0"/>
                    <w:jc w:val="both"/>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本项目生产过</w:t>
                  </w:r>
                  <w:r>
                    <w:rPr>
                      <w:rFonts w:hint="eastAsia"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程中</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产生的有毒有害和易燃易爆危险物质不超过临界量</w:t>
                  </w:r>
                  <w:r>
                    <w:rPr>
                      <w:rFonts w:hint="default" w:ascii="Times New Roman" w:hAnsi="Times New Roman" w:eastAsia="宋体" w:cs="Times New Roman"/>
                      <w:color w:val="000000" w:themeColor="text1"/>
                      <w:sz w:val="21"/>
                      <w:szCs w:val="21"/>
                      <w:highlight w:val="none"/>
                      <w14:textFill>
                        <w14:solidFill>
                          <w14:schemeClr w14:val="tx1"/>
                        </w14:solidFill>
                      </w14:textFill>
                    </w:rPr>
                    <w:t>。</w:t>
                  </w:r>
                </w:p>
              </w:tc>
              <w:tc>
                <w:tcPr>
                  <w:tcW w:w="426" w:type="pct"/>
                  <w:noWrap w:val="0"/>
                  <w:vAlign w:val="center"/>
                </w:tcPr>
                <w:p w14:paraId="35E7B2D4">
                  <w:pPr>
                    <w:adjustRightInd w:val="0"/>
                    <w:snapToGrid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不涉及</w:t>
                  </w:r>
                </w:p>
              </w:tc>
            </w:tr>
            <w:tr w14:paraId="3F20B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pct"/>
                  <w:noWrap w:val="0"/>
                  <w:vAlign w:val="center"/>
                </w:tcPr>
                <w:p w14:paraId="12D12773">
                  <w:pPr>
                    <w:adjustRightInd w:val="0"/>
                    <w:snapToGrid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生态</w:t>
                  </w:r>
                </w:p>
              </w:tc>
              <w:tc>
                <w:tcPr>
                  <w:tcW w:w="1971" w:type="pct"/>
                  <w:noWrap w:val="0"/>
                  <w:vAlign w:val="center"/>
                </w:tcPr>
                <w:p w14:paraId="52C2AD8E">
                  <w:pPr>
                    <w:adjustRightInd w:val="0"/>
                    <w:snapToGrid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取水口下游500</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m</w:t>
                  </w:r>
                  <w:r>
                    <w:rPr>
                      <w:rFonts w:hint="default" w:ascii="Times New Roman" w:hAnsi="Times New Roman" w:eastAsia="宋体" w:cs="Times New Roman"/>
                      <w:color w:val="000000" w:themeColor="text1"/>
                      <w:sz w:val="21"/>
                      <w:szCs w:val="21"/>
                      <w:highlight w:val="none"/>
                      <w14:textFill>
                        <w14:solidFill>
                          <w14:schemeClr w14:val="tx1"/>
                        </w14:solidFill>
                      </w14:textFill>
                    </w:rPr>
                    <w:t>范围内有重要水生生物的自然产卵场、索饵场、越冬场和洄游通道的新增河道取水的污染类建设项目。</w:t>
                  </w:r>
                </w:p>
              </w:tc>
              <w:tc>
                <w:tcPr>
                  <w:tcW w:w="1873" w:type="pct"/>
                  <w:noWrap w:val="0"/>
                  <w:vAlign w:val="center"/>
                </w:tcPr>
                <w:p w14:paraId="54958A7F">
                  <w:pPr>
                    <w:keepNext w:val="0"/>
                    <w:keepLines w:val="0"/>
                    <w:widowControl/>
                    <w:suppressLineNumbers w:val="0"/>
                    <w:jc w:val="both"/>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本项目生产、生活用水均由园区集中供给，不涉及取水工程。</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无河道取水。</w:t>
                  </w:r>
                </w:p>
              </w:tc>
              <w:tc>
                <w:tcPr>
                  <w:tcW w:w="426" w:type="pct"/>
                  <w:noWrap w:val="0"/>
                  <w:vAlign w:val="center"/>
                </w:tcPr>
                <w:p w14:paraId="0BA0C7DC">
                  <w:pPr>
                    <w:adjustRightInd w:val="0"/>
                    <w:snapToGrid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不涉及</w:t>
                  </w:r>
                </w:p>
              </w:tc>
            </w:tr>
            <w:tr w14:paraId="2C0B9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pct"/>
                  <w:noWrap w:val="0"/>
                  <w:vAlign w:val="center"/>
                </w:tcPr>
                <w:p w14:paraId="59BA2AD5">
                  <w:pPr>
                    <w:adjustRightInd w:val="0"/>
                    <w:snapToGrid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海洋</w:t>
                  </w:r>
                </w:p>
              </w:tc>
              <w:tc>
                <w:tcPr>
                  <w:tcW w:w="1971" w:type="pct"/>
                  <w:noWrap w:val="0"/>
                  <w:vAlign w:val="center"/>
                </w:tcPr>
                <w:p w14:paraId="3CB2C43C">
                  <w:pPr>
                    <w:adjustRightInd w:val="0"/>
                    <w:snapToGrid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直接向海排放污染物的海洋工程建设项目。</w:t>
                  </w:r>
                </w:p>
              </w:tc>
              <w:tc>
                <w:tcPr>
                  <w:tcW w:w="1873" w:type="pct"/>
                  <w:noWrap w:val="0"/>
                  <w:vAlign w:val="center"/>
                </w:tcPr>
                <w:p w14:paraId="2A899BBF">
                  <w:pPr>
                    <w:adjustRightInd w:val="0"/>
                    <w:snapToGrid w:val="0"/>
                    <w:jc w:val="both"/>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本项目周边无海洋。</w:t>
                  </w:r>
                </w:p>
              </w:tc>
              <w:tc>
                <w:tcPr>
                  <w:tcW w:w="426" w:type="pct"/>
                  <w:noWrap w:val="0"/>
                  <w:vAlign w:val="center"/>
                </w:tcPr>
                <w:p w14:paraId="58FE2EB1">
                  <w:pPr>
                    <w:adjustRightInd w:val="0"/>
                    <w:snapToGrid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不涉及</w:t>
                  </w:r>
                </w:p>
              </w:tc>
            </w:tr>
          </w:tbl>
          <w:p w14:paraId="7EBE94A6">
            <w:pPr>
              <w:autoSpaceDE w:val="0"/>
              <w:autoSpaceDN w:val="0"/>
              <w:adjustRightInd w:val="0"/>
              <w:snapToGrid w:val="0"/>
              <w:jc w:val="center"/>
              <w:rPr>
                <w:rFonts w:hint="default" w:ascii="Times New Roman" w:hAnsi="Times New Roman" w:eastAsia="宋体" w:cs="Times New Roman"/>
                <w:b/>
                <w:bCs/>
                <w:color w:val="000000" w:themeColor="text1"/>
                <w:spacing w:val="-3"/>
                <w:sz w:val="24"/>
                <w:szCs w:val="24"/>
                <w:highlight w:val="none"/>
                <w14:textFill>
                  <w14:solidFill>
                    <w14:schemeClr w14:val="tx1"/>
                  </w14:solidFill>
                </w14:textFill>
              </w:rPr>
            </w:pPr>
          </w:p>
        </w:tc>
      </w:tr>
      <w:tr w14:paraId="1DFFE5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843" w:type="dxa"/>
            <w:noWrap w:val="0"/>
            <w:vAlign w:val="center"/>
          </w:tcPr>
          <w:p w14:paraId="63D6E97F">
            <w:pPr>
              <w:autoSpaceDE w:val="0"/>
              <w:autoSpaceDN w:val="0"/>
              <w:adjustRightInd w:val="0"/>
              <w:snapToGrid w:val="0"/>
              <w:jc w:val="center"/>
              <w:rPr>
                <w:rFonts w:hint="default" w:ascii="Times New Roman" w:hAnsi="Times New Roman" w:eastAsia="宋体" w:cs="Times New Roman"/>
                <w:b/>
                <w:bCs/>
                <w:color w:val="000000" w:themeColor="text1"/>
                <w:kern w:val="0"/>
                <w:sz w:val="24"/>
                <w:highlight w:val="none"/>
                <w14:textFill>
                  <w14:solidFill>
                    <w14:schemeClr w14:val="tx1"/>
                  </w14:solidFill>
                </w14:textFill>
              </w:rPr>
            </w:pPr>
            <w:r>
              <w:rPr>
                <w:rFonts w:hint="default" w:ascii="Times New Roman" w:hAnsi="Times New Roman" w:eastAsia="宋体" w:cs="Times New Roman"/>
                <w:b/>
                <w:bCs/>
                <w:color w:val="000000" w:themeColor="text1"/>
                <w:sz w:val="24"/>
                <w:highlight w:val="none"/>
                <w14:textFill>
                  <w14:solidFill>
                    <w14:schemeClr w14:val="tx1"/>
                  </w14:solidFill>
                </w14:textFill>
              </w:rPr>
              <w:t>规划情况</w:t>
            </w:r>
          </w:p>
        </w:tc>
        <w:tc>
          <w:tcPr>
            <w:tcW w:w="8027" w:type="dxa"/>
            <w:gridSpan w:val="3"/>
            <w:noWrap w:val="0"/>
            <w:vAlign w:val="center"/>
          </w:tcPr>
          <w:p w14:paraId="1D70EE4D">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2008年2月，鄂尔多斯市人民政府向自治区人民政府就《内蒙古自治区准格尔经济开发区总体规划（2007-2020）》</w:t>
            </w:r>
            <w:r>
              <w:rPr>
                <w:rFonts w:hint="eastAsia" w:cs="Times New Roman"/>
                <w:color w:val="000000" w:themeColor="text1"/>
                <w:kern w:val="0"/>
                <w:sz w:val="24"/>
                <w:szCs w:val="24"/>
                <w:highlight w:val="none"/>
                <w:lang w:val="en-US" w:eastAsia="zh-CN" w:bidi="ar"/>
                <w14:textFill>
                  <w14:solidFill>
                    <w14:schemeClr w14:val="tx1"/>
                  </w14:solidFill>
                </w14:textFill>
              </w:rPr>
              <w:t>作</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了请示（鄂府字</w:t>
            </w: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〔2008〕9号</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）；2008年3月，内蒙古</w:t>
            </w:r>
            <w:r>
              <w:rPr>
                <w:rFonts w:hint="default" w:ascii="Times New Roman" w:hAnsi="Times New Roman" w:eastAsia="宋体" w:cs="Times New Roman"/>
                <w:color w:val="000000" w:themeColor="text1"/>
                <w:kern w:val="0"/>
                <w:sz w:val="24"/>
                <w:highlight w:val="none"/>
                <w:lang w:val="en-US" w:eastAsia="zh-CN"/>
                <w14:textFill>
                  <w14:solidFill>
                    <w14:schemeClr w14:val="tx1"/>
                  </w14:solidFill>
                </w14:textFill>
              </w:rPr>
              <w:t>自治区</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建设厅作了批复，同意了该总体规划（内建规</w:t>
            </w: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〔2008〕87号</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）；2014年，内蒙古准格尔经济开发区管委会组织编制了</w:t>
            </w: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《内蒙古准格尔经济开发区总体规划（2015—2030年）》</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。2020年4月，内蒙古准格尔经济开发区编制了《内蒙古准格尔经济开发区产业发展规划（2020-2030）》，响应国家和自治区“十四五”能耗双控政策，对开发区的产业规模和重大工程进行了规划调整。</w:t>
            </w:r>
          </w:p>
          <w:p w14:paraId="1E7193F3">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default"/>
                <w:color w:val="000000" w:themeColor="text1"/>
                <w:highlight w:val="none"/>
                <w:lang w:val="en-US"/>
                <w14:textFill>
                  <w14:solidFill>
                    <w14:schemeClr w14:val="tx1"/>
                  </w14:solidFill>
                </w14:textFill>
              </w:rPr>
            </w:pPr>
            <w:r>
              <w:rPr>
                <w:rFonts w:hint="eastAsia" w:cs="Times New Roman"/>
                <w:color w:val="000000" w:themeColor="text1"/>
                <w:kern w:val="0"/>
                <w:sz w:val="24"/>
                <w:szCs w:val="24"/>
                <w:highlight w:val="none"/>
                <w:lang w:val="en-US" w:eastAsia="zh-CN" w:bidi="ar"/>
                <w14:textFill>
                  <w14:solidFill>
                    <w14:schemeClr w14:val="tx1"/>
                  </w14:solidFill>
                </w14:textFill>
              </w:rPr>
              <w:t>2023年4月5日，准格尔旗人民政府批复《准格尔经济开发区准格尔产业园控制性详细规划（过渡期）》（准政函〔2023〕352号）。</w:t>
            </w:r>
          </w:p>
        </w:tc>
      </w:tr>
      <w:tr w14:paraId="03FA44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843" w:type="dxa"/>
            <w:noWrap w:val="0"/>
            <w:vAlign w:val="center"/>
          </w:tcPr>
          <w:p w14:paraId="0ECD1500">
            <w:pPr>
              <w:adjustRightInd w:val="0"/>
              <w:snapToGrid w:val="0"/>
              <w:jc w:val="center"/>
              <w:rPr>
                <w:rFonts w:hint="default" w:ascii="Times New Roman" w:hAnsi="Times New Roman" w:eastAsia="宋体" w:cs="Times New Roman"/>
                <w:color w:val="000000" w:themeColor="text1"/>
                <w:kern w:val="0"/>
                <w:sz w:val="24"/>
                <w:highlight w:val="none"/>
                <w14:textFill>
                  <w14:solidFill>
                    <w14:schemeClr w14:val="tx1"/>
                  </w14:solidFill>
                </w14:textFill>
              </w:rPr>
            </w:pPr>
            <w:r>
              <w:rPr>
                <w:rFonts w:hint="default" w:ascii="Times New Roman" w:hAnsi="Times New Roman" w:eastAsia="宋体" w:cs="Times New Roman"/>
                <w:b/>
                <w:bCs/>
                <w:color w:val="000000" w:themeColor="text1"/>
                <w:sz w:val="24"/>
                <w:highlight w:val="none"/>
                <w14:textFill>
                  <w14:solidFill>
                    <w14:schemeClr w14:val="tx1"/>
                  </w14:solidFill>
                </w14:textFill>
              </w:rPr>
              <w:t>规划环境影响评价情况</w:t>
            </w:r>
          </w:p>
        </w:tc>
        <w:tc>
          <w:tcPr>
            <w:tcW w:w="8027" w:type="dxa"/>
            <w:gridSpan w:val="3"/>
            <w:noWrap w:val="0"/>
            <w:vAlign w:val="center"/>
          </w:tcPr>
          <w:p w14:paraId="6AE36804">
            <w:pPr>
              <w:keepNext w:val="0"/>
              <w:keepLines w:val="0"/>
              <w:pageBreakBefore w:val="0"/>
              <w:widowControl w:val="0"/>
              <w:kinsoku/>
              <w:wordWrap/>
              <w:overflowPunct/>
              <w:topLinePunct w:val="0"/>
              <w:autoSpaceDE w:val="0"/>
              <w:autoSpaceDN w:val="0"/>
              <w:bidi w:val="0"/>
              <w:adjustRightInd w:val="0"/>
              <w:snapToGrid w:val="0"/>
              <w:spacing w:line="360" w:lineRule="auto"/>
              <w:jc w:val="both"/>
              <w:textAlignment w:val="auto"/>
              <w:rPr>
                <w:rFonts w:hint="default" w:ascii="Times New Roman" w:hAnsi="Times New Roman" w:eastAsia="宋体" w:cs="Times New Roman"/>
                <w:color w:val="000000" w:themeColor="text1"/>
                <w:kern w:val="0"/>
                <w:sz w:val="24"/>
                <w:highlight w:val="none"/>
                <w14:textFill>
                  <w14:solidFill>
                    <w14:schemeClr w14:val="tx1"/>
                  </w14:solidFill>
                </w14:textFill>
              </w:rPr>
            </w:pPr>
            <w:r>
              <w:rPr>
                <w:rFonts w:hint="default" w:ascii="Times New Roman" w:hAnsi="Times New Roman" w:eastAsia="宋体" w:cs="Times New Roman"/>
                <w:b/>
                <w:bCs/>
                <w:color w:val="000000" w:themeColor="text1"/>
                <w:sz w:val="24"/>
                <w:highlight w:val="none"/>
                <w14:textFill>
                  <w14:solidFill>
                    <w14:schemeClr w14:val="tx1"/>
                  </w14:solidFill>
                </w14:textFill>
              </w:rPr>
              <w:t>规划环境影响评价文件名称：</w:t>
            </w:r>
            <w:r>
              <w:rPr>
                <w:rFonts w:hint="default" w:ascii="Times New Roman" w:hAnsi="Times New Roman" w:eastAsia="宋体" w:cs="Times New Roman"/>
                <w:color w:val="000000" w:themeColor="text1"/>
                <w:sz w:val="24"/>
                <w:highlight w:val="none"/>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内蒙古鄂尔多斯准格尔经济开发区准格尔产业园总体规划（2022-2030）</w:t>
            </w:r>
            <w:r>
              <w:rPr>
                <w:rFonts w:hint="default" w:ascii="Times New Roman" w:hAnsi="Times New Roman" w:eastAsia="宋体" w:cs="Times New Roman"/>
                <w:color w:val="000000" w:themeColor="text1"/>
                <w:sz w:val="24"/>
                <w:highlight w:val="none"/>
                <w14:textFill>
                  <w14:solidFill>
                    <w14:schemeClr w14:val="tx1"/>
                  </w14:solidFill>
                </w14:textFill>
              </w:rPr>
              <w:t>环境影响报告书》；</w:t>
            </w:r>
          </w:p>
          <w:p w14:paraId="61B38002">
            <w:pPr>
              <w:autoSpaceDE w:val="0"/>
              <w:autoSpaceDN w:val="0"/>
              <w:adjustRightInd w:val="0"/>
              <w:snapToGrid w:val="0"/>
              <w:spacing w:line="360" w:lineRule="auto"/>
              <w:jc w:val="both"/>
              <w:rPr>
                <w:rFonts w:hint="default" w:ascii="Times New Roman" w:hAnsi="Times New Roman" w:eastAsia="宋体" w:cs="Times New Roman"/>
                <w:color w:val="000000" w:themeColor="text1"/>
                <w:kern w:val="0"/>
                <w:sz w:val="24"/>
                <w:highlight w:val="none"/>
                <w14:textFill>
                  <w14:solidFill>
                    <w14:schemeClr w14:val="tx1"/>
                  </w14:solidFill>
                </w14:textFill>
              </w:rPr>
            </w:pPr>
            <w:r>
              <w:rPr>
                <w:rFonts w:hint="default" w:ascii="Times New Roman" w:hAnsi="Times New Roman" w:eastAsia="宋体" w:cs="Times New Roman"/>
                <w:b/>
                <w:bCs/>
                <w:color w:val="000000" w:themeColor="text1"/>
                <w:kern w:val="0"/>
                <w:sz w:val="24"/>
                <w:highlight w:val="none"/>
                <w14:textFill>
                  <w14:solidFill>
                    <w14:schemeClr w14:val="tx1"/>
                  </w14:solidFill>
                </w14:textFill>
              </w:rPr>
              <w:t>审批机关：</w:t>
            </w:r>
            <w:r>
              <w:rPr>
                <w:rFonts w:hint="default" w:ascii="Times New Roman" w:hAnsi="Times New Roman" w:eastAsia="宋体" w:cs="Times New Roman"/>
                <w:color w:val="000000" w:themeColor="text1"/>
                <w:kern w:val="0"/>
                <w:sz w:val="24"/>
                <w:highlight w:val="none"/>
                <w14:textFill>
                  <w14:solidFill>
                    <w14:schemeClr w14:val="tx1"/>
                  </w14:solidFill>
                </w14:textFill>
              </w:rPr>
              <w:t>内蒙古自治区</w:t>
            </w:r>
            <w:r>
              <w:rPr>
                <w:rFonts w:hint="eastAsia" w:cs="Times New Roman"/>
                <w:color w:val="000000" w:themeColor="text1"/>
                <w:kern w:val="0"/>
                <w:sz w:val="24"/>
                <w:highlight w:val="none"/>
                <w:lang w:val="en-US" w:eastAsia="zh-CN"/>
                <w14:textFill>
                  <w14:solidFill>
                    <w14:schemeClr w14:val="tx1"/>
                  </w14:solidFill>
                </w14:textFill>
              </w:rPr>
              <w:t>生态环境</w:t>
            </w:r>
            <w:r>
              <w:rPr>
                <w:rFonts w:hint="default" w:ascii="Times New Roman" w:hAnsi="Times New Roman" w:eastAsia="宋体" w:cs="Times New Roman"/>
                <w:color w:val="000000" w:themeColor="text1"/>
                <w:kern w:val="0"/>
                <w:sz w:val="24"/>
                <w:highlight w:val="none"/>
                <w14:textFill>
                  <w14:solidFill>
                    <w14:schemeClr w14:val="tx1"/>
                  </w14:solidFill>
                </w14:textFill>
              </w:rPr>
              <w:t>厅</w:t>
            </w:r>
            <w:r>
              <w:rPr>
                <w:rFonts w:hint="eastAsia" w:cs="Times New Roman"/>
                <w:color w:val="000000" w:themeColor="text1"/>
                <w:kern w:val="0"/>
                <w:sz w:val="24"/>
                <w:highlight w:val="none"/>
                <w:lang w:eastAsia="zh-CN"/>
                <w14:textFill>
                  <w14:solidFill>
                    <w14:schemeClr w14:val="tx1"/>
                  </w14:solidFill>
                </w14:textFill>
              </w:rPr>
              <w:t>（</w:t>
            </w:r>
            <w:r>
              <w:rPr>
                <w:rFonts w:hint="eastAsia" w:cs="Times New Roman"/>
                <w:color w:val="000000" w:themeColor="text1"/>
                <w:kern w:val="0"/>
                <w:sz w:val="24"/>
                <w:highlight w:val="none"/>
                <w:lang w:val="en-US" w:eastAsia="zh-CN"/>
                <w14:textFill>
                  <w14:solidFill>
                    <w14:schemeClr w14:val="tx1"/>
                  </w14:solidFill>
                </w14:textFill>
              </w:rPr>
              <w:t>原</w:t>
            </w:r>
            <w:r>
              <w:rPr>
                <w:rFonts w:hint="default" w:ascii="Times New Roman" w:hAnsi="Times New Roman" w:eastAsia="宋体" w:cs="Times New Roman"/>
                <w:color w:val="000000" w:themeColor="text1"/>
                <w:kern w:val="0"/>
                <w:sz w:val="24"/>
                <w:highlight w:val="none"/>
                <w14:textFill>
                  <w14:solidFill>
                    <w14:schemeClr w14:val="tx1"/>
                  </w14:solidFill>
                </w14:textFill>
              </w:rPr>
              <w:t>内蒙古自治区环境保护厅</w:t>
            </w:r>
            <w:r>
              <w:rPr>
                <w:rFonts w:hint="eastAsia" w:cs="Times New Roman"/>
                <w:color w:val="000000" w:themeColor="text1"/>
                <w:kern w:val="0"/>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kern w:val="0"/>
                <w:sz w:val="24"/>
                <w:highlight w:val="none"/>
                <w14:textFill>
                  <w14:solidFill>
                    <w14:schemeClr w14:val="tx1"/>
                  </w14:solidFill>
                </w14:textFill>
              </w:rPr>
              <w:t>；</w:t>
            </w:r>
          </w:p>
          <w:p w14:paraId="65FE8EB1">
            <w:pPr>
              <w:autoSpaceDE w:val="0"/>
              <w:autoSpaceDN w:val="0"/>
              <w:adjustRightInd w:val="0"/>
              <w:snapToGrid w:val="0"/>
              <w:spacing w:line="360" w:lineRule="auto"/>
              <w:jc w:val="both"/>
              <w:rPr>
                <w:rFonts w:hint="default" w:ascii="Times New Roman" w:hAnsi="Times New Roman" w:eastAsia="宋体" w:cs="Times New Roman"/>
                <w:color w:val="000000" w:themeColor="text1"/>
                <w:kern w:val="0"/>
                <w:sz w:val="24"/>
                <w:highlight w:val="none"/>
                <w14:textFill>
                  <w14:solidFill>
                    <w14:schemeClr w14:val="tx1"/>
                  </w14:solidFill>
                </w14:textFill>
              </w:rPr>
            </w:pPr>
            <w:r>
              <w:rPr>
                <w:rFonts w:hint="default" w:ascii="Times New Roman" w:hAnsi="Times New Roman" w:eastAsia="宋体" w:cs="Times New Roman"/>
                <w:b/>
                <w:bCs/>
                <w:color w:val="000000" w:themeColor="text1"/>
                <w:sz w:val="24"/>
                <w:highlight w:val="none"/>
                <w14:textFill>
                  <w14:solidFill>
                    <w14:schemeClr w14:val="tx1"/>
                  </w14:solidFill>
                </w14:textFill>
              </w:rPr>
              <w:t>审查文件名称及文号：</w:t>
            </w:r>
            <w:r>
              <w:rPr>
                <w:rFonts w:hint="default" w:ascii="Times New Roman" w:hAnsi="Times New Roman" w:eastAsia="宋体" w:cs="Times New Roman"/>
                <w:color w:val="000000" w:themeColor="text1"/>
                <w:kern w:val="0"/>
                <w:sz w:val="24"/>
                <w:highlight w:val="none"/>
                <w14:textFill>
                  <w14:solidFill>
                    <w14:schemeClr w14:val="tx1"/>
                  </w14:solidFill>
                </w14:textFill>
              </w:rPr>
              <w:t>《内蒙古自治区环境保护厅关于</w:t>
            </w:r>
            <w:r>
              <w:rPr>
                <w:rFonts w:hint="default" w:ascii="Times New Roman" w:hAnsi="Times New Roman" w:eastAsia="宋体" w:cs="Times New Roman"/>
                <w:color w:val="000000" w:themeColor="text1"/>
                <w:kern w:val="0"/>
                <w:sz w:val="24"/>
                <w:highlight w:val="none"/>
                <w:lang w:val="en-US" w:eastAsia="zh-CN"/>
                <w14:textFill>
                  <w14:solidFill>
                    <w14:schemeClr w14:val="tx1"/>
                  </w14:solidFill>
                </w14:textFill>
              </w:rPr>
              <w:t>内蒙古鄂尔多斯准格尔经济开发区准格尔产业园总体规划（2022-2030）</w:t>
            </w:r>
            <w:r>
              <w:rPr>
                <w:rFonts w:hint="default" w:ascii="Times New Roman" w:hAnsi="Times New Roman" w:eastAsia="宋体" w:cs="Times New Roman"/>
                <w:color w:val="000000" w:themeColor="text1"/>
                <w:kern w:val="0"/>
                <w:sz w:val="24"/>
                <w:highlight w:val="none"/>
                <w14:textFill>
                  <w14:solidFill>
                    <w14:schemeClr w14:val="tx1"/>
                  </w14:solidFill>
                </w14:textFill>
              </w:rPr>
              <w:t>环境影响报告书的审查意见》（</w:t>
            </w:r>
            <w:r>
              <w:rPr>
                <w:rFonts w:hint="default" w:ascii="Times New Roman" w:hAnsi="Times New Roman" w:eastAsia="宋体" w:cs="Times New Roman"/>
                <w:snapToGrid w:val="0"/>
                <w:color w:val="000000" w:themeColor="text1"/>
                <w:kern w:val="0"/>
                <w:sz w:val="24"/>
                <w:highlight w:val="none"/>
                <w14:textFill>
                  <w14:solidFill>
                    <w14:schemeClr w14:val="tx1"/>
                  </w14:solidFill>
                </w14:textFill>
              </w:rPr>
              <w:t>内环字</w:t>
            </w:r>
            <w:r>
              <w:rPr>
                <w:rFonts w:hint="eastAsia" w:ascii="Times New Roman" w:hAnsi="Times New Roman" w:eastAsia="宋体" w:cs="Times New Roman"/>
                <w:snapToGrid w:val="0"/>
                <w:color w:val="000000" w:themeColor="text1"/>
                <w:kern w:val="0"/>
                <w:sz w:val="24"/>
                <w:highlight w:val="none"/>
                <w:lang w:eastAsia="zh-CN"/>
                <w14:textFill>
                  <w14:solidFill>
                    <w14:schemeClr w14:val="tx1"/>
                  </w14:solidFill>
                </w14:textFill>
              </w:rPr>
              <w:t>〔2022〕25号</w:t>
            </w:r>
            <w:r>
              <w:rPr>
                <w:rFonts w:hint="default" w:ascii="Times New Roman" w:hAnsi="Times New Roman" w:eastAsia="宋体" w:cs="Times New Roman"/>
                <w:color w:val="000000" w:themeColor="text1"/>
                <w:kern w:val="0"/>
                <w:sz w:val="24"/>
                <w:highlight w:val="none"/>
                <w14:textFill>
                  <w14:solidFill>
                    <w14:schemeClr w14:val="tx1"/>
                  </w14:solidFill>
                </w14:textFill>
              </w:rPr>
              <w:t>）。</w:t>
            </w:r>
          </w:p>
        </w:tc>
      </w:tr>
      <w:tr w14:paraId="1423A4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94" w:hRule="atLeast"/>
          <w:jc w:val="center"/>
        </w:trPr>
        <w:tc>
          <w:tcPr>
            <w:tcW w:w="843" w:type="dxa"/>
            <w:noWrap w:val="0"/>
            <w:vAlign w:val="center"/>
          </w:tcPr>
          <w:p w14:paraId="1926E769">
            <w:pPr>
              <w:autoSpaceDE w:val="0"/>
              <w:autoSpaceDN w:val="0"/>
              <w:adjustRightInd w:val="0"/>
              <w:snapToGrid w:val="0"/>
              <w:jc w:val="center"/>
              <w:rPr>
                <w:rFonts w:hint="default" w:ascii="Times New Roman" w:hAnsi="Times New Roman" w:eastAsia="宋体" w:cs="Times New Roman"/>
                <w:color w:val="000000" w:themeColor="text1"/>
                <w:kern w:val="0"/>
                <w:sz w:val="24"/>
                <w:highlight w:val="none"/>
                <w14:textFill>
                  <w14:solidFill>
                    <w14:schemeClr w14:val="tx1"/>
                  </w14:solidFill>
                </w14:textFill>
              </w:rPr>
            </w:pPr>
            <w:r>
              <w:rPr>
                <w:rFonts w:hint="default" w:ascii="Times New Roman" w:hAnsi="Times New Roman" w:eastAsia="宋体" w:cs="Times New Roman"/>
                <w:b/>
                <w:bCs/>
                <w:color w:val="000000" w:themeColor="text1"/>
                <w:kern w:val="0"/>
                <w:sz w:val="24"/>
                <w:highlight w:val="none"/>
                <w14:textFill>
                  <w14:solidFill>
                    <w14:schemeClr w14:val="tx1"/>
                  </w14:solidFill>
                </w14:textFill>
              </w:rPr>
              <w:t>规划及规划环境影响评价符合性分析</w:t>
            </w:r>
          </w:p>
        </w:tc>
        <w:tc>
          <w:tcPr>
            <w:tcW w:w="8027" w:type="dxa"/>
            <w:gridSpan w:val="3"/>
            <w:noWrap w:val="0"/>
            <w:vAlign w:val="center"/>
          </w:tcPr>
          <w:p w14:paraId="4E287DE4">
            <w:pPr>
              <w:pStyle w:val="103"/>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cs="Times New Roman"/>
                <w:color w:val="000000" w:themeColor="text1"/>
                <w:szCs w:val="24"/>
                <w:highlight w:val="none"/>
                <w:lang w:val="en-US" w:eastAsia="zh-CN"/>
                <w14:textFill>
                  <w14:solidFill>
                    <w14:schemeClr w14:val="tx1"/>
                  </w14:solidFill>
                </w14:textFill>
              </w:rPr>
            </w:pPr>
            <w:r>
              <w:rPr>
                <w:rFonts w:hint="eastAsia" w:cs="Times New Roman"/>
                <w:color w:val="000000" w:themeColor="text1"/>
                <w:szCs w:val="24"/>
                <w:highlight w:val="none"/>
                <w:lang w:val="en-US" w:eastAsia="zh-CN"/>
                <w14:textFill>
                  <w14:solidFill>
                    <w14:schemeClr w14:val="tx1"/>
                  </w14:solidFill>
                </w14:textFill>
              </w:rPr>
              <w:t>1.规划布局符合性</w:t>
            </w:r>
          </w:p>
          <w:p w14:paraId="3374A927">
            <w:pPr>
              <w:pStyle w:val="103"/>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lang w:val="en-US" w:eastAsia="zh-CN"/>
                <w14:textFill>
                  <w14:solidFill>
                    <w14:schemeClr w14:val="tx1"/>
                  </w14:solidFill>
                </w14:textFill>
              </w:rPr>
              <w:t>根据《内蒙古鄂尔多斯准格尔经济开发区准格尔产业园总体规划（2020－2030）环境影响报告书》，准格尔产业园区以“低阶煤综合利用产业和无机非金属材料产业</w:t>
            </w:r>
            <w:r>
              <w:rPr>
                <w:rFonts w:hint="eastAsia" w:cs="Times New Roman"/>
                <w:color w:val="000000" w:themeColor="text1"/>
                <w:szCs w:val="24"/>
                <w:highlight w:val="none"/>
                <w:lang w:val="en-US" w:eastAsia="zh-CN"/>
                <w14:textFill>
                  <w14:solidFill>
                    <w14:schemeClr w14:val="tx1"/>
                  </w14:solidFill>
                </w14:textFill>
              </w:rPr>
              <w:t>”两</w:t>
            </w:r>
            <w:r>
              <w:rPr>
                <w:rFonts w:hint="default" w:ascii="Times New Roman" w:hAnsi="Times New Roman" w:eastAsia="宋体" w:cs="Times New Roman"/>
                <w:color w:val="000000" w:themeColor="text1"/>
                <w:szCs w:val="24"/>
                <w:highlight w:val="none"/>
                <w:lang w:val="en-US" w:eastAsia="zh-CN"/>
                <w14:textFill>
                  <w14:solidFill>
                    <w14:schemeClr w14:val="tx1"/>
                  </w14:solidFill>
                </w14:textFill>
              </w:rPr>
              <w:t>大产业为主导产业，以废物综合利用、新材料新技术和轻工等产业为主要相关配套产业</w:t>
            </w:r>
            <w:r>
              <w:rPr>
                <w:rFonts w:hint="eastAsia" w:cs="Times New Roman"/>
                <w:color w:val="000000" w:themeColor="text1"/>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Cs w:val="24"/>
                <w:highlight w:val="none"/>
                <w:lang w:val="en-US" w:eastAsia="zh-CN"/>
                <w14:textFill>
                  <w14:solidFill>
                    <w14:schemeClr w14:val="tx1"/>
                  </w14:solidFill>
                </w14:textFill>
              </w:rPr>
              <w:t>形成低阶煤综合利用产业链和无机非金属材料产业链两大产业链”。</w:t>
            </w:r>
          </w:p>
          <w:p w14:paraId="3DF3234A">
            <w:pPr>
              <w:pStyle w:val="103"/>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lang w:val="en-US" w:eastAsia="zh-CN"/>
                <w14:textFill>
                  <w14:solidFill>
                    <w14:schemeClr w14:val="tx1"/>
                  </w14:solidFill>
                </w14:textFill>
              </w:rPr>
              <w:t>园区用地规划布局：园区发展方向为“北进、南控、东扩、西优”。在空间布局上可以划分为“一轴、五带、三区”。</w:t>
            </w:r>
          </w:p>
          <w:p w14:paraId="6B3246AD">
            <w:pPr>
              <w:pStyle w:val="103"/>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lang w:val="en-US" w:eastAsia="zh-CN"/>
                <w14:textFill>
                  <w14:solidFill>
                    <w14:schemeClr w14:val="tx1"/>
                  </w14:solidFill>
                </w14:textFill>
              </w:rPr>
              <w:t>①一轴：依托纳林川水体形成的生态景观轴线。</w:t>
            </w:r>
          </w:p>
          <w:p w14:paraId="2954BAF8">
            <w:pPr>
              <w:pStyle w:val="103"/>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4"/>
                <w:highlight w:val="none"/>
                <w:lang w:val="en-US" w:eastAsia="zh-CN"/>
                <w14:textFill>
                  <w14:solidFill>
                    <w14:schemeClr w14:val="tx1"/>
                  </w14:solidFill>
                </w14:textFill>
              </w:rPr>
              <w:t>②五带：结合过境交通及沟壑、水体形成的三条横向生态绿化隔离带，以及依托贯穿园区南北的道路两侧绿化带、防护隔离带形成的两条纵向绿化隔离带。</w:t>
            </w:r>
          </w:p>
          <w:p w14:paraId="2A299654">
            <w:pPr>
              <w:pStyle w:val="103"/>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4"/>
                <w:highlight w:val="none"/>
                <w:lang w:val="en-US" w:eastAsia="zh-CN"/>
                <w14:textFill>
                  <w14:solidFill>
                    <w14:schemeClr w14:val="tx1"/>
                  </w14:solidFill>
                </w14:textFill>
              </w:rPr>
              <w:t>③三区：根据园区核定边界，划定为I区、Ⅱ区、Ш区。</w:t>
            </w:r>
          </w:p>
          <w:p w14:paraId="7AF457F4">
            <w:pPr>
              <w:pStyle w:val="103"/>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4"/>
                <w:highlight w:val="none"/>
                <w:lang w:val="en-US" w:eastAsia="zh-CN"/>
                <w14:textFill>
                  <w14:solidFill>
                    <w14:schemeClr w14:val="tx1"/>
                  </w14:solidFill>
                </w14:textFill>
              </w:rPr>
              <w:t>园区分三大块区域，总规划面积为</w:t>
            </w:r>
            <w:r>
              <w:rPr>
                <w:rFonts w:hint="default" w:ascii="Times New Roman" w:hAnsi="Times New Roman" w:eastAsia="宋体" w:cs="Times New Roman"/>
                <w:color w:val="000000" w:themeColor="text1"/>
                <w:szCs w:val="24"/>
                <w:highlight w:val="none"/>
                <w:lang w:val="en-US" w:eastAsia="zh-CN"/>
                <w14:textFill>
                  <w14:solidFill>
                    <w14:schemeClr w14:val="tx1"/>
                  </w14:solidFill>
                </w14:textFill>
              </w:rPr>
              <w:t>1620.20hm</w:t>
            </w:r>
            <w:r>
              <w:rPr>
                <w:rFonts w:hint="default" w:ascii="Times New Roman" w:hAnsi="Times New Roman" w:eastAsia="宋体" w:cs="Times New Roman"/>
                <w:color w:val="000000" w:themeColor="text1"/>
                <w:szCs w:val="24"/>
                <w:highlight w:val="none"/>
                <w:vertAlign w:val="superscript"/>
                <w:lang w:val="en-US" w:eastAsia="zh-CN"/>
                <w14:textFill>
                  <w14:solidFill>
                    <w14:schemeClr w14:val="tx1"/>
                  </w14:solidFill>
                </w14:textFill>
              </w:rPr>
              <w:t>2</w:t>
            </w:r>
            <w:r>
              <w:rPr>
                <w:rFonts w:hint="eastAsia" w:ascii="Times New Roman" w:hAnsi="Times New Roman" w:eastAsia="宋体" w:cs="Times New Roman"/>
                <w:color w:val="000000" w:themeColor="text1"/>
                <w:szCs w:val="24"/>
                <w:highlight w:val="none"/>
                <w:lang w:val="en-US" w:eastAsia="zh-CN"/>
                <w14:textFill>
                  <w14:solidFill>
                    <w14:schemeClr w14:val="tx1"/>
                  </w14:solidFill>
                </w14:textFill>
              </w:rPr>
              <w:t>。其中，</w:t>
            </w:r>
            <w:r>
              <w:rPr>
                <w:rFonts w:hint="default" w:ascii="Times New Roman" w:hAnsi="Times New Roman" w:eastAsia="宋体" w:cs="Times New Roman"/>
                <w:color w:val="000000" w:themeColor="text1"/>
                <w:szCs w:val="24"/>
                <w:highlight w:val="none"/>
                <w:lang w:val="en-US" w:eastAsia="zh-CN"/>
                <w14:textFill>
                  <w14:solidFill>
                    <w14:schemeClr w14:val="tx1"/>
                  </w14:solidFill>
                </w14:textFill>
              </w:rPr>
              <w:t>I</w:t>
            </w:r>
            <w:r>
              <w:rPr>
                <w:rFonts w:hint="eastAsia" w:ascii="Times New Roman" w:hAnsi="Times New Roman" w:eastAsia="宋体" w:cs="Times New Roman"/>
                <w:color w:val="000000" w:themeColor="text1"/>
                <w:szCs w:val="24"/>
                <w:highlight w:val="none"/>
                <w:lang w:val="en-US" w:eastAsia="zh-CN"/>
                <w14:textFill>
                  <w14:solidFill>
                    <w14:schemeClr w14:val="tx1"/>
                  </w14:solidFill>
                </w14:textFill>
              </w:rPr>
              <w:t>区规划面积</w:t>
            </w:r>
            <w:r>
              <w:rPr>
                <w:rFonts w:hint="default" w:ascii="Times New Roman" w:hAnsi="Times New Roman" w:eastAsia="宋体" w:cs="Times New Roman"/>
                <w:color w:val="000000" w:themeColor="text1"/>
                <w:szCs w:val="24"/>
                <w:highlight w:val="none"/>
                <w:lang w:val="en-US" w:eastAsia="zh-CN"/>
                <w14:textFill>
                  <w14:solidFill>
                    <w14:schemeClr w14:val="tx1"/>
                  </w14:solidFill>
                </w14:textFill>
              </w:rPr>
              <w:t>1123.48hm</w:t>
            </w:r>
            <w:r>
              <w:rPr>
                <w:rFonts w:hint="default" w:ascii="Times New Roman" w:hAnsi="Times New Roman" w:eastAsia="宋体" w:cs="Times New Roman"/>
                <w:color w:val="000000" w:themeColor="text1"/>
                <w:szCs w:val="24"/>
                <w:highlight w:val="none"/>
                <w:vertAlign w:val="superscript"/>
                <w:lang w:val="en-US" w:eastAsia="zh-CN"/>
                <w14:textFill>
                  <w14:solidFill>
                    <w14:schemeClr w14:val="tx1"/>
                  </w14:solidFill>
                </w14:textFill>
              </w:rPr>
              <w:t>2</w:t>
            </w:r>
            <w:r>
              <w:rPr>
                <w:rFonts w:hint="eastAsia" w:ascii="Times New Roman" w:hAnsi="Times New Roman" w:eastAsia="宋体" w:cs="Times New Roman"/>
                <w:color w:val="000000" w:themeColor="text1"/>
                <w:szCs w:val="24"/>
                <w:highlight w:val="none"/>
                <w:lang w:val="en-US" w:eastAsia="zh-CN"/>
                <w14:textFill>
                  <w14:solidFill>
                    <w14:schemeClr w14:val="tx1"/>
                  </w14:solidFill>
                </w14:textFill>
              </w:rPr>
              <w:t>，规划范围北至荣乌高速公路，东至壕羊公路，南至公益盖沟，西至创业大道；Ⅱ区面积</w:t>
            </w:r>
            <w:r>
              <w:rPr>
                <w:rFonts w:hint="default" w:ascii="Times New Roman" w:hAnsi="Times New Roman" w:eastAsia="宋体" w:cs="Times New Roman"/>
                <w:color w:val="000000" w:themeColor="text1"/>
                <w:szCs w:val="24"/>
                <w:highlight w:val="none"/>
                <w:lang w:val="en-US" w:eastAsia="zh-CN"/>
                <w14:textFill>
                  <w14:solidFill>
                    <w14:schemeClr w14:val="tx1"/>
                  </w14:solidFill>
                </w14:textFill>
              </w:rPr>
              <w:t>297.09hm</w:t>
            </w:r>
            <w:r>
              <w:rPr>
                <w:rFonts w:hint="default" w:ascii="Times New Roman" w:hAnsi="Times New Roman" w:eastAsia="宋体" w:cs="Times New Roman"/>
                <w:color w:val="000000" w:themeColor="text1"/>
                <w:szCs w:val="24"/>
                <w:highlight w:val="none"/>
                <w:vertAlign w:val="superscript"/>
                <w:lang w:val="en-US" w:eastAsia="zh-CN"/>
                <w14:textFill>
                  <w14:solidFill>
                    <w14:schemeClr w14:val="tx1"/>
                  </w14:solidFill>
                </w14:textFill>
              </w:rPr>
              <w:t>2</w:t>
            </w:r>
            <w:r>
              <w:rPr>
                <w:rFonts w:hint="eastAsia" w:ascii="Times New Roman" w:hAnsi="Times New Roman" w:eastAsia="宋体" w:cs="Times New Roman"/>
                <w:color w:val="000000" w:themeColor="text1"/>
                <w:szCs w:val="24"/>
                <w:highlight w:val="none"/>
                <w:lang w:val="en-US" w:eastAsia="zh-CN"/>
                <w14:textFill>
                  <w14:solidFill>
                    <w14:schemeClr w14:val="tx1"/>
                  </w14:solidFill>
                </w14:textFill>
              </w:rPr>
              <w:t>，规划</w:t>
            </w:r>
            <w:r>
              <w:rPr>
                <w:rFonts w:hint="eastAsia" w:cs="Times New Roman"/>
                <w:color w:val="000000" w:themeColor="text1"/>
                <w:szCs w:val="24"/>
                <w:highlight w:val="none"/>
                <w:lang w:val="en-US" w:eastAsia="zh-CN"/>
                <w14:textFill>
                  <w14:solidFill>
                    <w14:schemeClr w14:val="tx1"/>
                  </w14:solidFill>
                </w14:textFill>
              </w:rPr>
              <w:t>范围</w:t>
            </w:r>
            <w:r>
              <w:rPr>
                <w:rFonts w:hint="eastAsia" w:ascii="Times New Roman" w:hAnsi="Times New Roman" w:eastAsia="宋体" w:cs="Times New Roman"/>
                <w:color w:val="000000" w:themeColor="text1"/>
                <w:szCs w:val="24"/>
                <w:highlight w:val="none"/>
                <w:lang w:val="en-US" w:eastAsia="zh-CN"/>
                <w14:textFill>
                  <w14:solidFill>
                    <w14:schemeClr w14:val="tx1"/>
                  </w14:solidFill>
                </w14:textFill>
              </w:rPr>
              <w:t>北至布尔洞沟，东至灰渣固化处置场，南至荣乌高速公路，西至纳林川</w:t>
            </w:r>
            <w:r>
              <w:rPr>
                <w:rFonts w:hint="eastAsia" w:cs="Times New Roman"/>
                <w:color w:val="000000" w:themeColor="text1"/>
                <w:szCs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Cs w:val="24"/>
                <w:highlight w:val="none"/>
                <w:lang w:val="en-US" w:eastAsia="zh-CN"/>
                <w14:textFill>
                  <w14:solidFill>
                    <w14:schemeClr w14:val="tx1"/>
                  </w14:solidFill>
                </w14:textFill>
              </w:rPr>
              <w:t>Ⅲ区面积</w:t>
            </w:r>
            <w:r>
              <w:rPr>
                <w:rFonts w:hint="default" w:ascii="Times New Roman" w:hAnsi="Times New Roman" w:eastAsia="宋体" w:cs="Times New Roman"/>
                <w:color w:val="000000" w:themeColor="text1"/>
                <w:szCs w:val="24"/>
                <w:highlight w:val="none"/>
                <w:lang w:val="en-US" w:eastAsia="zh-CN"/>
                <w14:textFill>
                  <w14:solidFill>
                    <w14:schemeClr w14:val="tx1"/>
                  </w14:solidFill>
                </w14:textFill>
              </w:rPr>
              <w:t>199.63hm</w:t>
            </w:r>
            <w:r>
              <w:rPr>
                <w:rFonts w:hint="default" w:ascii="Times New Roman" w:hAnsi="Times New Roman" w:eastAsia="宋体" w:cs="Times New Roman"/>
                <w:color w:val="000000" w:themeColor="text1"/>
                <w:szCs w:val="24"/>
                <w:highlight w:val="none"/>
                <w:vertAlign w:val="superscript"/>
                <w:lang w:val="en-US" w:eastAsia="zh-CN"/>
                <w14:textFill>
                  <w14:solidFill>
                    <w14:schemeClr w14:val="tx1"/>
                  </w14:solidFill>
                </w14:textFill>
              </w:rPr>
              <w:t>2</w:t>
            </w:r>
            <w:r>
              <w:rPr>
                <w:rFonts w:hint="eastAsia" w:ascii="Times New Roman" w:hAnsi="Times New Roman" w:eastAsia="宋体" w:cs="Times New Roman"/>
                <w:color w:val="000000" w:themeColor="text1"/>
                <w:szCs w:val="24"/>
                <w:highlight w:val="none"/>
                <w:lang w:val="en-US" w:eastAsia="zh-CN"/>
                <w14:textFill>
                  <w14:solidFill>
                    <w14:schemeClr w14:val="tx1"/>
                  </w14:solidFill>
                </w14:textFill>
              </w:rPr>
              <w:t>，规划范围北至公益盖沟，东至壕羊公路，南至壕羊公路，西至学校坡。</w:t>
            </w:r>
          </w:p>
          <w:p w14:paraId="269B4D60">
            <w:pPr>
              <w:pStyle w:val="103"/>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4"/>
                <w:highlight w:val="none"/>
                <w:lang w:val="en-US" w:eastAsia="zh-CN"/>
                <w14:textFill>
                  <w14:solidFill>
                    <w14:schemeClr w14:val="tx1"/>
                  </w14:solidFill>
                </w14:textFill>
              </w:rPr>
              <w:t>产业定位：主导产业为无机非金属材料和低阶煤综合利用。</w:t>
            </w:r>
          </w:p>
          <w:p w14:paraId="5F088F38">
            <w:pPr>
              <w:pStyle w:val="103"/>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lang w:val="en-US" w:eastAsia="zh-CN"/>
                <w14:textFill>
                  <w14:solidFill>
                    <w14:schemeClr w14:val="tx1"/>
                  </w14:solidFill>
                </w14:textFill>
              </w:rPr>
              <w:t>I区：以兴业路为界，分为化工产业区和无机非金属材料产业区两个功能分区。I区东侧为化工产业区，重点发展煤炭深加工产业及下游产业链，配套发展固废综合利用产业、机械制造、建材、轻工、光伏制氢及新材料新技术产业；I区为无机非金属材料产业一区</w:t>
            </w:r>
            <w:r>
              <w:rPr>
                <w:rFonts w:hint="eastAsia" w:cs="Times New Roman"/>
                <w:color w:val="000000" w:themeColor="text1"/>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Cs w:val="24"/>
                <w:highlight w:val="none"/>
                <w:lang w:val="en-US" w:eastAsia="zh-CN"/>
                <w14:textFill>
                  <w14:solidFill>
                    <w14:schemeClr w14:val="tx1"/>
                  </w14:solidFill>
                </w14:textFill>
              </w:rPr>
              <w:t>重点发展利用高岭土、石英砂等无机非金属材料生产陶瓷、耐火材料等产业，配套发展固废综合利用产业及新材料新技术产业。</w:t>
            </w:r>
          </w:p>
          <w:p w14:paraId="308FCD16">
            <w:pPr>
              <w:pStyle w:val="103"/>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lang w:val="en-US" w:eastAsia="zh-CN"/>
                <w14:textFill>
                  <w14:solidFill>
                    <w14:schemeClr w14:val="tx1"/>
                  </w14:solidFill>
                </w14:textFill>
              </w:rPr>
              <w:t>Ⅱ区：为无机非金属材料产业二区，重点发展利用高岭土、石英砂等无机非金属材料和固废资源生产陶瓷产品、耐火材料、玻璃制品等产业，配套发展新材料新技术产业。</w:t>
            </w:r>
          </w:p>
          <w:p w14:paraId="3FD6D78E">
            <w:pPr>
              <w:pStyle w:val="103"/>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lang w:val="en-US" w:eastAsia="zh-CN"/>
                <w14:textFill>
                  <w14:solidFill>
                    <w14:schemeClr w14:val="tx1"/>
                  </w14:solidFill>
                </w14:textFill>
              </w:rPr>
              <w:t>Ⅲ区：为新兴产业区，重点发展特种玻璃、光伏制造、光伏太阳能组件等新兴产业。</w:t>
            </w:r>
          </w:p>
          <w:p w14:paraId="02438B14">
            <w:pPr>
              <w:pStyle w:val="103"/>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lang w:val="en-US" w:eastAsia="zh-CN"/>
                <w14:textFill>
                  <w14:solidFill>
                    <w14:schemeClr w14:val="tx1"/>
                  </w14:solidFill>
                </w14:textFill>
              </w:rPr>
              <w:t>其中无机非金属材料产业链为：充分利用当地丰富的煤系高岭土、长石、石灰石、粘土和石英砂等无机非金属材料，制造多用途的高岭土标准化粉体材料和陶瓷原料、日用陶瓷、建筑陶瓷等功能性陶瓷产品，人工合成晶体、复合型新材料、电子级高新硅基材料、莫来石、焦宝石等耐火材料、铸造砂，以及特种玻璃等。下游延伸可发展太阳能光伏组件、光伏制氢等。</w:t>
            </w:r>
          </w:p>
          <w:p w14:paraId="7EA2F82A">
            <w:pPr>
              <w:pStyle w:val="103"/>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Cs w:val="24"/>
                <w:highlight w:val="none"/>
                <w:lang w:val="en-US" w:eastAsia="zh-CN"/>
                <w14:textFill>
                  <w14:solidFill>
                    <w14:schemeClr w14:val="tx1"/>
                  </w14:solidFill>
                </w14:textFill>
              </w:rPr>
            </w:pPr>
            <w:r>
              <w:rPr>
                <w:rFonts w:hint="eastAsia" w:cs="Times New Roman"/>
                <w:color w:val="000000" w:themeColor="text1"/>
                <w:szCs w:val="24"/>
                <w:highlight w:val="none"/>
                <w:lang w:val="en-US" w:eastAsia="zh-CN"/>
                <w14:textFill>
                  <w14:solidFill>
                    <w14:schemeClr w14:val="tx1"/>
                  </w14:solidFill>
                </w14:textFill>
              </w:rPr>
              <w:t>本项目为新建项目，属于无机非金属材料产业，</w:t>
            </w:r>
            <w:r>
              <w:rPr>
                <w:rFonts w:hint="default" w:ascii="Times New Roman" w:hAnsi="Times New Roman" w:eastAsia="宋体" w:cs="Times New Roman"/>
                <w:color w:val="000000" w:themeColor="text1"/>
                <w:szCs w:val="24"/>
                <w:highlight w:val="none"/>
                <w:lang w:val="en-US" w:eastAsia="zh-CN"/>
                <w14:textFill>
                  <w14:solidFill>
                    <w14:schemeClr w14:val="tx1"/>
                  </w14:solidFill>
                </w14:textFill>
              </w:rPr>
              <w:t>属于无机非金属材料产业链项目，符合准格尔经济开发区准格尔产业园规划。</w:t>
            </w:r>
          </w:p>
          <w:p w14:paraId="7DF34268">
            <w:pPr>
              <w:pStyle w:val="103"/>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4"/>
                <w:highlight w:val="none"/>
                <w:lang w:val="en-US" w:eastAsia="zh-CN"/>
                <w14:textFill>
                  <w14:solidFill>
                    <w14:schemeClr w14:val="tx1"/>
                  </w14:solidFill>
                </w14:textFill>
              </w:rPr>
              <w:t>本项目位于园区规划的I区</w:t>
            </w:r>
            <w:r>
              <w:rPr>
                <w:rFonts w:hint="eastAsia" w:cs="Times New Roman"/>
                <w:color w:val="000000" w:themeColor="text1"/>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Cs w:val="24"/>
                <w:highlight w:val="none"/>
                <w:lang w:val="en-US" w:eastAsia="zh-CN"/>
                <w14:textFill>
                  <w14:solidFill>
                    <w14:schemeClr w14:val="tx1"/>
                  </w14:solidFill>
                </w14:textFill>
              </w:rPr>
              <w:t>无机非金属材料产</w:t>
            </w:r>
            <w:r>
              <w:rPr>
                <w:rFonts w:hint="eastAsia" w:cs="Times New Roman"/>
                <w:color w:val="000000" w:themeColor="text1"/>
                <w:szCs w:val="24"/>
                <w:highlight w:val="none"/>
                <w:lang w:val="en-US" w:eastAsia="zh-CN"/>
                <w14:textFill>
                  <w14:solidFill>
                    <w14:schemeClr w14:val="tx1"/>
                  </w14:solidFill>
                </w14:textFill>
              </w:rPr>
              <w:t>业园）中南部</w:t>
            </w:r>
            <w:r>
              <w:rPr>
                <w:rFonts w:hint="default" w:ascii="Times New Roman" w:hAnsi="Times New Roman" w:eastAsia="宋体" w:cs="Times New Roman"/>
                <w:color w:val="000000" w:themeColor="text1"/>
                <w:szCs w:val="24"/>
                <w:highlight w:val="none"/>
                <w:lang w:val="en-US" w:eastAsia="zh-CN"/>
                <w14:textFill>
                  <w14:solidFill>
                    <w14:schemeClr w14:val="tx1"/>
                  </w14:solidFill>
                </w14:textFill>
              </w:rPr>
              <w:t>，在三类工业用地范围内</w:t>
            </w:r>
            <w:r>
              <w:rPr>
                <w:rFonts w:hint="eastAsia" w:cs="Times New Roman"/>
                <w:color w:val="000000" w:themeColor="text1"/>
                <w:szCs w:val="24"/>
                <w:highlight w:val="none"/>
                <w:lang w:val="en-US" w:eastAsia="zh-CN"/>
                <w14:textFill>
                  <w14:solidFill>
                    <w14:schemeClr w14:val="tx1"/>
                  </w14:solidFill>
                </w14:textFill>
              </w:rPr>
              <w:t>，已取得用地手续（见附件）</w:t>
            </w:r>
            <w:r>
              <w:rPr>
                <w:rFonts w:hint="default" w:ascii="Times New Roman" w:hAnsi="Times New Roman" w:eastAsia="宋体" w:cs="Times New Roman"/>
                <w:color w:val="000000" w:themeColor="text1"/>
                <w:szCs w:val="24"/>
                <w:highlight w:val="none"/>
                <w:lang w:val="en-US" w:eastAsia="zh-CN"/>
                <w14:textFill>
                  <w14:solidFill>
                    <w14:schemeClr w14:val="tx1"/>
                  </w14:solidFill>
                </w14:textFill>
              </w:rPr>
              <w:t>，该区域配套发展固废综合利用产业及新材料新技术产业，故项目符合产业片区定位。本项目符合内蒙古准格尔经济开发区总体规划的要求。</w:t>
            </w:r>
          </w:p>
          <w:p w14:paraId="649F820C">
            <w:pPr>
              <w:pStyle w:val="103"/>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color w:val="000000" w:themeColor="text1"/>
                <w:szCs w:val="24"/>
                <w:highlight w:val="none"/>
                <w:lang w:val="en-US" w:eastAsia="zh-CN"/>
                <w14:textFill>
                  <w14:solidFill>
                    <w14:schemeClr w14:val="tx1"/>
                  </w14:solidFill>
                </w14:textFill>
              </w:rPr>
            </w:pPr>
            <w:r>
              <w:rPr>
                <w:rFonts w:hint="eastAsia" w:cs="Times New Roman"/>
                <w:color w:val="000000" w:themeColor="text1"/>
                <w:szCs w:val="24"/>
                <w:highlight w:val="none"/>
                <w:lang w:val="en-US" w:eastAsia="zh-CN"/>
                <w14:textFill>
                  <w14:solidFill>
                    <w14:schemeClr w14:val="tx1"/>
                  </w14:solidFill>
                </w14:textFill>
              </w:rPr>
              <w:t>具体位置</w:t>
            </w:r>
            <w:r>
              <w:rPr>
                <w:rFonts w:hint="eastAsia" w:ascii="Times New Roman" w:hAnsi="Times New Roman" w:eastAsia="宋体" w:cs="Times New Roman"/>
                <w:color w:val="000000" w:themeColor="text1"/>
                <w:szCs w:val="24"/>
                <w:highlight w:val="none"/>
                <w:lang w:val="en-US" w:eastAsia="zh-CN"/>
                <w14:textFill>
                  <w14:solidFill>
                    <w14:schemeClr w14:val="tx1"/>
                  </w14:solidFill>
                </w14:textFill>
              </w:rPr>
              <w:t>见下图。</w:t>
            </w:r>
          </w:p>
          <w:p w14:paraId="76DE4C6D">
            <w:pPr>
              <w:pStyle w:val="103"/>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Cs w:val="24"/>
                <w:highlight w:val="none"/>
                <w:lang w:val="en-US" w:eastAsia="zh-CN"/>
                <w14:textFill>
                  <w14:solidFill>
                    <w14:schemeClr w14:val="tx1"/>
                  </w14:solidFill>
                </w14:textFill>
              </w:rPr>
            </w:pPr>
            <w:r>
              <w:rPr>
                <w:rFonts w:hint="eastAsia" w:cs="Times New Roman"/>
                <w:color w:val="000000" w:themeColor="text1"/>
                <w:szCs w:val="24"/>
                <w:highlight w:val="none"/>
                <w:lang w:val="en-US" w:eastAsia="zh-CN"/>
                <w14:textFill>
                  <w14:solidFill>
                    <w14:schemeClr w14:val="tx1"/>
                  </w14:solidFill>
                </w14:textFill>
              </w:rPr>
              <w:t>2.</w:t>
            </w:r>
            <w:r>
              <w:rPr>
                <w:rFonts w:hint="eastAsia" w:ascii="Times New Roman" w:hAnsi="Times New Roman" w:eastAsia="宋体" w:cs="Times New Roman"/>
                <w:color w:val="000000" w:themeColor="text1"/>
                <w:szCs w:val="24"/>
                <w:highlight w:val="none"/>
                <w:lang w:val="en-US" w:eastAsia="zh-CN"/>
                <w14:textFill>
                  <w14:solidFill>
                    <w14:schemeClr w14:val="tx1"/>
                  </w14:solidFill>
                </w14:textFill>
              </w:rPr>
              <w:t>规划规模符合性</w:t>
            </w:r>
          </w:p>
          <w:p w14:paraId="3CB62AF3">
            <w:pPr>
              <w:pStyle w:val="103"/>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4"/>
                <w:highlight w:val="none"/>
                <w:lang w:val="en-US" w:eastAsia="zh-CN"/>
                <w14:textFill>
                  <w14:solidFill>
                    <w14:schemeClr w14:val="tx1"/>
                  </w14:solidFill>
                </w14:textFill>
              </w:rPr>
              <w:t>根据《内蒙古准格尔经济开发区总体规划（</w:t>
            </w:r>
            <w:r>
              <w:rPr>
                <w:rFonts w:hint="default" w:ascii="Times New Roman" w:hAnsi="Times New Roman" w:eastAsia="宋体" w:cs="Times New Roman"/>
                <w:color w:val="000000" w:themeColor="text1"/>
                <w:szCs w:val="24"/>
                <w:highlight w:val="none"/>
                <w:lang w:val="en-US" w:eastAsia="zh-CN"/>
                <w14:textFill>
                  <w14:solidFill>
                    <w14:schemeClr w14:val="tx1"/>
                  </w14:solidFill>
                </w14:textFill>
              </w:rPr>
              <w:t>2020-2030</w:t>
            </w:r>
            <w:r>
              <w:rPr>
                <w:rFonts w:hint="eastAsia" w:ascii="Times New Roman" w:hAnsi="Times New Roman" w:eastAsia="宋体" w:cs="Times New Roman"/>
                <w:color w:val="000000" w:themeColor="text1"/>
                <w:szCs w:val="24"/>
                <w:highlight w:val="none"/>
                <w:lang w:val="en-US" w:eastAsia="zh-CN"/>
                <w14:textFill>
                  <w14:solidFill>
                    <w14:schemeClr w14:val="tx1"/>
                  </w14:solidFill>
                </w14:textFill>
              </w:rPr>
              <w:t>）环境影响报告书》内容</w:t>
            </w:r>
            <w:r>
              <w:rPr>
                <w:rFonts w:hint="eastAsia" w:cs="Times New Roman"/>
                <w:color w:val="000000" w:themeColor="text1"/>
                <w:szCs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Cs w:val="24"/>
                <w:highlight w:val="none"/>
                <w:lang w:val="en-US" w:eastAsia="zh-CN"/>
                <w14:textFill>
                  <w14:solidFill>
                    <w14:schemeClr w14:val="tx1"/>
                  </w14:solidFill>
                </w14:textFill>
              </w:rPr>
              <w:t>高岭土标准化粉体材料规划新增规模，近期</w:t>
            </w:r>
            <w:r>
              <w:rPr>
                <w:rFonts w:hint="eastAsia" w:cs="Times New Roman"/>
                <w:color w:val="000000" w:themeColor="text1"/>
                <w:szCs w:val="24"/>
                <w:highlight w:val="none"/>
                <w:lang w:val="en-US" w:eastAsia="zh-CN"/>
                <w14:textFill>
                  <w14:solidFill>
                    <w14:schemeClr w14:val="tx1"/>
                  </w14:solidFill>
                </w14:textFill>
              </w:rPr>
              <w:t>90万吨，远期13</w:t>
            </w:r>
            <w:r>
              <w:rPr>
                <w:rFonts w:hint="default" w:ascii="Times New Roman" w:hAnsi="Times New Roman" w:eastAsia="宋体" w:cs="Times New Roman"/>
                <w:color w:val="000000" w:themeColor="text1"/>
                <w:szCs w:val="24"/>
                <w:highlight w:val="none"/>
                <w:lang w:val="en-US" w:eastAsia="zh-CN"/>
                <w14:textFill>
                  <w14:solidFill>
                    <w14:schemeClr w14:val="tx1"/>
                  </w14:solidFill>
                </w14:textFill>
              </w:rPr>
              <w:t>0</w:t>
            </w:r>
            <w:r>
              <w:rPr>
                <w:rFonts w:hint="eastAsia" w:ascii="Times New Roman" w:hAnsi="Times New Roman" w:eastAsia="宋体" w:cs="Times New Roman"/>
                <w:color w:val="000000" w:themeColor="text1"/>
                <w:szCs w:val="24"/>
                <w:highlight w:val="none"/>
                <w:lang w:val="en-US" w:eastAsia="zh-CN"/>
                <w14:textFill>
                  <w14:solidFill>
                    <w14:schemeClr w14:val="tx1"/>
                  </w14:solidFill>
                </w14:textFill>
              </w:rPr>
              <w:t>万吨。目前在建高岭土标准化粉体项目</w:t>
            </w:r>
            <w:r>
              <w:rPr>
                <w:rFonts w:hint="eastAsia" w:cs="Times New Roman"/>
                <w:color w:val="000000" w:themeColor="text1"/>
                <w:szCs w:val="24"/>
                <w:highlight w:val="none"/>
                <w:lang w:val="en-US" w:eastAsia="zh-CN"/>
                <w14:textFill>
                  <w14:solidFill>
                    <w14:schemeClr w14:val="tx1"/>
                  </w14:solidFill>
                </w14:textFill>
              </w:rPr>
              <w:t>60万吨</w:t>
            </w:r>
            <w:r>
              <w:rPr>
                <w:rFonts w:hint="eastAsia" w:ascii="Times New Roman" w:hAnsi="Times New Roman" w:eastAsia="宋体" w:cs="Times New Roman"/>
                <w:color w:val="000000" w:themeColor="text1"/>
                <w:szCs w:val="24"/>
                <w:highlight w:val="none"/>
                <w:lang w:val="en-US" w:eastAsia="zh-CN"/>
                <w14:textFill>
                  <w14:solidFill>
                    <w14:schemeClr w14:val="tx1"/>
                  </w14:solidFill>
                </w14:textFill>
              </w:rPr>
              <w:t>，本项目建设年产</w:t>
            </w:r>
            <w:r>
              <w:rPr>
                <w:rFonts w:hint="eastAsia" w:cs="Times New Roman"/>
                <w:color w:val="000000" w:themeColor="text1"/>
                <w:szCs w:val="24"/>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szCs w:val="24"/>
                <w:highlight w:val="none"/>
                <w:lang w:val="en-US" w:eastAsia="zh-CN"/>
                <w14:textFill>
                  <w14:solidFill>
                    <w14:schemeClr w14:val="tx1"/>
                  </w14:solidFill>
                </w14:textFill>
              </w:rPr>
              <w:t>0</w:t>
            </w:r>
            <w:r>
              <w:rPr>
                <w:rFonts w:hint="eastAsia" w:ascii="Times New Roman" w:hAnsi="Times New Roman" w:eastAsia="宋体" w:cs="Times New Roman"/>
                <w:color w:val="000000" w:themeColor="text1"/>
                <w:szCs w:val="24"/>
                <w:highlight w:val="none"/>
                <w:lang w:val="en-US" w:eastAsia="zh-CN"/>
                <w14:textFill>
                  <w14:solidFill>
                    <w14:schemeClr w14:val="tx1"/>
                  </w14:solidFill>
                </w14:textFill>
              </w:rPr>
              <w:t>万吨，符合近期规划</w:t>
            </w:r>
            <w:r>
              <w:rPr>
                <w:rFonts w:hint="eastAsia" w:cs="Times New Roman"/>
                <w:color w:val="000000" w:themeColor="text1"/>
                <w:szCs w:val="24"/>
                <w:highlight w:val="none"/>
                <w:lang w:val="en-US" w:eastAsia="zh-CN"/>
                <w14:textFill>
                  <w14:solidFill>
                    <w14:schemeClr w14:val="tx1"/>
                  </w14:solidFill>
                </w14:textFill>
              </w:rPr>
              <w:t>13</w:t>
            </w:r>
            <w:r>
              <w:rPr>
                <w:rFonts w:hint="default" w:ascii="Times New Roman" w:hAnsi="Times New Roman" w:eastAsia="宋体" w:cs="Times New Roman"/>
                <w:color w:val="000000" w:themeColor="text1"/>
                <w:szCs w:val="24"/>
                <w:highlight w:val="none"/>
                <w:lang w:val="en-US" w:eastAsia="zh-CN"/>
                <w14:textFill>
                  <w14:solidFill>
                    <w14:schemeClr w14:val="tx1"/>
                  </w14:solidFill>
                </w14:textFill>
              </w:rPr>
              <w:t>0</w:t>
            </w:r>
            <w:r>
              <w:rPr>
                <w:rFonts w:hint="eastAsia" w:ascii="Times New Roman" w:hAnsi="Times New Roman" w:eastAsia="宋体" w:cs="Times New Roman"/>
                <w:color w:val="000000" w:themeColor="text1"/>
                <w:szCs w:val="24"/>
                <w:highlight w:val="none"/>
                <w:lang w:val="en-US" w:eastAsia="zh-CN"/>
                <w14:textFill>
                  <w14:solidFill>
                    <w14:schemeClr w14:val="tx1"/>
                  </w14:solidFill>
                </w14:textFill>
              </w:rPr>
              <w:t>万吨要求。</w:t>
            </w:r>
          </w:p>
          <w:p w14:paraId="685B3C20">
            <w:pPr>
              <w:pStyle w:val="103"/>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cs="Times New Roman"/>
                <w:color w:val="000000" w:themeColor="text1"/>
                <w:szCs w:val="24"/>
                <w:highlight w:val="none"/>
                <w:lang w:val="en-US" w:eastAsia="zh-CN"/>
                <w14:textFill>
                  <w14:solidFill>
                    <w14:schemeClr w14:val="tx1"/>
                  </w14:solidFill>
                </w14:textFill>
              </w:rPr>
            </w:pPr>
            <w:r>
              <w:rPr>
                <w:rFonts w:hint="eastAsia" w:cs="Times New Roman"/>
                <w:color w:val="000000" w:themeColor="text1"/>
                <w:szCs w:val="24"/>
                <w:highlight w:val="none"/>
                <w:lang w:val="en-US" w:eastAsia="zh-CN"/>
                <w14:textFill>
                  <w14:solidFill>
                    <w14:schemeClr w14:val="tx1"/>
                  </w14:solidFill>
                </w14:textFill>
              </w:rPr>
              <w:t>3.排放量及容量符合性分析</w:t>
            </w:r>
          </w:p>
          <w:p w14:paraId="3581D3C1">
            <w:pPr>
              <w:pStyle w:val="103"/>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cs="Times New Roman"/>
                <w:color w:val="000000" w:themeColor="text1"/>
                <w:szCs w:val="24"/>
                <w:highlight w:val="none"/>
                <w:lang w:val="en-US" w:eastAsia="zh-CN"/>
                <w14:textFill>
                  <w14:solidFill>
                    <w14:schemeClr w14:val="tx1"/>
                  </w14:solidFill>
                </w14:textFill>
              </w:rPr>
            </w:pPr>
            <w:r>
              <w:rPr>
                <w:rFonts w:hint="eastAsia" w:cs="Times New Roman"/>
                <w:color w:val="000000" w:themeColor="text1"/>
                <w:szCs w:val="24"/>
                <w:highlight w:val="none"/>
                <w:lang w:val="en-US" w:eastAsia="zh-CN"/>
                <w14:textFill>
                  <w14:solidFill>
                    <w14:schemeClr w14:val="tx1"/>
                  </w14:solidFill>
                </w14:textFill>
              </w:rPr>
              <w:t>根据《内蒙古准格尔经济开发区总体规划（2020-2030）环境影响报告书》，园区2021合计SO</w:t>
            </w:r>
            <w:r>
              <w:rPr>
                <w:rFonts w:hint="eastAsia" w:cs="Times New Roman"/>
                <w:color w:val="000000" w:themeColor="text1"/>
                <w:szCs w:val="24"/>
                <w:highlight w:val="none"/>
                <w:vertAlign w:val="subscript"/>
                <w:lang w:val="en-US" w:eastAsia="zh-CN"/>
                <w14:textFill>
                  <w14:solidFill>
                    <w14:schemeClr w14:val="tx1"/>
                  </w14:solidFill>
                </w14:textFill>
              </w:rPr>
              <w:t>2</w:t>
            </w:r>
            <w:r>
              <w:rPr>
                <w:rFonts w:hint="eastAsia" w:cs="Times New Roman"/>
                <w:color w:val="000000" w:themeColor="text1"/>
                <w:szCs w:val="24"/>
                <w:highlight w:val="none"/>
                <w:lang w:val="en-US" w:eastAsia="zh-CN"/>
                <w14:textFill>
                  <w14:solidFill>
                    <w14:schemeClr w14:val="tx1"/>
                  </w14:solidFill>
                </w14:textFill>
              </w:rPr>
              <w:t>排放量453.4t/a，NOx排放量1035.4t/a，颗粒物排放量609.2t/a。</w:t>
            </w:r>
          </w:p>
          <w:p w14:paraId="570D1B3B">
            <w:pPr>
              <w:pStyle w:val="103"/>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cs="Times New Roman"/>
                <w:color w:val="000000" w:themeColor="text1"/>
                <w:szCs w:val="24"/>
                <w:highlight w:val="none"/>
                <w:lang w:val="en-US" w:eastAsia="zh-CN"/>
                <w14:textFill>
                  <w14:solidFill>
                    <w14:schemeClr w14:val="tx1"/>
                  </w14:solidFill>
                </w14:textFill>
              </w:rPr>
            </w:pPr>
            <w:r>
              <w:rPr>
                <w:rFonts w:hint="eastAsia" w:cs="Times New Roman"/>
                <w:color w:val="000000" w:themeColor="text1"/>
                <w:szCs w:val="24"/>
                <w:highlight w:val="none"/>
                <w:lang w:val="en-US" w:eastAsia="zh-CN"/>
                <w14:textFill>
                  <w14:solidFill>
                    <w14:schemeClr w14:val="tx1"/>
                  </w14:solidFill>
                </w14:textFill>
              </w:rPr>
              <w:t>近期情景下（2025年），近期新增项目（包括在建、拟建）SO</w:t>
            </w:r>
            <w:r>
              <w:rPr>
                <w:rFonts w:hint="eastAsia" w:cs="Times New Roman"/>
                <w:color w:val="000000" w:themeColor="text1"/>
                <w:szCs w:val="24"/>
                <w:highlight w:val="none"/>
                <w:vertAlign w:val="subscript"/>
                <w:lang w:val="en-US" w:eastAsia="zh-CN"/>
                <w14:textFill>
                  <w14:solidFill>
                    <w14:schemeClr w14:val="tx1"/>
                  </w14:solidFill>
                </w14:textFill>
              </w:rPr>
              <w:t>2</w:t>
            </w:r>
            <w:r>
              <w:rPr>
                <w:rFonts w:hint="eastAsia" w:cs="Times New Roman"/>
                <w:color w:val="000000" w:themeColor="text1"/>
                <w:szCs w:val="24"/>
                <w:highlight w:val="none"/>
                <w:lang w:val="en-US" w:eastAsia="zh-CN"/>
                <w14:textFill>
                  <w14:solidFill>
                    <w14:schemeClr w14:val="tx1"/>
                  </w14:solidFill>
                </w14:textFill>
              </w:rPr>
              <w:t>、NOx、PM</w:t>
            </w:r>
            <w:r>
              <w:rPr>
                <w:rFonts w:hint="eastAsia" w:cs="Times New Roman"/>
                <w:color w:val="000000" w:themeColor="text1"/>
                <w:szCs w:val="24"/>
                <w:highlight w:val="none"/>
                <w:vertAlign w:val="subscript"/>
                <w:lang w:val="en-US" w:eastAsia="zh-CN"/>
                <w14:textFill>
                  <w14:solidFill>
                    <w14:schemeClr w14:val="tx1"/>
                  </w14:solidFill>
                </w14:textFill>
              </w:rPr>
              <w:t>10</w:t>
            </w:r>
            <w:r>
              <w:rPr>
                <w:rFonts w:hint="eastAsia" w:cs="Times New Roman"/>
                <w:color w:val="000000" w:themeColor="text1"/>
                <w:szCs w:val="24"/>
                <w:highlight w:val="none"/>
                <w:lang w:val="en-US" w:eastAsia="zh-CN"/>
                <w14:textFill>
                  <w14:solidFill>
                    <w14:schemeClr w14:val="tx1"/>
                  </w14:solidFill>
                </w14:textFill>
              </w:rPr>
              <w:t>、PM</w:t>
            </w:r>
            <w:r>
              <w:rPr>
                <w:rFonts w:hint="eastAsia" w:cs="Times New Roman"/>
                <w:color w:val="000000" w:themeColor="text1"/>
                <w:szCs w:val="24"/>
                <w:highlight w:val="none"/>
                <w:vertAlign w:val="subscript"/>
                <w:lang w:val="en-US" w:eastAsia="zh-CN"/>
                <w14:textFill>
                  <w14:solidFill>
                    <w14:schemeClr w14:val="tx1"/>
                  </w14:solidFill>
                </w14:textFill>
              </w:rPr>
              <w:t>2.5</w:t>
            </w:r>
            <w:r>
              <w:rPr>
                <w:rFonts w:hint="eastAsia" w:cs="Times New Roman"/>
                <w:color w:val="000000" w:themeColor="text1"/>
                <w:szCs w:val="24"/>
                <w:highlight w:val="none"/>
                <w:lang w:val="en-US" w:eastAsia="zh-CN"/>
                <w14:textFill>
                  <w14:solidFill>
                    <w14:schemeClr w14:val="tx1"/>
                  </w14:solidFill>
                </w14:textFill>
              </w:rPr>
              <w:t>排放量分别为579.62t/a、1179.89t/a、334.84t/a、167.42t/a；停产复产项目SO</w:t>
            </w:r>
            <w:r>
              <w:rPr>
                <w:rFonts w:hint="eastAsia" w:cs="Times New Roman"/>
                <w:color w:val="000000" w:themeColor="text1"/>
                <w:szCs w:val="24"/>
                <w:highlight w:val="none"/>
                <w:vertAlign w:val="subscript"/>
                <w:lang w:val="en-US" w:eastAsia="zh-CN"/>
                <w14:textFill>
                  <w14:solidFill>
                    <w14:schemeClr w14:val="tx1"/>
                  </w14:solidFill>
                </w14:textFill>
              </w:rPr>
              <w:t>2</w:t>
            </w:r>
            <w:r>
              <w:rPr>
                <w:rFonts w:hint="eastAsia" w:cs="Times New Roman"/>
                <w:color w:val="000000" w:themeColor="text1"/>
                <w:szCs w:val="24"/>
                <w:highlight w:val="none"/>
                <w:lang w:val="en-US" w:eastAsia="zh-CN"/>
                <w14:textFill>
                  <w14:solidFill>
                    <w14:schemeClr w14:val="tx1"/>
                  </w14:solidFill>
                </w14:textFill>
              </w:rPr>
              <w:t>、NOx、PM</w:t>
            </w:r>
            <w:r>
              <w:rPr>
                <w:rFonts w:hint="eastAsia" w:cs="Times New Roman"/>
                <w:color w:val="000000" w:themeColor="text1"/>
                <w:szCs w:val="24"/>
                <w:highlight w:val="none"/>
                <w:vertAlign w:val="subscript"/>
                <w:lang w:val="en-US" w:eastAsia="zh-CN"/>
                <w14:textFill>
                  <w14:solidFill>
                    <w14:schemeClr w14:val="tx1"/>
                  </w14:solidFill>
                </w14:textFill>
              </w:rPr>
              <w:t>10</w:t>
            </w:r>
            <w:r>
              <w:rPr>
                <w:rFonts w:hint="eastAsia" w:cs="Times New Roman"/>
                <w:color w:val="000000" w:themeColor="text1"/>
                <w:szCs w:val="24"/>
                <w:highlight w:val="none"/>
                <w:lang w:val="en-US" w:eastAsia="zh-CN"/>
                <w14:textFill>
                  <w14:solidFill>
                    <w14:schemeClr w14:val="tx1"/>
                  </w14:solidFill>
                </w14:textFill>
              </w:rPr>
              <w:t>、PM</w:t>
            </w:r>
            <w:r>
              <w:rPr>
                <w:rFonts w:hint="eastAsia" w:cs="Times New Roman"/>
                <w:color w:val="000000" w:themeColor="text1"/>
                <w:szCs w:val="24"/>
                <w:highlight w:val="none"/>
                <w:vertAlign w:val="subscript"/>
                <w:lang w:val="en-US" w:eastAsia="zh-CN"/>
                <w14:textFill>
                  <w14:solidFill>
                    <w14:schemeClr w14:val="tx1"/>
                  </w14:solidFill>
                </w14:textFill>
              </w:rPr>
              <w:t>2.5</w:t>
            </w:r>
            <w:r>
              <w:rPr>
                <w:rFonts w:hint="eastAsia" w:cs="Times New Roman"/>
                <w:color w:val="000000" w:themeColor="text1"/>
                <w:szCs w:val="24"/>
                <w:highlight w:val="none"/>
                <w:lang w:val="en-US" w:eastAsia="zh-CN"/>
                <w14:textFill>
                  <w14:solidFill>
                    <w14:schemeClr w14:val="tx1"/>
                  </w14:solidFill>
                </w14:textFill>
              </w:rPr>
              <w:t>排放量分别为0.07t/a、42.71t/a、23.77t/a、11.89t/a。园区削减源共减少SO</w:t>
            </w:r>
            <w:r>
              <w:rPr>
                <w:rFonts w:hint="eastAsia" w:cs="Times New Roman"/>
                <w:color w:val="000000" w:themeColor="text1"/>
                <w:szCs w:val="24"/>
                <w:highlight w:val="none"/>
                <w:vertAlign w:val="subscript"/>
                <w:lang w:val="en-US" w:eastAsia="zh-CN"/>
                <w14:textFill>
                  <w14:solidFill>
                    <w14:schemeClr w14:val="tx1"/>
                  </w14:solidFill>
                </w14:textFill>
              </w:rPr>
              <w:t>2</w:t>
            </w:r>
            <w:r>
              <w:rPr>
                <w:rFonts w:hint="eastAsia" w:cs="Times New Roman"/>
                <w:color w:val="000000" w:themeColor="text1"/>
                <w:szCs w:val="24"/>
                <w:highlight w:val="none"/>
                <w:lang w:val="en-US" w:eastAsia="zh-CN"/>
                <w14:textFill>
                  <w14:solidFill>
                    <w14:schemeClr w14:val="tx1"/>
                  </w14:solidFill>
                </w14:textFill>
              </w:rPr>
              <w:t>、NOx、PM</w:t>
            </w:r>
            <w:r>
              <w:rPr>
                <w:rFonts w:hint="eastAsia" w:cs="Times New Roman"/>
                <w:color w:val="000000" w:themeColor="text1"/>
                <w:szCs w:val="24"/>
                <w:highlight w:val="none"/>
                <w:vertAlign w:val="subscript"/>
                <w:lang w:val="en-US" w:eastAsia="zh-CN"/>
                <w14:textFill>
                  <w14:solidFill>
                    <w14:schemeClr w14:val="tx1"/>
                  </w14:solidFill>
                </w14:textFill>
              </w:rPr>
              <w:t>10</w:t>
            </w:r>
            <w:r>
              <w:rPr>
                <w:rFonts w:hint="eastAsia" w:cs="Times New Roman"/>
                <w:color w:val="000000" w:themeColor="text1"/>
                <w:szCs w:val="24"/>
                <w:highlight w:val="none"/>
                <w:lang w:val="en-US" w:eastAsia="zh-CN"/>
                <w14:textFill>
                  <w14:solidFill>
                    <w14:schemeClr w14:val="tx1"/>
                  </w14:solidFill>
                </w14:textFill>
              </w:rPr>
              <w:t>、PM</w:t>
            </w:r>
            <w:r>
              <w:rPr>
                <w:rFonts w:hint="eastAsia" w:cs="Times New Roman"/>
                <w:color w:val="000000" w:themeColor="text1"/>
                <w:szCs w:val="24"/>
                <w:highlight w:val="none"/>
                <w:vertAlign w:val="subscript"/>
                <w:lang w:val="en-US" w:eastAsia="zh-CN"/>
                <w14:textFill>
                  <w14:solidFill>
                    <w14:schemeClr w14:val="tx1"/>
                  </w14:solidFill>
                </w14:textFill>
              </w:rPr>
              <w:t>2.5</w:t>
            </w:r>
            <w:r>
              <w:rPr>
                <w:rFonts w:hint="eastAsia" w:cs="Times New Roman"/>
                <w:color w:val="000000" w:themeColor="text1"/>
                <w:szCs w:val="24"/>
                <w:highlight w:val="none"/>
                <w:lang w:val="en-US" w:eastAsia="zh-CN"/>
                <w14:textFill>
                  <w14:solidFill>
                    <w14:schemeClr w14:val="tx1"/>
                  </w14:solidFill>
                </w14:textFill>
              </w:rPr>
              <w:t>排放量分别为66.2t/a、311.1t/a、258.8t/a、129.4t/a。叠加现状正常生产企业排放量，到2025年园区企业大气污染物排放量合计分别为SO</w:t>
            </w:r>
            <w:r>
              <w:rPr>
                <w:rFonts w:hint="eastAsia" w:cs="Times New Roman"/>
                <w:color w:val="000000" w:themeColor="text1"/>
                <w:szCs w:val="24"/>
                <w:highlight w:val="none"/>
                <w:vertAlign w:val="subscript"/>
                <w:lang w:val="en-US" w:eastAsia="zh-CN"/>
                <w14:textFill>
                  <w14:solidFill>
                    <w14:schemeClr w14:val="tx1"/>
                  </w14:solidFill>
                </w14:textFill>
              </w:rPr>
              <w:t>2</w:t>
            </w:r>
            <w:r>
              <w:rPr>
                <w:rFonts w:hint="eastAsia" w:cs="Times New Roman"/>
                <w:color w:val="000000" w:themeColor="text1"/>
                <w:szCs w:val="24"/>
                <w:highlight w:val="none"/>
                <w:lang w:val="en-US" w:eastAsia="zh-CN"/>
                <w14:textFill>
                  <w14:solidFill>
                    <w14:schemeClr w14:val="tx1"/>
                  </w14:solidFill>
                </w14:textFill>
              </w:rPr>
              <w:t>966.9t/a、NOx1946.9t/a、PM</w:t>
            </w:r>
            <w:r>
              <w:rPr>
                <w:rFonts w:hint="eastAsia" w:cs="Times New Roman"/>
                <w:color w:val="000000" w:themeColor="text1"/>
                <w:szCs w:val="24"/>
                <w:highlight w:val="none"/>
                <w:vertAlign w:val="subscript"/>
                <w:lang w:val="en-US" w:eastAsia="zh-CN"/>
                <w14:textFill>
                  <w14:solidFill>
                    <w14:schemeClr w14:val="tx1"/>
                  </w14:solidFill>
                </w14:textFill>
              </w:rPr>
              <w:t>10</w:t>
            </w:r>
            <w:r>
              <w:rPr>
                <w:rFonts w:hint="eastAsia" w:cs="Times New Roman"/>
                <w:color w:val="000000" w:themeColor="text1"/>
                <w:szCs w:val="24"/>
                <w:highlight w:val="none"/>
                <w:lang w:val="en-US" w:eastAsia="zh-CN"/>
                <w14:textFill>
                  <w14:solidFill>
                    <w14:schemeClr w14:val="tx1"/>
                  </w14:solidFill>
                </w14:textFill>
              </w:rPr>
              <w:t>709t/a、PM</w:t>
            </w:r>
            <w:r>
              <w:rPr>
                <w:rFonts w:hint="eastAsia" w:cs="Times New Roman"/>
                <w:color w:val="000000" w:themeColor="text1"/>
                <w:szCs w:val="24"/>
                <w:highlight w:val="none"/>
                <w:vertAlign w:val="subscript"/>
                <w:lang w:val="en-US" w:eastAsia="zh-CN"/>
                <w14:textFill>
                  <w14:solidFill>
                    <w14:schemeClr w14:val="tx1"/>
                  </w14:solidFill>
                </w14:textFill>
              </w:rPr>
              <w:t>2.5</w:t>
            </w:r>
            <w:r>
              <w:rPr>
                <w:rFonts w:hint="eastAsia" w:cs="Times New Roman"/>
                <w:color w:val="000000" w:themeColor="text1"/>
                <w:szCs w:val="24"/>
                <w:highlight w:val="none"/>
                <w:lang w:val="en-US" w:eastAsia="zh-CN"/>
                <w14:textFill>
                  <w14:solidFill>
                    <w14:schemeClr w14:val="tx1"/>
                  </w14:solidFill>
                </w14:textFill>
              </w:rPr>
              <w:t>354.5t/a、VOCs67.7t/a。</w:t>
            </w:r>
          </w:p>
          <w:p w14:paraId="6FFEF788">
            <w:pPr>
              <w:pStyle w:val="103"/>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cs="Times New Roman"/>
                <w:color w:val="000000" w:themeColor="text1"/>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远期规划情景下，远期新增项目（包括在建、拟建）</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SO</w:t>
            </w:r>
            <w:r>
              <w:rPr>
                <w:rFonts w:hint="default" w:ascii="Times New Roman" w:hAnsi="Times New Roman" w:eastAsia="宋体" w:cs="Times New Roman"/>
                <w:color w:val="000000" w:themeColor="text1"/>
                <w:kern w:val="0"/>
                <w:sz w:val="16"/>
                <w:szCs w:val="16"/>
                <w:highlight w:val="none"/>
                <w:lang w:val="en-US" w:eastAsia="zh-CN" w:bidi="ar"/>
                <w14:textFill>
                  <w14:solidFill>
                    <w14:schemeClr w14:val="tx1"/>
                  </w14:solidFill>
                </w14:textFill>
              </w:rPr>
              <w:t>2</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NO</w:t>
            </w:r>
            <w:r>
              <w:rPr>
                <w:rFonts w:hint="default" w:ascii="Times New Roman" w:hAnsi="Times New Roman" w:eastAsia="宋体" w:cs="Times New Roman"/>
                <w:color w:val="000000" w:themeColor="text1"/>
                <w:kern w:val="0"/>
                <w:sz w:val="16"/>
                <w:szCs w:val="16"/>
                <w:highlight w:val="none"/>
                <w:lang w:val="en-US" w:eastAsia="zh-CN" w:bidi="ar"/>
                <w14:textFill>
                  <w14:solidFill>
                    <w14:schemeClr w14:val="tx1"/>
                  </w14:solidFill>
                </w14:textFill>
              </w:rPr>
              <w:t>x</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PM</w:t>
            </w:r>
            <w:r>
              <w:rPr>
                <w:rFonts w:hint="default" w:ascii="Times New Roman" w:hAnsi="Times New Roman" w:eastAsia="宋体" w:cs="Times New Roman"/>
                <w:color w:val="000000" w:themeColor="text1"/>
                <w:kern w:val="0"/>
                <w:sz w:val="16"/>
                <w:szCs w:val="16"/>
                <w:highlight w:val="none"/>
                <w:lang w:val="en-US" w:eastAsia="zh-CN" w:bidi="ar"/>
                <w14:textFill>
                  <w14:solidFill>
                    <w14:schemeClr w14:val="tx1"/>
                  </w14:solidFill>
                </w14:textFill>
              </w:rPr>
              <w:t>10</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PM</w:t>
            </w:r>
            <w:r>
              <w:rPr>
                <w:rFonts w:hint="default" w:ascii="Times New Roman" w:hAnsi="Times New Roman" w:eastAsia="宋体" w:cs="Times New Roman"/>
                <w:color w:val="000000" w:themeColor="text1"/>
                <w:kern w:val="0"/>
                <w:sz w:val="16"/>
                <w:szCs w:val="16"/>
                <w:highlight w:val="none"/>
                <w:lang w:val="en-US" w:eastAsia="zh-CN" w:bidi="ar"/>
                <w14:textFill>
                  <w14:solidFill>
                    <w14:schemeClr w14:val="tx1"/>
                  </w14:solidFill>
                </w14:textFill>
              </w:rPr>
              <w:t>2.5</w:t>
            </w:r>
            <w:r>
              <w:rPr>
                <w:rFonts w:hint="eastAsia" w:cs="Times New Roman"/>
                <w:color w:val="000000" w:themeColor="text1"/>
                <w:szCs w:val="24"/>
                <w:highlight w:val="none"/>
                <w:lang w:val="en-US" w:eastAsia="zh-CN"/>
                <w14:textFill>
                  <w14:solidFill>
                    <w14:schemeClr w14:val="tx1"/>
                  </w14:solidFill>
                </w14:textFill>
              </w:rPr>
              <w:t>和VOCs排放量分别为980.91t/a、2215.02t/a、513.1t/a、256.6t/a和21.75t/a，停产复产项目SO</w:t>
            </w:r>
            <w:r>
              <w:rPr>
                <w:rFonts w:hint="eastAsia" w:cs="Times New Roman"/>
                <w:color w:val="000000" w:themeColor="text1"/>
                <w:szCs w:val="24"/>
                <w:highlight w:val="none"/>
                <w:vertAlign w:val="subscript"/>
                <w:lang w:val="en-US" w:eastAsia="zh-CN"/>
                <w14:textFill>
                  <w14:solidFill>
                    <w14:schemeClr w14:val="tx1"/>
                  </w14:solidFill>
                </w14:textFill>
              </w:rPr>
              <w:t>2</w:t>
            </w:r>
            <w:r>
              <w:rPr>
                <w:rFonts w:hint="eastAsia" w:cs="Times New Roman"/>
                <w:color w:val="000000" w:themeColor="text1"/>
                <w:szCs w:val="24"/>
                <w:highlight w:val="none"/>
                <w:lang w:val="en-US" w:eastAsia="zh-CN"/>
                <w14:textFill>
                  <w14:solidFill>
                    <w14:schemeClr w14:val="tx1"/>
                  </w14:solidFill>
                </w14:textFill>
              </w:rPr>
              <w:t>、NOx、PM</w:t>
            </w:r>
            <w:r>
              <w:rPr>
                <w:rFonts w:hint="eastAsia" w:cs="Times New Roman"/>
                <w:color w:val="000000" w:themeColor="text1"/>
                <w:szCs w:val="24"/>
                <w:highlight w:val="none"/>
                <w:vertAlign w:val="subscript"/>
                <w:lang w:val="en-US" w:eastAsia="zh-CN"/>
                <w14:textFill>
                  <w14:solidFill>
                    <w14:schemeClr w14:val="tx1"/>
                  </w14:solidFill>
                </w14:textFill>
              </w:rPr>
              <w:t>10</w:t>
            </w:r>
            <w:r>
              <w:rPr>
                <w:rFonts w:hint="eastAsia" w:cs="Times New Roman"/>
                <w:color w:val="000000" w:themeColor="text1"/>
                <w:szCs w:val="24"/>
                <w:highlight w:val="none"/>
                <w:lang w:val="en-US" w:eastAsia="zh-CN"/>
                <w14:textFill>
                  <w14:solidFill>
                    <w14:schemeClr w14:val="tx1"/>
                  </w14:solidFill>
                </w14:textFill>
              </w:rPr>
              <w:t>、PM</w:t>
            </w:r>
            <w:r>
              <w:rPr>
                <w:rFonts w:hint="eastAsia" w:cs="Times New Roman"/>
                <w:color w:val="000000" w:themeColor="text1"/>
                <w:szCs w:val="24"/>
                <w:highlight w:val="none"/>
                <w:vertAlign w:val="subscript"/>
                <w:lang w:val="en-US" w:eastAsia="zh-CN"/>
                <w14:textFill>
                  <w14:solidFill>
                    <w14:schemeClr w14:val="tx1"/>
                  </w14:solidFill>
                </w14:textFill>
              </w:rPr>
              <w:t>2.5</w:t>
            </w:r>
            <w:r>
              <w:rPr>
                <w:rFonts w:hint="eastAsia" w:cs="Times New Roman"/>
                <w:color w:val="000000" w:themeColor="text1"/>
                <w:szCs w:val="24"/>
                <w:highlight w:val="none"/>
                <w:lang w:val="en-US" w:eastAsia="zh-CN"/>
                <w14:textFill>
                  <w14:solidFill>
                    <w14:schemeClr w14:val="tx1"/>
                  </w14:solidFill>
                </w14:textFill>
              </w:rPr>
              <w:t>和VOCs排放量分别为0.07t/a、42.71t/a、23.77t/a、11.89t/a和3.24t/a。园区削减源共减少SO</w:t>
            </w:r>
            <w:r>
              <w:rPr>
                <w:rFonts w:hint="eastAsia" w:cs="Times New Roman"/>
                <w:color w:val="000000" w:themeColor="text1"/>
                <w:szCs w:val="24"/>
                <w:highlight w:val="none"/>
                <w:vertAlign w:val="subscript"/>
                <w:lang w:val="en-US" w:eastAsia="zh-CN"/>
                <w14:textFill>
                  <w14:solidFill>
                    <w14:schemeClr w14:val="tx1"/>
                  </w14:solidFill>
                </w14:textFill>
              </w:rPr>
              <w:t>2</w:t>
            </w:r>
            <w:r>
              <w:rPr>
                <w:rFonts w:hint="eastAsia" w:cs="Times New Roman"/>
                <w:color w:val="000000" w:themeColor="text1"/>
                <w:szCs w:val="24"/>
                <w:highlight w:val="none"/>
                <w:lang w:val="en-US" w:eastAsia="zh-CN"/>
                <w14:textFill>
                  <w14:solidFill>
                    <w14:schemeClr w14:val="tx1"/>
                  </w14:solidFill>
                </w14:textFill>
              </w:rPr>
              <w:t>、NOx、PM</w:t>
            </w:r>
            <w:r>
              <w:rPr>
                <w:rFonts w:hint="eastAsia" w:cs="Times New Roman"/>
                <w:color w:val="000000" w:themeColor="text1"/>
                <w:szCs w:val="24"/>
                <w:highlight w:val="none"/>
                <w:vertAlign w:val="subscript"/>
                <w:lang w:val="en-US" w:eastAsia="zh-CN"/>
                <w14:textFill>
                  <w14:solidFill>
                    <w14:schemeClr w14:val="tx1"/>
                  </w14:solidFill>
                </w14:textFill>
              </w:rPr>
              <w:t>10</w:t>
            </w:r>
            <w:r>
              <w:rPr>
                <w:rFonts w:hint="eastAsia" w:cs="Times New Roman"/>
                <w:color w:val="000000" w:themeColor="text1"/>
                <w:szCs w:val="24"/>
                <w:highlight w:val="none"/>
                <w:lang w:val="en-US" w:eastAsia="zh-CN"/>
                <w14:textFill>
                  <w14:solidFill>
                    <w14:schemeClr w14:val="tx1"/>
                  </w14:solidFill>
                </w14:textFill>
              </w:rPr>
              <w:t>、PM</w:t>
            </w:r>
            <w:r>
              <w:rPr>
                <w:rFonts w:hint="eastAsia" w:cs="Times New Roman"/>
                <w:color w:val="000000" w:themeColor="text1"/>
                <w:szCs w:val="24"/>
                <w:highlight w:val="none"/>
                <w:vertAlign w:val="subscript"/>
                <w:lang w:val="en-US" w:eastAsia="zh-CN"/>
                <w14:textFill>
                  <w14:solidFill>
                    <w14:schemeClr w14:val="tx1"/>
                  </w14:solidFill>
                </w14:textFill>
              </w:rPr>
              <w:t>2.5</w:t>
            </w:r>
            <w:r>
              <w:rPr>
                <w:rFonts w:hint="eastAsia" w:cs="Times New Roman"/>
                <w:color w:val="000000" w:themeColor="text1"/>
                <w:szCs w:val="24"/>
                <w:highlight w:val="none"/>
                <w:lang w:val="en-US" w:eastAsia="zh-CN"/>
                <w14:textFill>
                  <w14:solidFill>
                    <w14:schemeClr w14:val="tx1"/>
                  </w14:solidFill>
                </w14:textFill>
              </w:rPr>
              <w:t>排放量分别为66.2t/a、311.1t/a、258.8t/a、129.4t/a。叠加现状正常生产企业排放量，到2030年园区企业大气污染物排放量合计分别为SO</w:t>
            </w:r>
            <w:r>
              <w:rPr>
                <w:rFonts w:hint="eastAsia" w:cs="Times New Roman"/>
                <w:color w:val="000000" w:themeColor="text1"/>
                <w:szCs w:val="24"/>
                <w:highlight w:val="none"/>
                <w:vertAlign w:val="subscript"/>
                <w:lang w:val="en-US" w:eastAsia="zh-CN"/>
                <w14:textFill>
                  <w14:solidFill>
                    <w14:schemeClr w14:val="tx1"/>
                  </w14:solidFill>
                </w14:textFill>
              </w:rPr>
              <w:t>2</w:t>
            </w:r>
            <w:r>
              <w:rPr>
                <w:rFonts w:hint="eastAsia" w:cs="Times New Roman"/>
                <w:color w:val="000000" w:themeColor="text1"/>
                <w:szCs w:val="24"/>
                <w:highlight w:val="none"/>
                <w:lang w:val="en-US" w:eastAsia="zh-CN"/>
                <w14:textFill>
                  <w14:solidFill>
                    <w14:schemeClr w14:val="tx1"/>
                  </w14:solidFill>
                </w14:textFill>
              </w:rPr>
              <w:t>1368.19t/a、NOx3080.83t/a、PM</w:t>
            </w:r>
            <w:r>
              <w:rPr>
                <w:rFonts w:hint="eastAsia" w:cs="Times New Roman"/>
                <w:color w:val="000000" w:themeColor="text1"/>
                <w:szCs w:val="24"/>
                <w:highlight w:val="none"/>
                <w:vertAlign w:val="subscript"/>
                <w:lang w:val="en-US" w:eastAsia="zh-CN"/>
                <w14:textFill>
                  <w14:solidFill>
                    <w14:schemeClr w14:val="tx1"/>
                  </w14:solidFill>
                </w14:textFill>
              </w:rPr>
              <w:t>10</w:t>
            </w:r>
            <w:r>
              <w:rPr>
                <w:rFonts w:hint="eastAsia" w:cs="Times New Roman"/>
                <w:color w:val="000000" w:themeColor="text1"/>
                <w:szCs w:val="24"/>
                <w:highlight w:val="none"/>
                <w:lang w:val="en-US" w:eastAsia="zh-CN"/>
                <w14:textFill>
                  <w14:solidFill>
                    <w14:schemeClr w14:val="tx1"/>
                  </w14:solidFill>
                </w14:textFill>
              </w:rPr>
              <w:t>887.26t/a、PM</w:t>
            </w:r>
            <w:r>
              <w:rPr>
                <w:rFonts w:hint="eastAsia" w:cs="Times New Roman"/>
                <w:color w:val="000000" w:themeColor="text1"/>
                <w:szCs w:val="24"/>
                <w:highlight w:val="none"/>
                <w:vertAlign w:val="subscript"/>
                <w:lang w:val="en-US" w:eastAsia="zh-CN"/>
                <w14:textFill>
                  <w14:solidFill>
                    <w14:schemeClr w14:val="tx1"/>
                  </w14:solidFill>
                </w14:textFill>
              </w:rPr>
              <w:t>2.5</w:t>
            </w:r>
            <w:r>
              <w:rPr>
                <w:rFonts w:hint="eastAsia" w:cs="Times New Roman"/>
                <w:color w:val="000000" w:themeColor="text1"/>
                <w:szCs w:val="24"/>
                <w:highlight w:val="none"/>
                <w:lang w:val="en-US" w:eastAsia="zh-CN"/>
                <w14:textFill>
                  <w14:solidFill>
                    <w14:schemeClr w14:val="tx1"/>
                  </w14:solidFill>
                </w14:textFill>
              </w:rPr>
              <w:t>443.63t/a、VOCs77.74t/a。</w:t>
            </w:r>
          </w:p>
          <w:p w14:paraId="12F77D0C">
            <w:pPr>
              <w:pStyle w:val="103"/>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cs="Times New Roman"/>
                <w:color w:val="000000" w:themeColor="text1"/>
                <w:szCs w:val="24"/>
                <w:highlight w:val="none"/>
                <w:lang w:val="en-US" w:eastAsia="zh-CN"/>
                <w14:textFill>
                  <w14:solidFill>
                    <w14:schemeClr w14:val="tx1"/>
                  </w14:solidFill>
                </w14:textFill>
              </w:rPr>
            </w:pPr>
            <w:r>
              <w:rPr>
                <w:rFonts w:hint="eastAsia" w:cs="Times New Roman"/>
                <w:color w:val="000000" w:themeColor="text1"/>
                <w:szCs w:val="24"/>
                <w:highlight w:val="none"/>
                <w:lang w:val="en-US" w:eastAsia="zh-CN"/>
                <w14:textFill>
                  <w14:solidFill>
                    <w14:schemeClr w14:val="tx1"/>
                  </w14:solidFill>
                </w14:textFill>
              </w:rPr>
              <w:t>远期优化情景下，远期新增项目（包括在建、拟建）SO</w:t>
            </w:r>
            <w:r>
              <w:rPr>
                <w:rFonts w:hint="eastAsia" w:cs="Times New Roman"/>
                <w:color w:val="000000" w:themeColor="text1"/>
                <w:szCs w:val="24"/>
                <w:highlight w:val="none"/>
                <w:vertAlign w:val="subscript"/>
                <w:lang w:val="en-US" w:eastAsia="zh-CN"/>
                <w14:textFill>
                  <w14:solidFill>
                    <w14:schemeClr w14:val="tx1"/>
                  </w14:solidFill>
                </w14:textFill>
              </w:rPr>
              <w:t>2</w:t>
            </w:r>
            <w:r>
              <w:rPr>
                <w:rFonts w:hint="eastAsia" w:cs="Times New Roman"/>
                <w:color w:val="000000" w:themeColor="text1"/>
                <w:szCs w:val="24"/>
                <w:highlight w:val="none"/>
                <w:lang w:val="en-US" w:eastAsia="zh-CN"/>
                <w14:textFill>
                  <w14:solidFill>
                    <w14:schemeClr w14:val="tx1"/>
                  </w14:solidFill>
                </w14:textFill>
              </w:rPr>
              <w:t>、NOx、烟（粉）尘、PM</w:t>
            </w:r>
            <w:r>
              <w:rPr>
                <w:rFonts w:hint="eastAsia" w:cs="Times New Roman"/>
                <w:color w:val="000000" w:themeColor="text1"/>
                <w:szCs w:val="24"/>
                <w:highlight w:val="none"/>
                <w:vertAlign w:val="subscript"/>
                <w:lang w:val="en-US" w:eastAsia="zh-CN"/>
                <w14:textFill>
                  <w14:solidFill>
                    <w14:schemeClr w14:val="tx1"/>
                  </w14:solidFill>
                </w14:textFill>
              </w:rPr>
              <w:t>2.5</w:t>
            </w:r>
            <w:r>
              <w:rPr>
                <w:rFonts w:hint="eastAsia" w:cs="Times New Roman"/>
                <w:color w:val="000000" w:themeColor="text1"/>
                <w:szCs w:val="24"/>
                <w:highlight w:val="none"/>
                <w:lang w:val="en-US" w:eastAsia="zh-CN"/>
                <w14:textFill>
                  <w14:solidFill>
                    <w14:schemeClr w14:val="tx1"/>
                  </w14:solidFill>
                </w14:textFill>
              </w:rPr>
              <w:t>和VOCs排放量分别为579.62t/a、1179.89t/a、340.05t/a、170.03t/a和13.09t/a，停产复产项目SO</w:t>
            </w:r>
            <w:r>
              <w:rPr>
                <w:rFonts w:hint="eastAsia" w:cs="Times New Roman"/>
                <w:color w:val="000000" w:themeColor="text1"/>
                <w:szCs w:val="24"/>
                <w:highlight w:val="none"/>
                <w:vertAlign w:val="subscript"/>
                <w:lang w:val="en-US" w:eastAsia="zh-CN"/>
                <w14:textFill>
                  <w14:solidFill>
                    <w14:schemeClr w14:val="tx1"/>
                  </w14:solidFill>
                </w14:textFill>
              </w:rPr>
              <w:t>2</w:t>
            </w:r>
            <w:r>
              <w:rPr>
                <w:rFonts w:hint="eastAsia" w:cs="Times New Roman"/>
                <w:color w:val="000000" w:themeColor="text1"/>
                <w:szCs w:val="24"/>
                <w:highlight w:val="none"/>
                <w:lang w:val="en-US" w:eastAsia="zh-CN"/>
                <w14:textFill>
                  <w14:solidFill>
                    <w14:schemeClr w14:val="tx1"/>
                  </w14:solidFill>
                </w14:textFill>
              </w:rPr>
              <w:t>、NOx、PM</w:t>
            </w:r>
            <w:r>
              <w:rPr>
                <w:rFonts w:hint="eastAsia" w:cs="Times New Roman"/>
                <w:color w:val="000000" w:themeColor="text1"/>
                <w:szCs w:val="24"/>
                <w:highlight w:val="none"/>
                <w:vertAlign w:val="subscript"/>
                <w:lang w:val="en-US" w:eastAsia="zh-CN"/>
                <w14:textFill>
                  <w14:solidFill>
                    <w14:schemeClr w14:val="tx1"/>
                  </w14:solidFill>
                </w14:textFill>
              </w:rPr>
              <w:t>10</w:t>
            </w:r>
            <w:r>
              <w:rPr>
                <w:rFonts w:hint="eastAsia" w:cs="Times New Roman"/>
                <w:color w:val="000000" w:themeColor="text1"/>
                <w:szCs w:val="24"/>
                <w:highlight w:val="none"/>
                <w:lang w:val="en-US" w:eastAsia="zh-CN"/>
                <w14:textFill>
                  <w14:solidFill>
                    <w14:schemeClr w14:val="tx1"/>
                  </w14:solidFill>
                </w14:textFill>
              </w:rPr>
              <w:t>、PM</w:t>
            </w:r>
            <w:r>
              <w:rPr>
                <w:rFonts w:hint="eastAsia" w:cs="Times New Roman"/>
                <w:color w:val="000000" w:themeColor="text1"/>
                <w:szCs w:val="24"/>
                <w:highlight w:val="none"/>
                <w:vertAlign w:val="subscript"/>
                <w:lang w:val="en-US" w:eastAsia="zh-CN"/>
                <w14:textFill>
                  <w14:solidFill>
                    <w14:schemeClr w14:val="tx1"/>
                  </w14:solidFill>
                </w14:textFill>
              </w:rPr>
              <w:t>2.5</w:t>
            </w:r>
            <w:r>
              <w:rPr>
                <w:rFonts w:hint="eastAsia" w:cs="Times New Roman"/>
                <w:color w:val="000000" w:themeColor="text1"/>
                <w:szCs w:val="24"/>
                <w:highlight w:val="none"/>
                <w:lang w:val="en-US" w:eastAsia="zh-CN"/>
                <w14:textFill>
                  <w14:solidFill>
                    <w14:schemeClr w14:val="tx1"/>
                  </w14:solidFill>
                </w14:textFill>
              </w:rPr>
              <w:t>和VOCs排放量分别为0.07t/a、42.71t/a、23.77t/a、11.89t/a和3.24t/a。园区削减源共减少SO</w:t>
            </w:r>
            <w:r>
              <w:rPr>
                <w:rFonts w:hint="eastAsia" w:cs="Times New Roman"/>
                <w:color w:val="000000" w:themeColor="text1"/>
                <w:szCs w:val="24"/>
                <w:highlight w:val="none"/>
                <w:vertAlign w:val="subscript"/>
                <w:lang w:val="en-US" w:eastAsia="zh-CN"/>
                <w14:textFill>
                  <w14:solidFill>
                    <w14:schemeClr w14:val="tx1"/>
                  </w14:solidFill>
                </w14:textFill>
              </w:rPr>
              <w:t>2</w:t>
            </w:r>
            <w:r>
              <w:rPr>
                <w:rFonts w:hint="eastAsia" w:cs="Times New Roman"/>
                <w:color w:val="000000" w:themeColor="text1"/>
                <w:szCs w:val="24"/>
                <w:highlight w:val="none"/>
                <w:lang w:val="en-US" w:eastAsia="zh-CN"/>
                <w14:textFill>
                  <w14:solidFill>
                    <w14:schemeClr w14:val="tx1"/>
                  </w14:solidFill>
                </w14:textFill>
              </w:rPr>
              <w:t>、NOx、PM</w:t>
            </w:r>
            <w:r>
              <w:rPr>
                <w:rFonts w:hint="eastAsia" w:cs="Times New Roman"/>
                <w:color w:val="000000" w:themeColor="text1"/>
                <w:szCs w:val="24"/>
                <w:highlight w:val="none"/>
                <w:vertAlign w:val="subscript"/>
                <w:lang w:val="en-US" w:eastAsia="zh-CN"/>
                <w14:textFill>
                  <w14:solidFill>
                    <w14:schemeClr w14:val="tx1"/>
                  </w14:solidFill>
                </w14:textFill>
              </w:rPr>
              <w:t>10</w:t>
            </w:r>
            <w:r>
              <w:rPr>
                <w:rFonts w:hint="eastAsia" w:cs="Times New Roman"/>
                <w:color w:val="000000" w:themeColor="text1"/>
                <w:szCs w:val="24"/>
                <w:highlight w:val="none"/>
                <w:lang w:val="en-US" w:eastAsia="zh-CN"/>
                <w14:textFill>
                  <w14:solidFill>
                    <w14:schemeClr w14:val="tx1"/>
                  </w14:solidFill>
                </w14:textFill>
              </w:rPr>
              <w:t>、PM</w:t>
            </w:r>
            <w:r>
              <w:rPr>
                <w:rFonts w:hint="eastAsia" w:cs="Times New Roman"/>
                <w:color w:val="000000" w:themeColor="text1"/>
                <w:szCs w:val="24"/>
                <w:highlight w:val="none"/>
                <w:vertAlign w:val="subscript"/>
                <w:lang w:val="en-US" w:eastAsia="zh-CN"/>
                <w14:textFill>
                  <w14:solidFill>
                    <w14:schemeClr w14:val="tx1"/>
                  </w14:solidFill>
                </w14:textFill>
              </w:rPr>
              <w:t>2.5</w:t>
            </w:r>
            <w:r>
              <w:rPr>
                <w:rFonts w:hint="eastAsia" w:cs="Times New Roman"/>
                <w:color w:val="000000" w:themeColor="text1"/>
                <w:szCs w:val="24"/>
                <w:highlight w:val="none"/>
                <w:lang w:val="en-US" w:eastAsia="zh-CN"/>
                <w14:textFill>
                  <w14:solidFill>
                    <w14:schemeClr w14:val="tx1"/>
                  </w14:solidFill>
                </w14:textFill>
              </w:rPr>
              <w:t>排放量分别为66.2t/a、311.1t/a、258.8t/a、129.4t/a。叠加现状正常生产企业排放量，到2030年园区企业大气污染物排放量合计分别为SO</w:t>
            </w:r>
            <w:r>
              <w:rPr>
                <w:rFonts w:hint="eastAsia" w:cs="Times New Roman"/>
                <w:color w:val="000000" w:themeColor="text1"/>
                <w:szCs w:val="24"/>
                <w:highlight w:val="none"/>
                <w:vertAlign w:val="subscript"/>
                <w:lang w:val="en-US" w:eastAsia="zh-CN"/>
                <w14:textFill>
                  <w14:solidFill>
                    <w14:schemeClr w14:val="tx1"/>
                  </w14:solidFill>
                </w14:textFill>
              </w:rPr>
              <w:t>2</w:t>
            </w:r>
            <w:r>
              <w:rPr>
                <w:rFonts w:hint="eastAsia" w:cs="Times New Roman"/>
                <w:color w:val="000000" w:themeColor="text1"/>
                <w:szCs w:val="24"/>
                <w:highlight w:val="none"/>
                <w:lang w:val="en-US" w:eastAsia="zh-CN"/>
                <w14:textFill>
                  <w14:solidFill>
                    <w14:schemeClr w14:val="tx1"/>
                  </w14:solidFill>
                </w14:textFill>
              </w:rPr>
              <w:t>966.9t/a、NOx1946.9t/a、PM</w:t>
            </w:r>
            <w:r>
              <w:rPr>
                <w:rFonts w:hint="eastAsia" w:cs="Times New Roman"/>
                <w:color w:val="000000" w:themeColor="text1"/>
                <w:szCs w:val="24"/>
                <w:highlight w:val="none"/>
                <w:vertAlign w:val="subscript"/>
                <w:lang w:val="en-US" w:eastAsia="zh-CN"/>
                <w14:textFill>
                  <w14:solidFill>
                    <w14:schemeClr w14:val="tx1"/>
                  </w14:solidFill>
                </w14:textFill>
              </w:rPr>
              <w:t>10</w:t>
            </w:r>
            <w:r>
              <w:rPr>
                <w:rFonts w:hint="eastAsia" w:cs="Times New Roman"/>
                <w:color w:val="000000" w:themeColor="text1"/>
                <w:szCs w:val="24"/>
                <w:highlight w:val="none"/>
                <w:lang w:val="en-US" w:eastAsia="zh-CN"/>
                <w14:textFill>
                  <w14:solidFill>
                    <w14:schemeClr w14:val="tx1"/>
                  </w14:solidFill>
                </w14:textFill>
              </w:rPr>
              <w:t>714.2t/a、PM</w:t>
            </w:r>
            <w:r>
              <w:rPr>
                <w:rFonts w:hint="eastAsia" w:cs="Times New Roman"/>
                <w:color w:val="000000" w:themeColor="text1"/>
                <w:szCs w:val="24"/>
                <w:highlight w:val="none"/>
                <w:vertAlign w:val="subscript"/>
                <w:lang w:val="en-US" w:eastAsia="zh-CN"/>
                <w14:textFill>
                  <w14:solidFill>
                    <w14:schemeClr w14:val="tx1"/>
                  </w14:solidFill>
                </w14:textFill>
              </w:rPr>
              <w:t>2.5</w:t>
            </w:r>
            <w:r>
              <w:rPr>
                <w:rFonts w:hint="eastAsia" w:cs="Times New Roman"/>
                <w:color w:val="000000" w:themeColor="text1"/>
                <w:szCs w:val="24"/>
                <w:highlight w:val="none"/>
                <w:lang w:val="en-US" w:eastAsia="zh-CN"/>
                <w14:textFill>
                  <w14:solidFill>
                    <w14:schemeClr w14:val="tx1"/>
                  </w14:solidFill>
                </w14:textFill>
              </w:rPr>
              <w:t>357.1t/a、VOCs69.08t/a。</w:t>
            </w:r>
          </w:p>
          <w:p w14:paraId="567B63C5">
            <w:pPr>
              <w:pStyle w:val="103"/>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cs="Times New Roman"/>
                <w:color w:val="000000" w:themeColor="text1"/>
                <w:szCs w:val="24"/>
                <w:highlight w:val="none"/>
                <w:lang w:val="en-US" w:eastAsia="zh-CN"/>
                <w14:textFill>
                  <w14:solidFill>
                    <w14:schemeClr w14:val="tx1"/>
                  </w14:solidFill>
                </w14:textFill>
              </w:rPr>
            </w:pPr>
            <w:r>
              <w:rPr>
                <w:rFonts w:hint="eastAsia" w:cs="Times New Roman"/>
                <w:color w:val="000000" w:themeColor="text1"/>
                <w:szCs w:val="24"/>
                <w:highlight w:val="none"/>
                <w:lang w:val="en-US" w:eastAsia="zh-CN"/>
                <w14:textFill>
                  <w14:solidFill>
                    <w14:schemeClr w14:val="tx1"/>
                  </w14:solidFill>
                </w14:textFill>
              </w:rPr>
              <w:t>目前本项目污染物排放总量正在办理相关手续。规划环评中未对园区容量作出说明和计算，仅对园区排放量作出计算。容量＞排放量，若本项目排放量小于园区容量，则满足容量要求。本项目NOx排放94t/a，SO</w:t>
            </w:r>
            <w:r>
              <w:rPr>
                <w:rFonts w:hint="eastAsia" w:cs="Times New Roman"/>
                <w:color w:val="000000" w:themeColor="text1"/>
                <w:szCs w:val="24"/>
                <w:highlight w:val="none"/>
                <w:vertAlign w:val="subscript"/>
                <w:lang w:val="en-US" w:eastAsia="zh-CN"/>
                <w14:textFill>
                  <w14:solidFill>
                    <w14:schemeClr w14:val="tx1"/>
                  </w14:solidFill>
                </w14:textFill>
              </w:rPr>
              <w:t>2</w:t>
            </w:r>
            <w:r>
              <w:rPr>
                <w:rFonts w:hint="eastAsia" w:cs="Times New Roman"/>
                <w:color w:val="000000" w:themeColor="text1"/>
                <w:szCs w:val="24"/>
                <w:highlight w:val="none"/>
                <w:lang w:val="en-US" w:eastAsia="zh-CN"/>
                <w14:textFill>
                  <w14:solidFill>
                    <w14:schemeClr w14:val="tx1"/>
                  </w14:solidFill>
                </w14:textFill>
              </w:rPr>
              <w:t>排放39.44t/a，颗粒物排放11.052t/a，小于园区至2030年可新增排放量，满足排放量及容量要求。</w:t>
            </w:r>
          </w:p>
          <w:p w14:paraId="6B15E077">
            <w:pPr>
              <w:pStyle w:val="103"/>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cs="Times New Roman"/>
                <w:color w:val="000000" w:themeColor="text1"/>
                <w:szCs w:val="24"/>
                <w:highlight w:val="none"/>
                <w:lang w:val="en-US" w:eastAsia="zh-CN"/>
                <w14:textFill>
                  <w14:solidFill>
                    <w14:schemeClr w14:val="tx1"/>
                  </w14:solidFill>
                </w14:textFill>
              </w:rPr>
            </w:pPr>
          </w:p>
          <w:p w14:paraId="4C06A02F">
            <w:pPr>
              <w:pStyle w:val="103"/>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drawing>
                <wp:inline distT="0" distB="0" distL="114300" distR="114300">
                  <wp:extent cx="4733290" cy="5171440"/>
                  <wp:effectExtent l="0" t="0" r="3810" b="10160"/>
                  <wp:docPr id="3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
                          <pic:cNvPicPr>
                            <a:picLocks noChangeAspect="1"/>
                          </pic:cNvPicPr>
                        </pic:nvPicPr>
                        <pic:blipFill>
                          <a:blip r:embed="rId12"/>
                          <a:stretch>
                            <a:fillRect/>
                          </a:stretch>
                        </pic:blipFill>
                        <pic:spPr>
                          <a:xfrm>
                            <a:off x="0" y="0"/>
                            <a:ext cx="4733290" cy="5171440"/>
                          </a:xfrm>
                          <a:prstGeom prst="rect">
                            <a:avLst/>
                          </a:prstGeom>
                          <a:noFill/>
                          <a:ln>
                            <a:noFill/>
                          </a:ln>
                        </pic:spPr>
                      </pic:pic>
                    </a:graphicData>
                  </a:graphic>
                </wp:inline>
              </w:drawing>
            </w:r>
          </w:p>
          <w:p w14:paraId="0463B470">
            <w:pPr>
              <w:keepNext w:val="0"/>
              <w:keepLines w:val="0"/>
              <w:widowControl/>
              <w:suppressLineNumbers w:val="0"/>
              <w:spacing w:line="360" w:lineRule="auto"/>
              <w:jc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eastAsia="宋体" w:cs="Times New Roman"/>
                <w:b/>
                <w:bCs/>
                <w:color w:val="000000" w:themeColor="text1"/>
                <w:kern w:val="0"/>
                <w:sz w:val="24"/>
                <w:szCs w:val="24"/>
                <w:highlight w:val="none"/>
                <w:lang w:val="en-US" w:eastAsia="zh-CN" w:bidi="ar"/>
                <w14:textFill>
                  <w14:solidFill>
                    <w14:schemeClr w14:val="tx1"/>
                  </w14:solidFill>
                </w14:textFill>
              </w:rPr>
              <w:t>图1-1项目与规划布局符合性</w:t>
            </w:r>
          </w:p>
          <w:p w14:paraId="784781E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本项目与规划环评审查意见符合性分析见下表</w:t>
            </w: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w:t>
            </w:r>
          </w:p>
          <w:p w14:paraId="797CFBD1">
            <w:pPr>
              <w:keepNext w:val="0"/>
              <w:keepLines w:val="0"/>
              <w:widowControl/>
              <w:suppressLineNumbers w:val="0"/>
              <w:spacing w:line="240" w:lineRule="auto"/>
              <w:jc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eastAsia="宋体" w:cs="Times New Roman"/>
                <w:b/>
                <w:bCs/>
                <w:color w:val="000000" w:themeColor="text1"/>
                <w:kern w:val="0"/>
                <w:sz w:val="24"/>
                <w:szCs w:val="24"/>
                <w:highlight w:val="none"/>
                <w:lang w:val="en-US" w:eastAsia="zh-CN" w:bidi="ar"/>
                <w14:textFill>
                  <w14:solidFill>
                    <w14:schemeClr w14:val="tx1"/>
                  </w14:solidFill>
                </w14:textFill>
              </w:rPr>
              <w:t>表1-2本项目与规划环评审查意见符合性分析表</w:t>
            </w:r>
          </w:p>
          <w:tbl>
            <w:tblPr>
              <w:tblStyle w:val="2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4305"/>
              <w:gridCol w:w="2152"/>
              <w:gridCol w:w="754"/>
            </w:tblGrid>
            <w:tr w14:paraId="698E1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6129F74C">
                  <w:pPr>
                    <w:pStyle w:val="10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序号</w:t>
                  </w:r>
                </w:p>
              </w:tc>
              <w:tc>
                <w:tcPr>
                  <w:tcW w:w="2760" w:type="pct"/>
                  <w:noWrap w:val="0"/>
                  <w:vAlign w:val="center"/>
                </w:tcPr>
                <w:p w14:paraId="3B667E0E">
                  <w:pPr>
                    <w:pStyle w:val="10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规划环评审查意见情况</w:t>
                  </w:r>
                </w:p>
              </w:tc>
              <w:tc>
                <w:tcPr>
                  <w:tcW w:w="1379" w:type="pct"/>
                  <w:noWrap w:val="0"/>
                  <w:vAlign w:val="center"/>
                </w:tcPr>
                <w:p w14:paraId="35324E08">
                  <w:pPr>
                    <w:pStyle w:val="10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本项目情况</w:t>
                  </w:r>
                </w:p>
              </w:tc>
              <w:tc>
                <w:tcPr>
                  <w:tcW w:w="483" w:type="pct"/>
                  <w:noWrap w:val="0"/>
                  <w:vAlign w:val="center"/>
                </w:tcPr>
                <w:p w14:paraId="2CB32707">
                  <w:pPr>
                    <w:pStyle w:val="10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符合性</w:t>
                  </w:r>
                </w:p>
              </w:tc>
            </w:tr>
            <w:tr w14:paraId="0637B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691F8C05">
                  <w:pPr>
                    <w:pStyle w:val="10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1</w:t>
                  </w:r>
                </w:p>
              </w:tc>
              <w:tc>
                <w:tcPr>
                  <w:tcW w:w="2760" w:type="pct"/>
                  <w:noWrap w:val="0"/>
                  <w:vAlign w:val="center"/>
                </w:tcPr>
                <w:p w14:paraId="24C8205A">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严格生态环境准入，推动高质量发展。园区应结合区域资源禀赋、生态敏感特征、生态功能保护、自治区及鄂尔多斯市“十四五”能耗双控、区域及行业碳达峰目标约束等要求，坚持循环经济和能源高效利用理念，合理发展无机非金属材料、新兴产业等主导产业，重点发展</w:t>
                  </w:r>
                  <w:r>
                    <w:rPr>
                      <w:rFonts w:hint="eastAsia"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延链补链强链</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产业，提升园区产业发展质量和效益。严格按照园区规划、规划环评和产业政策要求管理新入园项目，不得引进污染影响大、环境风险高的非主导产业项目。严控“两高”项目及生产工艺，确需建设的，应全面执行国家和自治区关于“两高”项目准入的各项规定。全面落实“四水四定”要求，审慎引进高耗水行业。</w:t>
                  </w:r>
                </w:p>
              </w:tc>
              <w:tc>
                <w:tcPr>
                  <w:tcW w:w="1379" w:type="pct"/>
                  <w:noWrap w:val="0"/>
                  <w:vAlign w:val="center"/>
                </w:tcPr>
                <w:p w14:paraId="3F68A9BE">
                  <w:pPr>
                    <w:keepNext w:val="0"/>
                    <w:keepLines w:val="0"/>
                    <w:pageBreakBefore w:val="0"/>
                    <w:widowControl w:val="0"/>
                    <w:suppressLineNumbers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本项目位于I区中</w:t>
                  </w:r>
                  <w:r>
                    <w:rPr>
                      <w:rFonts w:hint="eastAsia" w:cs="Times New Roman"/>
                      <w:color w:val="000000" w:themeColor="text1"/>
                      <w:kern w:val="0"/>
                      <w:sz w:val="21"/>
                      <w:szCs w:val="21"/>
                      <w:highlight w:val="none"/>
                      <w:lang w:val="en-US" w:eastAsia="zh-CN" w:bidi="ar"/>
                      <w14:textFill>
                        <w14:solidFill>
                          <w14:schemeClr w14:val="tx1"/>
                        </w14:solidFill>
                      </w14:textFill>
                    </w:rPr>
                    <w:t>南</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部，属于无机非金属材料产业，属于无机非金属材料产业链项目，符合园区产业规划。本项目不是污染影响大、环境风险高的非主导产业项目，也不是“两高”项目。本项目年消耗水量为</w:t>
                  </w:r>
                  <w: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t>157</w:t>
                  </w:r>
                  <w:r>
                    <w:rPr>
                      <w:rFonts w:hint="eastAsia" w:cs="Times New Roman"/>
                      <w:b w:val="0"/>
                      <w:bCs w:val="0"/>
                      <w:color w:val="000000" w:themeColor="text1"/>
                      <w:kern w:val="2"/>
                      <w:sz w:val="21"/>
                      <w:szCs w:val="21"/>
                      <w:highlight w:val="none"/>
                      <w:lang w:val="en-US" w:eastAsia="zh-CN" w:bidi="ar-SA"/>
                      <w14:textFill>
                        <w14:solidFill>
                          <w14:schemeClr w14:val="tx1"/>
                        </w14:solidFill>
                      </w14:textFill>
                    </w:rPr>
                    <w:t>698</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m</w:t>
                  </w:r>
                  <w:r>
                    <w:rPr>
                      <w:rFonts w:hint="default" w:ascii="Times New Roman" w:hAnsi="Times New Roman" w:eastAsia="宋体" w:cs="Times New Roman"/>
                      <w:color w:val="000000" w:themeColor="text1"/>
                      <w:kern w:val="0"/>
                      <w:sz w:val="21"/>
                      <w:szCs w:val="21"/>
                      <w:highlight w:val="none"/>
                      <w:vertAlign w:val="superscript"/>
                      <w:lang w:val="en-US" w:eastAsia="zh-CN" w:bidi="ar"/>
                      <w14:textFill>
                        <w14:solidFill>
                          <w14:schemeClr w14:val="tx1"/>
                        </w14:solidFill>
                      </w14:textFill>
                    </w:rPr>
                    <w:t>3</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，不属于高耗水项目。</w:t>
                  </w:r>
                </w:p>
                <w:p w14:paraId="4828A721">
                  <w:pPr>
                    <w:pStyle w:val="10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p>
              </w:tc>
              <w:tc>
                <w:tcPr>
                  <w:tcW w:w="483" w:type="pct"/>
                  <w:noWrap w:val="0"/>
                  <w:vAlign w:val="center"/>
                </w:tcPr>
                <w:p w14:paraId="45BDBC30">
                  <w:pPr>
                    <w:pStyle w:val="10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符合</w:t>
                  </w:r>
                </w:p>
              </w:tc>
            </w:tr>
            <w:tr w14:paraId="7488C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72EDA3A9">
                  <w:pPr>
                    <w:pStyle w:val="10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2</w:t>
                  </w:r>
                </w:p>
              </w:tc>
              <w:tc>
                <w:tcPr>
                  <w:tcW w:w="2760" w:type="pct"/>
                  <w:noWrap w:val="0"/>
                  <w:vAlign w:val="center"/>
                </w:tcPr>
                <w:p w14:paraId="03E8D083">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严格空间管控，优化产业布局。按照“东重西轻”原则，做好园区规划控制和防护带建设，确保园区产业布局与生态环境、人居环境相协调。园区与沙垃堵镇区等环境敏感区之间应设置足够的绿化隔离防护带。</w:t>
                  </w:r>
                </w:p>
                <w:p w14:paraId="024CA2AF">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禁止在园区内新建居民点、医院、学校等敏感目标，现有零散居民应在规划近期全部搬迁完毕。劳动密集型非化工企业不得与化工企业位于同一产业片区。清退园区内长期停产且无复产可能的项目，提高土地利用价值。</w:t>
                  </w:r>
                </w:p>
              </w:tc>
              <w:tc>
                <w:tcPr>
                  <w:tcW w:w="1379" w:type="pct"/>
                  <w:noWrap w:val="0"/>
                  <w:vAlign w:val="center"/>
                </w:tcPr>
                <w:p w14:paraId="05D11445">
                  <w:pPr>
                    <w:keepNext w:val="0"/>
                    <w:keepLines w:val="0"/>
                    <w:pageBreakBefore w:val="0"/>
                    <w:widowControl w:val="0"/>
                    <w:suppressLineNumbers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本项目位于园区内，附近没有常住居民居住，且本项目符合园区产业布局。</w:t>
                  </w:r>
                </w:p>
                <w:p w14:paraId="4ACBD1A4">
                  <w:pPr>
                    <w:pStyle w:val="10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p>
              </w:tc>
              <w:tc>
                <w:tcPr>
                  <w:tcW w:w="483" w:type="pct"/>
                  <w:noWrap w:val="0"/>
                  <w:vAlign w:val="center"/>
                </w:tcPr>
                <w:p w14:paraId="512AD0F1">
                  <w:pPr>
                    <w:pStyle w:val="10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符合</w:t>
                  </w:r>
                </w:p>
              </w:tc>
            </w:tr>
            <w:tr w14:paraId="1AC48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41D12593">
                  <w:pPr>
                    <w:pStyle w:val="10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3</w:t>
                  </w:r>
                </w:p>
              </w:tc>
              <w:tc>
                <w:tcPr>
                  <w:tcW w:w="2760" w:type="pct"/>
                  <w:noWrap w:val="0"/>
                  <w:vAlign w:val="center"/>
                </w:tcPr>
                <w:p w14:paraId="15A60C43">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严守环境质量底线，强化污染物排放总量管控。根据国家、自治区和鄂尔多斯市关于大气、水、土壤污染防治相关要求和区域“三线一单”成果，落实污染物区域削减方案，积极推进重点行业按照大气污染物超低排放或特别排放限值进行升级改造，持续减少主要污染物、特征污染物排放量，保障区域环境质量改善。园区内禁止新建35蒸吨/小时以下燃煤锅炉，2022年底前完成园区内10蒸吨/小时及以下燃煤小锅炉取缔工作。</w:t>
                  </w:r>
                </w:p>
              </w:tc>
              <w:tc>
                <w:tcPr>
                  <w:tcW w:w="1379" w:type="pct"/>
                  <w:noWrap w:val="0"/>
                  <w:vAlign w:val="center"/>
                </w:tcPr>
                <w:p w14:paraId="7F5AB418">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eastAsia" w:cs="Times New Roman"/>
                      <w:color w:val="000000" w:themeColor="text1"/>
                      <w:kern w:val="0"/>
                      <w:sz w:val="21"/>
                      <w:szCs w:val="21"/>
                      <w:highlight w:val="none"/>
                      <w:lang w:val="en-US" w:eastAsia="zh-CN" w:bidi="ar"/>
                      <w14:textFill>
                        <w14:solidFill>
                          <w14:schemeClr w14:val="tx1"/>
                        </w14:solidFill>
                      </w14:textFill>
                    </w:rPr>
                    <w:t>项目所在区域为达标区，严格执行污染物排放总量管控要求。且项目不涉及新增</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燃煤</w:t>
                  </w:r>
                  <w:r>
                    <w:rPr>
                      <w:rFonts w:hint="eastAsia" w:cs="Times New Roman"/>
                      <w:color w:val="000000" w:themeColor="text1"/>
                      <w:kern w:val="0"/>
                      <w:sz w:val="21"/>
                      <w:szCs w:val="21"/>
                      <w:highlight w:val="none"/>
                      <w:lang w:val="en-US" w:eastAsia="zh-CN" w:bidi="ar"/>
                      <w14:textFill>
                        <w14:solidFill>
                          <w14:schemeClr w14:val="tx1"/>
                        </w14:solidFill>
                      </w14:textFill>
                    </w:rPr>
                    <w:t>锅炉</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w:t>
                  </w:r>
                </w:p>
                <w:p w14:paraId="0731EEC4">
                  <w:pPr>
                    <w:pStyle w:val="10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p>
              </w:tc>
              <w:tc>
                <w:tcPr>
                  <w:tcW w:w="483" w:type="pct"/>
                  <w:noWrap w:val="0"/>
                  <w:vAlign w:val="center"/>
                </w:tcPr>
                <w:p w14:paraId="1AE81B34">
                  <w:pPr>
                    <w:pStyle w:val="10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符合</w:t>
                  </w:r>
                </w:p>
              </w:tc>
            </w:tr>
            <w:tr w14:paraId="7AB8D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6E769F49">
                  <w:pPr>
                    <w:pStyle w:val="10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4</w:t>
                  </w:r>
                </w:p>
              </w:tc>
              <w:tc>
                <w:tcPr>
                  <w:tcW w:w="2760" w:type="pct"/>
                  <w:noWrap w:val="0"/>
                  <w:vAlign w:val="center"/>
                </w:tcPr>
                <w:p w14:paraId="6342A801">
                  <w:pPr>
                    <w:keepNext w:val="0"/>
                    <w:keepLines w:val="0"/>
                    <w:pageBreakBefore w:val="0"/>
                    <w:widowControl w:val="0"/>
                    <w:suppressLineNumbers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加强环境基础设施建设，推进污染集中治理。合理规划园区污水处理方案，实现园区内生产废水全部纳管收集、集中处理和中水回用。优化园区供水结构，充分利用</w:t>
                  </w:r>
                  <w:r>
                    <w:rPr>
                      <w:rFonts w:hint="eastAsia"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当地</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水资源</w:t>
                  </w:r>
                  <w:r>
                    <w:rPr>
                      <w:rFonts w:hint="eastAsia" w:cs="Times New Roman"/>
                      <w:color w:val="000000" w:themeColor="text1"/>
                      <w:kern w:val="0"/>
                      <w:sz w:val="21"/>
                      <w:szCs w:val="21"/>
                      <w:highlight w:val="none"/>
                      <w:lang w:val="en-US" w:eastAsia="zh-CN" w:bidi="ar"/>
                      <w14:textFill>
                        <w14:solidFill>
                          <w14:schemeClr w14:val="tx1"/>
                        </w14:solidFill>
                      </w14:textFill>
                    </w:rPr>
                    <w:t>，最大</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程度减少生产用新鲜水取水量。建设</w:t>
                  </w:r>
                  <w:r>
                    <w:rPr>
                      <w:rFonts w:hint="eastAsia" w:cs="Times New Roman"/>
                      <w:color w:val="000000" w:themeColor="text1"/>
                      <w:kern w:val="0"/>
                      <w:sz w:val="21"/>
                      <w:szCs w:val="21"/>
                      <w:highlight w:val="none"/>
                      <w:lang w:val="en-US" w:eastAsia="zh-CN" w:bidi="ar"/>
                      <w14:textFill>
                        <w14:solidFill>
                          <w14:schemeClr w14:val="tx1"/>
                        </w14:solidFill>
                      </w14:textFill>
                    </w:rPr>
                    <w:t>具有足够</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处理能力的园区高盐水处置工程，2023年底前完成晾晒池存水治理及晾晒池改园区事故水池相关工作</w:t>
                  </w:r>
                  <w:r>
                    <w:rPr>
                      <w:rFonts w:hint="eastAsia" w:cs="Times New Roman"/>
                      <w:color w:val="000000" w:themeColor="text1"/>
                      <w:kern w:val="0"/>
                      <w:sz w:val="21"/>
                      <w:szCs w:val="21"/>
                      <w:highlight w:val="none"/>
                      <w:lang w:val="en-US" w:eastAsia="zh-CN" w:bidi="ar"/>
                      <w14:textFill>
                        <w14:solidFill>
                          <w14:schemeClr w14:val="tx1"/>
                        </w14:solidFill>
                      </w14:textFill>
                    </w:rPr>
                    <w:t>。因地制宜</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利用集中供热或清洁能源实现供热、供汽。强化企业的危险废物鉴别主体责任，对园区各类危险废物实施严格监管和严密监控，实现全过程安全妥善处置。优化固体废物、危险废物处置方式，积极拓展资源化利用途径，提高综合利用率。规范建设固体废物贮存场及填埋场并严格管理。</w:t>
                  </w:r>
                </w:p>
                <w:p w14:paraId="6EA18F45">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推进大宗货物及其他货物公路运输转铁路运输，园区内及周边中短途汽车运输优先采用新能源汽车。</w:t>
                  </w:r>
                </w:p>
              </w:tc>
              <w:tc>
                <w:tcPr>
                  <w:tcW w:w="1379" w:type="pct"/>
                  <w:noWrap w:val="0"/>
                  <w:vAlign w:val="center"/>
                </w:tcPr>
                <w:p w14:paraId="6540360E">
                  <w:pPr>
                    <w:keepNext w:val="0"/>
                    <w:keepLines w:val="0"/>
                    <w:pageBreakBefore w:val="0"/>
                    <w:widowControl w:val="0"/>
                    <w:suppressLineNumbers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本项目</w:t>
                  </w:r>
                  <w:r>
                    <w:rPr>
                      <w:rFonts w:hint="eastAsia"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用水资源</w:t>
                  </w:r>
                  <w:r>
                    <w:rPr>
                      <w:rFonts w:hint="eastAsia" w:cs="Times New Roman"/>
                      <w:color w:val="000000" w:themeColor="text1"/>
                      <w:kern w:val="0"/>
                      <w:sz w:val="21"/>
                      <w:szCs w:val="21"/>
                      <w:highlight w:val="none"/>
                      <w:lang w:val="en-US" w:eastAsia="zh-CN" w:bidi="ar"/>
                      <w14:textFill>
                        <w14:solidFill>
                          <w14:schemeClr w14:val="tx1"/>
                        </w14:solidFill>
                      </w14:textFill>
                    </w:rPr>
                    <w:t>主要为中水</w:t>
                  </w:r>
                  <w:r>
                    <w:rPr>
                      <w:rFonts w:hint="eastAsia"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w:t>
                  </w:r>
                  <w:r>
                    <w:rPr>
                      <w:rFonts w:hint="eastAsia" w:cs="Times New Roman"/>
                      <w:color w:val="000000" w:themeColor="text1"/>
                      <w:kern w:val="0"/>
                      <w:sz w:val="21"/>
                      <w:szCs w:val="21"/>
                      <w:highlight w:val="none"/>
                      <w:lang w:val="en-US" w:eastAsia="zh-CN" w:bidi="ar"/>
                      <w14:textFill>
                        <w14:solidFill>
                          <w14:schemeClr w14:val="tx1"/>
                        </w14:solidFill>
                      </w14:textFill>
                    </w:rPr>
                    <w:t>脱硫废水</w:t>
                  </w:r>
                  <w:r>
                    <w:rPr>
                      <w:rFonts w:hint="default" w:ascii="宋体" w:hAnsi="宋体" w:eastAsia="宋体" w:cs="宋体"/>
                      <w:color w:val="000000" w:themeColor="text1"/>
                      <w:kern w:val="0"/>
                      <w:sz w:val="21"/>
                      <w:szCs w:val="21"/>
                      <w:highlight w:val="none"/>
                      <w:lang w:val="en-US" w:eastAsia="zh-CN" w:bidi="ar"/>
                      <w14:textFill>
                        <w14:solidFill>
                          <w14:schemeClr w14:val="tx1"/>
                        </w14:solidFill>
                      </w14:textFill>
                    </w:rPr>
                    <w:t>经三联箱装置处理后回用于脱硫浆液制备用水</w:t>
                  </w:r>
                  <w:r>
                    <w:rPr>
                      <w:rFonts w:hint="eastAsia" w:ascii="宋体" w:hAnsi="宋体" w:cs="宋体"/>
                      <w:color w:val="000000" w:themeColor="text1"/>
                      <w:kern w:val="0"/>
                      <w:sz w:val="21"/>
                      <w:szCs w:val="21"/>
                      <w:highlight w:val="none"/>
                      <w:lang w:val="en-US" w:eastAsia="zh-CN" w:bidi="ar"/>
                      <w14:textFill>
                        <w14:solidFill>
                          <w14:schemeClr w14:val="tx1"/>
                        </w14:solidFill>
                      </w14:textFill>
                    </w:rPr>
                    <w:t>;锅炉排水和软水制备废水</w:t>
                  </w:r>
                  <w:r>
                    <w:rPr>
                      <w:rFonts w:hint="eastAsia"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罐车拉运</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至园区生产废水处理厂处理；本项目为固体废物资源化利用项目，新建1座危废暂存库，按照《危险废物贮存污染控制标准》（GB18597-2023）</w:t>
                  </w:r>
                </w:p>
                <w:p w14:paraId="78A7772C">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规范建设和维护</w:t>
                  </w:r>
                  <w:r>
                    <w:rPr>
                      <w:rFonts w:hint="eastAsia" w:cs="Times New Roman"/>
                      <w:color w:val="000000" w:themeColor="text1"/>
                      <w:kern w:val="0"/>
                      <w:sz w:val="21"/>
                      <w:szCs w:val="21"/>
                      <w:highlight w:val="none"/>
                      <w:lang w:val="en-US" w:eastAsia="zh-CN" w:bidi="ar"/>
                      <w14:textFill>
                        <w14:solidFill>
                          <w14:schemeClr w14:val="tx1"/>
                        </w14:solidFill>
                      </w14:textFill>
                    </w:rPr>
                    <w:t>使用</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，危险废物全过程安全妥善处置。</w:t>
                  </w:r>
                </w:p>
                <w:p w14:paraId="1F68DE99">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项目大宗原料来源为厂区外临近的</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内蒙古伊东新材料有限责任公司</w:t>
                  </w:r>
                  <w:r>
                    <w:rPr>
                      <w:rFonts w:hint="eastAsia"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气力输送。</w:t>
                  </w:r>
                </w:p>
              </w:tc>
              <w:tc>
                <w:tcPr>
                  <w:tcW w:w="483" w:type="pct"/>
                  <w:noWrap w:val="0"/>
                  <w:vAlign w:val="center"/>
                </w:tcPr>
                <w:p w14:paraId="78AE2892">
                  <w:pPr>
                    <w:pStyle w:val="10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符合</w:t>
                  </w:r>
                </w:p>
              </w:tc>
            </w:tr>
            <w:tr w14:paraId="180D4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4" w:hRule="atLeast"/>
                <w:jc w:val="center"/>
              </w:trPr>
              <w:tc>
                <w:tcPr>
                  <w:tcW w:w="376" w:type="pct"/>
                  <w:noWrap w:val="0"/>
                  <w:vAlign w:val="center"/>
                </w:tcPr>
                <w:p w14:paraId="6062D028">
                  <w:pPr>
                    <w:pStyle w:val="10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5</w:t>
                  </w:r>
                </w:p>
              </w:tc>
              <w:tc>
                <w:tcPr>
                  <w:tcW w:w="2760" w:type="pct"/>
                  <w:noWrap w:val="0"/>
                  <w:vAlign w:val="center"/>
                </w:tcPr>
                <w:p w14:paraId="45FC7A3E">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强化源头防控，有效防范环境污染和事故风险。加强突发环境事件应急处置能力建设，建立完善的环境风险防控和应急监测体系，强化应急演练和应急物资储备，不断提升应急响应能力，保障区域环境安全。入园企业按要求设置事故水池，并与园区事故水池联通形成综合调控系统，确保任何情况下园区事故废水不进入外环境。</w:t>
                  </w:r>
                </w:p>
              </w:tc>
              <w:tc>
                <w:tcPr>
                  <w:tcW w:w="1379" w:type="pct"/>
                  <w:noWrap w:val="0"/>
                  <w:vAlign w:val="center"/>
                </w:tcPr>
                <w:p w14:paraId="11BBBB49">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本次环评要求企业在后续运营过程中按要求将本项目纳入《内蒙古伊东东晟新材料有限公司突发环境事件应急预案》，并按要求完成备案。</w:t>
                  </w:r>
                </w:p>
              </w:tc>
              <w:tc>
                <w:tcPr>
                  <w:tcW w:w="483" w:type="pct"/>
                  <w:noWrap w:val="0"/>
                  <w:vAlign w:val="center"/>
                </w:tcPr>
                <w:p w14:paraId="3FBB5119">
                  <w:pPr>
                    <w:pStyle w:val="10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符合</w:t>
                  </w:r>
                </w:p>
              </w:tc>
            </w:tr>
            <w:tr w14:paraId="628B8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2BE3AF30">
                  <w:pPr>
                    <w:pStyle w:val="10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6</w:t>
                  </w:r>
                </w:p>
              </w:tc>
              <w:tc>
                <w:tcPr>
                  <w:tcW w:w="2760" w:type="pct"/>
                  <w:noWrap w:val="0"/>
                  <w:vAlign w:val="center"/>
                </w:tcPr>
                <w:p w14:paraId="6D8FADCA">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加强环境监管及日常环境质量监测。建立包括常规污染物和特征污染物在内的环境空气、地表水、地下水、土壤等环境质量监测体系，做好长期跟踪监测与管理。按要求设置园区环境空气质量监测站点。重点企业排污口要设置在线监测系统并与生态环境部门联网。加强土壤污染重点企业监管，强化腾退企业遗留场地的土壤环境调查和风险评估，合理确定土地利用方式。</w:t>
                  </w:r>
                </w:p>
              </w:tc>
              <w:tc>
                <w:tcPr>
                  <w:tcW w:w="1379" w:type="pct"/>
                  <w:noWrap w:val="0"/>
                  <w:vAlign w:val="center"/>
                </w:tcPr>
                <w:p w14:paraId="7C21069E">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cs="Times New Roman"/>
                      <w:color w:val="000000" w:themeColor="text1"/>
                      <w:kern w:val="0"/>
                      <w:sz w:val="21"/>
                      <w:szCs w:val="21"/>
                      <w:highlight w:val="none"/>
                      <w:lang w:val="en-US" w:eastAsia="zh-CN" w:bidi="ar"/>
                      <w14:textFill>
                        <w14:solidFill>
                          <w14:schemeClr w14:val="tx1"/>
                        </w14:solidFill>
                      </w14:textFill>
                    </w:rPr>
                    <w:t>要求</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本项目</w:t>
                  </w:r>
                  <w:r>
                    <w:rPr>
                      <w:rFonts w:hint="eastAsia" w:cs="Times New Roman"/>
                      <w:color w:val="000000" w:themeColor="text1"/>
                      <w:kern w:val="0"/>
                      <w:sz w:val="21"/>
                      <w:szCs w:val="21"/>
                      <w:highlight w:val="none"/>
                      <w:lang w:val="en-US" w:eastAsia="zh-CN" w:bidi="ar"/>
                      <w14:textFill>
                        <w14:solidFill>
                          <w14:schemeClr w14:val="tx1"/>
                        </w14:solidFill>
                      </w14:textFill>
                    </w:rPr>
                    <w:t>部分</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排污口设置在线监测系统并与生态环境部门联网。</w:t>
                  </w:r>
                </w:p>
              </w:tc>
              <w:tc>
                <w:tcPr>
                  <w:tcW w:w="483" w:type="pct"/>
                  <w:noWrap w:val="0"/>
                  <w:vAlign w:val="center"/>
                </w:tcPr>
                <w:p w14:paraId="4CBA32F0">
                  <w:pPr>
                    <w:pStyle w:val="10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符合</w:t>
                  </w:r>
                </w:p>
              </w:tc>
            </w:tr>
            <w:tr w14:paraId="36785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4FEA3DAE">
                  <w:pPr>
                    <w:pStyle w:val="10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7</w:t>
                  </w:r>
                </w:p>
              </w:tc>
              <w:tc>
                <w:tcPr>
                  <w:tcW w:w="2760" w:type="pct"/>
                  <w:noWrap w:val="0"/>
                  <w:vAlign w:val="center"/>
                </w:tcPr>
                <w:p w14:paraId="75662681">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总体规划实施对环境产生重大影响时，应当及时组织环境影响的跟踪评价。对规划所包含的建设项目，在开展环境影响评价时，应重点分析污染防治措施和环境风险防控措施的可行性、可靠性，规划协调性分析、环境现状等工作内容可适当简化。</w:t>
                  </w:r>
                </w:p>
              </w:tc>
              <w:tc>
                <w:tcPr>
                  <w:tcW w:w="1379" w:type="pct"/>
                  <w:noWrap w:val="0"/>
                  <w:vAlign w:val="center"/>
                </w:tcPr>
                <w:p w14:paraId="2126CED7">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本项目</w:t>
                  </w:r>
                  <w:r>
                    <w:rPr>
                      <w:rFonts w:hint="eastAsia" w:cs="Times New Roman"/>
                      <w:color w:val="000000" w:themeColor="text1"/>
                      <w:kern w:val="0"/>
                      <w:sz w:val="21"/>
                      <w:szCs w:val="21"/>
                      <w:highlight w:val="none"/>
                      <w:lang w:val="en-US" w:eastAsia="zh-CN" w:bidi="ar"/>
                      <w14:textFill>
                        <w14:solidFill>
                          <w14:schemeClr w14:val="tx1"/>
                        </w14:solidFill>
                      </w14:textFill>
                    </w:rPr>
                    <w:t>不属于规划项目</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w:t>
                  </w:r>
                </w:p>
              </w:tc>
              <w:tc>
                <w:tcPr>
                  <w:tcW w:w="483" w:type="pct"/>
                  <w:noWrap w:val="0"/>
                  <w:vAlign w:val="center"/>
                </w:tcPr>
                <w:p w14:paraId="3DE17997">
                  <w:pPr>
                    <w:pStyle w:val="10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符合</w:t>
                  </w:r>
                </w:p>
              </w:tc>
            </w:tr>
          </w:tbl>
          <w:p w14:paraId="6F248F03">
            <w:pPr>
              <w:pStyle w:val="103"/>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000000" w:themeColor="text1"/>
                <w:highlight w:val="none"/>
                <w:lang w:val="en-US" w:eastAsia="zh-CN"/>
                <w14:textFill>
                  <w14:solidFill>
                    <w14:schemeClr w14:val="tx1"/>
                  </w14:solidFill>
                </w14:textFill>
              </w:rPr>
            </w:pPr>
          </w:p>
        </w:tc>
      </w:tr>
      <w:tr w14:paraId="12681D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103" w:hRule="atLeast"/>
          <w:jc w:val="center"/>
        </w:trPr>
        <w:tc>
          <w:tcPr>
            <w:tcW w:w="843" w:type="dxa"/>
            <w:noWrap w:val="0"/>
            <w:vAlign w:val="center"/>
          </w:tcPr>
          <w:p w14:paraId="69DA13BA">
            <w:pPr>
              <w:autoSpaceDE w:val="0"/>
              <w:autoSpaceDN w:val="0"/>
              <w:adjustRightInd w:val="0"/>
              <w:snapToGrid w:val="0"/>
              <w:jc w:val="center"/>
              <w:rPr>
                <w:rFonts w:hint="default" w:ascii="Times New Roman" w:hAnsi="Times New Roman" w:eastAsia="宋体" w:cs="Times New Roman"/>
                <w:b/>
                <w:bCs/>
                <w:color w:val="000000" w:themeColor="text1"/>
                <w:kern w:val="0"/>
                <w:sz w:val="24"/>
                <w:highlight w:val="none"/>
                <w14:textFill>
                  <w14:solidFill>
                    <w14:schemeClr w14:val="tx1"/>
                  </w14:solidFill>
                </w14:textFill>
              </w:rPr>
            </w:pPr>
            <w:r>
              <w:rPr>
                <w:rFonts w:hint="default" w:ascii="Times New Roman" w:hAnsi="Times New Roman" w:eastAsia="宋体" w:cs="Times New Roman"/>
                <w:b/>
                <w:bCs/>
                <w:color w:val="000000" w:themeColor="text1"/>
                <w:kern w:val="0"/>
                <w:sz w:val="24"/>
                <w:highlight w:val="none"/>
                <w14:textFill>
                  <w14:solidFill>
                    <w14:schemeClr w14:val="tx1"/>
                  </w14:solidFill>
                </w14:textFill>
              </w:rPr>
              <w:t>其他</w:t>
            </w:r>
          </w:p>
          <w:p w14:paraId="44B6D9FF">
            <w:pPr>
              <w:autoSpaceDE w:val="0"/>
              <w:autoSpaceDN w:val="0"/>
              <w:adjustRightInd w:val="0"/>
              <w:snapToGrid w:val="0"/>
              <w:jc w:val="center"/>
              <w:rPr>
                <w:rFonts w:hint="default" w:ascii="Times New Roman" w:hAnsi="Times New Roman" w:eastAsia="宋体" w:cs="Times New Roman"/>
                <w:b/>
                <w:bCs/>
                <w:color w:val="000000" w:themeColor="text1"/>
                <w:kern w:val="0"/>
                <w:sz w:val="24"/>
                <w:highlight w:val="none"/>
                <w14:textFill>
                  <w14:solidFill>
                    <w14:schemeClr w14:val="tx1"/>
                  </w14:solidFill>
                </w14:textFill>
              </w:rPr>
            </w:pPr>
            <w:r>
              <w:rPr>
                <w:rFonts w:hint="default" w:ascii="Times New Roman" w:hAnsi="Times New Roman" w:eastAsia="宋体" w:cs="Times New Roman"/>
                <w:b/>
                <w:bCs/>
                <w:color w:val="000000" w:themeColor="text1"/>
                <w:kern w:val="0"/>
                <w:sz w:val="24"/>
                <w:highlight w:val="none"/>
                <w14:textFill>
                  <w14:solidFill>
                    <w14:schemeClr w14:val="tx1"/>
                  </w14:solidFill>
                </w14:textFill>
              </w:rPr>
              <w:t>符合性</w:t>
            </w:r>
          </w:p>
          <w:p w14:paraId="18E02FF0">
            <w:pPr>
              <w:autoSpaceDE w:val="0"/>
              <w:autoSpaceDN w:val="0"/>
              <w:adjustRightInd w:val="0"/>
              <w:snapToGrid w:val="0"/>
              <w:jc w:val="center"/>
              <w:rPr>
                <w:rFonts w:hint="default" w:ascii="Times New Roman" w:hAnsi="Times New Roman" w:eastAsia="宋体" w:cs="Times New Roman"/>
                <w:color w:val="000000" w:themeColor="text1"/>
                <w:kern w:val="0"/>
                <w:sz w:val="24"/>
                <w:highlight w:val="none"/>
                <w14:textFill>
                  <w14:solidFill>
                    <w14:schemeClr w14:val="tx1"/>
                  </w14:solidFill>
                </w14:textFill>
              </w:rPr>
            </w:pPr>
            <w:r>
              <w:rPr>
                <w:rFonts w:hint="default" w:ascii="Times New Roman" w:hAnsi="Times New Roman" w:eastAsia="宋体" w:cs="Times New Roman"/>
                <w:b/>
                <w:bCs/>
                <w:color w:val="000000" w:themeColor="text1"/>
                <w:kern w:val="0"/>
                <w:sz w:val="24"/>
                <w:highlight w:val="none"/>
                <w14:textFill>
                  <w14:solidFill>
                    <w14:schemeClr w14:val="tx1"/>
                  </w14:solidFill>
                </w14:textFill>
              </w:rPr>
              <w:t>分析</w:t>
            </w:r>
          </w:p>
        </w:tc>
        <w:tc>
          <w:tcPr>
            <w:tcW w:w="8027" w:type="dxa"/>
            <w:gridSpan w:val="3"/>
            <w:noWrap w:val="0"/>
            <w:vAlign w:val="center"/>
          </w:tcPr>
          <w:p w14:paraId="62CAB78D">
            <w:pPr>
              <w:keepNext w:val="0"/>
              <w:keepLines w:val="0"/>
              <w:pageBreakBefore w:val="0"/>
              <w:widowControl w:val="0"/>
              <w:kinsoku/>
              <w:wordWrap/>
              <w:overflowPunct/>
              <w:topLinePunct w:val="0"/>
              <w:autoSpaceDE w:val="0"/>
              <w:autoSpaceDN w:val="0"/>
              <w:bidi w:val="0"/>
              <w:adjustRightInd w:val="0"/>
              <w:snapToGrid w:val="0"/>
              <w:spacing w:line="360" w:lineRule="auto"/>
              <w:ind w:firstLine="482" w:firstLineChars="200"/>
              <w:jc w:val="both"/>
              <w:textAlignment w:val="auto"/>
              <w:rPr>
                <w:rFonts w:hint="default" w:ascii="Times New Roman" w:hAnsi="Times New Roman" w:eastAsia="宋体" w:cs="Times New Roman"/>
                <w:b/>
                <w:bCs/>
                <w:color w:val="000000" w:themeColor="text1"/>
                <w:sz w:val="24"/>
                <w:highlight w:val="none"/>
                <w14:textFill>
                  <w14:solidFill>
                    <w14:schemeClr w14:val="tx1"/>
                  </w14:solidFill>
                </w14:textFill>
              </w:rPr>
            </w:pPr>
            <w:r>
              <w:rPr>
                <w:rFonts w:hint="eastAsia" w:ascii="Times New Roman" w:hAnsi="Times New Roman" w:eastAsia="宋体" w:cs="Times New Roman"/>
                <w:b/>
                <w:bCs/>
                <w:color w:val="000000" w:themeColor="text1"/>
                <w:sz w:val="24"/>
                <w:highlight w:val="none"/>
                <w:lang w:val="en-US" w:eastAsia="zh-CN"/>
                <w14:textFill>
                  <w14:solidFill>
                    <w14:schemeClr w14:val="tx1"/>
                  </w14:solidFill>
                </w14:textFill>
              </w:rPr>
              <w:t>1.</w:t>
            </w:r>
            <w:r>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t>本项目与</w:t>
            </w:r>
            <w:r>
              <w:rPr>
                <w:rFonts w:hint="eastAsia" w:cs="Times New Roman"/>
                <w:b/>
                <w:bCs/>
                <w:color w:val="000000" w:themeColor="text1"/>
                <w:sz w:val="24"/>
                <w:highlight w:val="none"/>
                <w:lang w:val="en-US" w:eastAsia="zh-CN"/>
                <w14:textFill>
                  <w14:solidFill>
                    <w14:schemeClr w14:val="tx1"/>
                  </w14:solidFill>
                </w14:textFill>
              </w:rPr>
              <w:t>“生态环境分区</w:t>
            </w:r>
            <w:r>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t>管控</w:t>
            </w:r>
            <w:r>
              <w:rPr>
                <w:rFonts w:hint="eastAsia" w:cs="Times New Roman"/>
                <w:b/>
                <w:bCs/>
                <w:color w:val="000000" w:themeColor="text1"/>
                <w:sz w:val="24"/>
                <w:highlight w:val="none"/>
                <w:lang w:val="en-US" w:eastAsia="zh-CN"/>
                <w14:textFill>
                  <w14:solidFill>
                    <w14:schemeClr w14:val="tx1"/>
                  </w14:solidFill>
                </w14:textFill>
              </w:rPr>
              <w:t>要求”</w:t>
            </w:r>
            <w:r>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t>的</w:t>
            </w:r>
            <w:r>
              <w:rPr>
                <w:rFonts w:hint="eastAsia" w:cs="Times New Roman"/>
                <w:b/>
                <w:bCs/>
                <w:color w:val="000000" w:themeColor="text1"/>
                <w:sz w:val="24"/>
                <w:highlight w:val="none"/>
                <w:lang w:eastAsia="zh-CN"/>
                <w14:textFill>
                  <w14:solidFill>
                    <w14:schemeClr w14:val="tx1"/>
                  </w14:solidFill>
                </w14:textFill>
              </w:rPr>
              <w:t>符合</w:t>
            </w:r>
            <w:r>
              <w:rPr>
                <w:rFonts w:hint="default" w:ascii="Times New Roman" w:hAnsi="Times New Roman" w:eastAsia="宋体" w:cs="Times New Roman"/>
                <w:b/>
                <w:bCs/>
                <w:color w:val="000000" w:themeColor="text1"/>
                <w:sz w:val="24"/>
                <w:highlight w:val="none"/>
                <w14:textFill>
                  <w14:solidFill>
                    <w14:schemeClr w14:val="tx1"/>
                  </w14:solidFill>
                </w14:textFill>
              </w:rPr>
              <w:t>性分析</w:t>
            </w:r>
          </w:p>
          <w:p w14:paraId="3CCCE8A2">
            <w:pPr>
              <w:pStyle w:val="103"/>
              <w:keepNext w:val="0"/>
              <w:keepLines w:val="0"/>
              <w:pageBreakBefore w:val="0"/>
              <w:widowControl w:val="0"/>
              <w:kinsoku/>
              <w:wordWrap/>
              <w:overflowPunct/>
              <w:topLinePunct w:val="0"/>
              <w:bidi w:val="0"/>
              <w:spacing w:line="360" w:lineRule="auto"/>
              <w:ind w:firstLine="480" w:firstLineChars="200"/>
              <w:jc w:val="both"/>
              <w:textAlignment w:val="auto"/>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根据鄂尔多斯市生态环境分区管控动态更新成果（2023年版）文件要求，本项目所在地</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内蒙古鄂尔多斯</w:t>
            </w:r>
            <w:r>
              <w:rPr>
                <w:rFonts w:hint="eastAsia" w:cs="Times New Roman"/>
                <w:color w:val="000000" w:themeColor="text1"/>
                <w:sz w:val="24"/>
                <w:highlight w:val="none"/>
                <w:lang w:val="en-US" w:eastAsia="zh-CN"/>
                <w14:textFill>
                  <w14:solidFill>
                    <w14:schemeClr w14:val="tx1"/>
                  </w14:solidFill>
                </w14:textFill>
              </w:rPr>
              <w:t>市</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准格尔经济开发区准格尔产业园</w:t>
            </w:r>
            <w:r>
              <w:rPr>
                <w:rFonts w:hint="default" w:ascii="Times New Roman" w:hAnsi="Times New Roman" w:eastAsia="宋体" w:cs="Times New Roman"/>
                <w:color w:val="000000" w:themeColor="text1"/>
                <w:szCs w:val="24"/>
                <w:highlight w:val="none"/>
                <w14:textFill>
                  <w14:solidFill>
                    <w14:schemeClr w14:val="tx1"/>
                  </w14:solidFill>
                </w14:textFill>
              </w:rPr>
              <w:t>属于重点管控单元，该区域应不断提升资源利用效率，有针对性地加强污染物排放控制和环境风险防控，解决生态环境质量不达标、生态环境风险高等问题。因此</w:t>
            </w:r>
            <w:r>
              <w:rPr>
                <w:rFonts w:hint="eastAsia" w:cs="Times New Roman"/>
                <w:color w:val="000000" w:themeColor="text1"/>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Cs w:val="24"/>
                <w:highlight w:val="none"/>
                <w14:textFill>
                  <w14:solidFill>
                    <w14:schemeClr w14:val="tx1"/>
                  </w14:solidFill>
                </w14:textFill>
              </w:rPr>
              <w:t>关于“</w:t>
            </w:r>
            <w:r>
              <w:rPr>
                <w:rFonts w:hint="eastAsia" w:cs="Times New Roman"/>
                <w:color w:val="000000" w:themeColor="text1"/>
                <w:szCs w:val="24"/>
                <w:highlight w:val="none"/>
                <w:lang w:val="en-US" w:eastAsia="zh-CN"/>
                <w14:textFill>
                  <w14:solidFill>
                    <w14:schemeClr w14:val="tx1"/>
                  </w14:solidFill>
                </w14:textFill>
              </w:rPr>
              <w:t>生态环境分区管控</w:t>
            </w:r>
            <w:r>
              <w:rPr>
                <w:rFonts w:hint="default" w:ascii="Times New Roman" w:hAnsi="Times New Roman" w:eastAsia="宋体" w:cs="Times New Roman"/>
                <w:color w:val="000000" w:themeColor="text1"/>
                <w:szCs w:val="24"/>
                <w:highlight w:val="none"/>
                <w14:textFill>
                  <w14:solidFill>
                    <w14:schemeClr w14:val="tx1"/>
                  </w14:solidFill>
                </w14:textFill>
              </w:rPr>
              <w:t>”的符合性分析按照生态保护红线、环境质量底线、资源利用</w:t>
            </w:r>
            <w:r>
              <w:rPr>
                <w:rFonts w:hint="default" w:ascii="Times New Roman" w:hAnsi="Times New Roman" w:eastAsia="宋体" w:cs="Times New Roman"/>
                <w:color w:val="000000" w:themeColor="text1"/>
                <w:szCs w:val="24"/>
                <w:highlight w:val="none"/>
                <w:lang w:eastAsia="zh-CN"/>
                <w14:textFill>
                  <w14:solidFill>
                    <w14:schemeClr w14:val="tx1"/>
                  </w14:solidFill>
                </w14:textFill>
              </w:rPr>
              <w:t>上限</w:t>
            </w:r>
            <w:r>
              <w:rPr>
                <w:rFonts w:hint="default" w:ascii="Times New Roman" w:hAnsi="Times New Roman" w:eastAsia="宋体" w:cs="Times New Roman"/>
                <w:color w:val="000000" w:themeColor="text1"/>
                <w:szCs w:val="24"/>
                <w:highlight w:val="none"/>
                <w14:textFill>
                  <w14:solidFill>
                    <w14:schemeClr w14:val="tx1"/>
                  </w14:solidFill>
                </w14:textFill>
              </w:rPr>
              <w:t>及准入清单</w:t>
            </w:r>
            <w:r>
              <w:rPr>
                <w:rFonts w:hint="eastAsia" w:ascii="Times New Roman" w:hAnsi="Times New Roman" w:eastAsia="宋体" w:cs="Times New Roman"/>
                <w:color w:val="000000" w:themeColor="text1"/>
                <w:szCs w:val="24"/>
                <w:highlight w:val="none"/>
                <w:lang w:val="en-US" w:eastAsia="zh-CN"/>
                <w14:textFill>
                  <w14:solidFill>
                    <w14:schemeClr w14:val="tx1"/>
                  </w14:solidFill>
                </w14:textFill>
              </w:rPr>
              <w:t>等</w:t>
            </w:r>
            <w:r>
              <w:rPr>
                <w:rFonts w:hint="default" w:ascii="Times New Roman" w:hAnsi="Times New Roman" w:eastAsia="宋体" w:cs="Times New Roman"/>
                <w:color w:val="000000" w:themeColor="text1"/>
                <w:szCs w:val="24"/>
                <w:highlight w:val="none"/>
                <w14:textFill>
                  <w14:solidFill>
                    <w14:schemeClr w14:val="tx1"/>
                  </w14:solidFill>
                </w14:textFill>
              </w:rPr>
              <w:t>方面进行分析。</w:t>
            </w:r>
          </w:p>
          <w:p w14:paraId="681A55AE">
            <w:pPr>
              <w:pStyle w:val="103"/>
              <w:keepNext w:val="0"/>
              <w:keepLines w:val="0"/>
              <w:pageBreakBefore w:val="0"/>
              <w:widowControl w:val="0"/>
              <w:kinsoku/>
              <w:wordWrap/>
              <w:overflowPunct/>
              <w:topLinePunct w:val="0"/>
              <w:bidi w:val="0"/>
              <w:spacing w:line="360" w:lineRule="auto"/>
              <w:ind w:firstLine="480" w:firstLineChars="200"/>
              <w:jc w:val="both"/>
              <w:textAlignment w:val="auto"/>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（1）生态保护红线</w:t>
            </w:r>
          </w:p>
          <w:p w14:paraId="6942943F">
            <w:pPr>
              <w:pStyle w:val="103"/>
              <w:keepNext w:val="0"/>
              <w:keepLines w:val="0"/>
              <w:pageBreakBefore w:val="0"/>
              <w:widowControl w:val="0"/>
              <w:kinsoku/>
              <w:wordWrap/>
              <w:overflowPunct/>
              <w:topLinePunct w:val="0"/>
              <w:bidi w:val="0"/>
              <w:spacing w:line="360" w:lineRule="auto"/>
              <w:ind w:firstLine="480" w:firstLineChars="200"/>
              <w:jc w:val="both"/>
              <w:textAlignment w:val="auto"/>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鄂尔多斯市生态保护红线面积为22900.81km</w:t>
            </w:r>
            <w:r>
              <w:rPr>
                <w:rFonts w:hint="default" w:ascii="Times New Roman" w:hAnsi="Times New Roman" w:eastAsia="宋体" w:cs="Times New Roman"/>
                <w:color w:val="000000" w:themeColor="text1"/>
                <w:szCs w:val="24"/>
                <w:highlight w:val="none"/>
                <w:vertAlign w:val="superscript"/>
                <w14:textFill>
                  <w14:solidFill>
                    <w14:schemeClr w14:val="tx1"/>
                  </w14:solidFill>
                </w14:textFill>
              </w:rPr>
              <w:t>2</w:t>
            </w:r>
            <w:r>
              <w:rPr>
                <w:rFonts w:hint="default" w:ascii="Times New Roman" w:hAnsi="Times New Roman" w:eastAsia="宋体" w:cs="Times New Roman"/>
                <w:color w:val="000000" w:themeColor="text1"/>
                <w:szCs w:val="24"/>
                <w:highlight w:val="none"/>
                <w14:textFill>
                  <w14:solidFill>
                    <w14:schemeClr w14:val="tx1"/>
                  </w14:solidFill>
                </w14:textFill>
              </w:rPr>
              <w:t>，占全市面积的26.36%。本项目选址位于</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内蒙古鄂尔多斯</w:t>
            </w:r>
            <w:r>
              <w:rPr>
                <w:rFonts w:hint="eastAsia" w:cs="Times New Roman"/>
                <w:color w:val="000000" w:themeColor="text1"/>
                <w:sz w:val="24"/>
                <w:highlight w:val="none"/>
                <w:lang w:val="en-US" w:eastAsia="zh-CN"/>
                <w14:textFill>
                  <w14:solidFill>
                    <w14:schemeClr w14:val="tx1"/>
                  </w14:solidFill>
                </w14:textFill>
              </w:rPr>
              <w:t>市</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准格尔经济开发区准格尔产业园</w:t>
            </w:r>
            <w:r>
              <w:rPr>
                <w:rFonts w:hint="default" w:ascii="Times New Roman" w:hAnsi="Times New Roman" w:eastAsia="宋体" w:cs="Times New Roman"/>
                <w:color w:val="000000" w:themeColor="text1"/>
                <w:szCs w:val="24"/>
                <w:highlight w:val="none"/>
                <w14:textFill>
                  <w14:solidFill>
                    <w14:schemeClr w14:val="tx1"/>
                  </w14:solidFill>
                </w14:textFill>
              </w:rPr>
              <w:t>，不在内蒙古自治区和鄂尔多斯市生态保护红线范围内，即本项目与生态红线不冲突，符合其保护要求。</w:t>
            </w:r>
          </w:p>
          <w:p w14:paraId="386D1298">
            <w:pPr>
              <w:pStyle w:val="103"/>
              <w:keepNext w:val="0"/>
              <w:keepLines w:val="0"/>
              <w:pageBreakBefore w:val="0"/>
              <w:widowControl w:val="0"/>
              <w:kinsoku/>
              <w:wordWrap/>
              <w:overflowPunct/>
              <w:topLinePunct w:val="0"/>
              <w:bidi w:val="0"/>
              <w:spacing w:line="360" w:lineRule="auto"/>
              <w:ind w:firstLine="480" w:firstLineChars="200"/>
              <w:jc w:val="both"/>
              <w:textAlignment w:val="auto"/>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（2）环境质量底线</w:t>
            </w:r>
          </w:p>
          <w:p w14:paraId="49549CA4">
            <w:pPr>
              <w:pStyle w:val="103"/>
              <w:keepNext w:val="0"/>
              <w:keepLines w:val="0"/>
              <w:pageBreakBefore w:val="0"/>
              <w:widowControl w:val="0"/>
              <w:kinsoku/>
              <w:wordWrap/>
              <w:overflowPunct/>
              <w:topLinePunct w:val="0"/>
              <w:bidi w:val="0"/>
              <w:spacing w:line="360" w:lineRule="auto"/>
              <w:ind w:firstLine="480" w:firstLineChars="200"/>
              <w:jc w:val="both"/>
              <w:textAlignment w:val="auto"/>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根据《2024年内蒙古自治区生态环境状况公报》中鄂尔多斯市地区的环境空气质量监测数据</w:t>
            </w:r>
            <w:r>
              <w:rPr>
                <w:rFonts w:hint="eastAsia" w:cs="Times New Roman"/>
                <w:color w:val="000000" w:themeColor="text1"/>
                <w:szCs w:val="24"/>
                <w:highlight w:val="none"/>
                <w:lang w:eastAsia="zh-CN"/>
                <w14:textFill>
                  <w14:solidFill>
                    <w14:schemeClr w14:val="tx1"/>
                  </w14:solidFill>
                </w14:textFill>
              </w:rPr>
              <w:t>，项目</w:t>
            </w:r>
            <w:r>
              <w:rPr>
                <w:rFonts w:hint="default" w:ascii="Times New Roman" w:hAnsi="Times New Roman" w:eastAsia="宋体" w:cs="Times New Roman"/>
                <w:color w:val="000000" w:themeColor="text1"/>
                <w:szCs w:val="24"/>
                <w:highlight w:val="none"/>
                <w14:textFill>
                  <w14:solidFill>
                    <w14:schemeClr w14:val="tx1"/>
                  </w14:solidFill>
                </w14:textFill>
              </w:rPr>
              <w:t>所在区域为环境空气质量达标区域</w:t>
            </w:r>
            <w:r>
              <w:rPr>
                <w:rFonts w:hint="eastAsia" w:cs="Times New Roman"/>
                <w:color w:val="000000" w:themeColor="text1"/>
                <w:szCs w:val="24"/>
                <w:highlight w:val="none"/>
                <w:lang w:eastAsia="zh-CN"/>
                <w14:textFill>
                  <w14:solidFill>
                    <w14:schemeClr w14:val="tx1"/>
                  </w14:solidFill>
                </w14:textFill>
              </w:rPr>
              <w:t>，</w:t>
            </w:r>
            <w:r>
              <w:rPr>
                <w:rFonts w:hint="eastAsia" w:cs="Times New Roman"/>
                <w:color w:val="000000" w:themeColor="text1"/>
                <w:szCs w:val="24"/>
                <w:highlight w:val="none"/>
                <w:lang w:val="en-US" w:eastAsia="zh-CN"/>
                <w14:textFill>
                  <w14:solidFill>
                    <w14:schemeClr w14:val="tx1"/>
                  </w14:solidFill>
                </w14:textFill>
              </w:rPr>
              <w:t>且对照</w:t>
            </w:r>
            <w:r>
              <w:rPr>
                <w:rFonts w:hint="default" w:ascii="Times New Roman" w:hAnsi="Times New Roman" w:eastAsia="宋体" w:cs="Times New Roman"/>
                <w:color w:val="000000" w:themeColor="text1"/>
                <w:szCs w:val="24"/>
                <w:highlight w:val="none"/>
                <w14:textFill>
                  <w14:solidFill>
                    <w14:schemeClr w14:val="tx1"/>
                  </w14:solidFill>
                </w14:textFill>
              </w:rPr>
              <w:t>《环境空气质量标准》（GB3095-20</w:t>
            </w:r>
            <w:r>
              <w:rPr>
                <w:rFonts w:hint="eastAsia" w:cs="Times New Roman"/>
                <w:color w:val="000000" w:themeColor="text1"/>
                <w:szCs w:val="24"/>
                <w:highlight w:val="none"/>
                <w:lang w:val="en-US" w:eastAsia="zh-CN"/>
                <w14:textFill>
                  <w14:solidFill>
                    <w14:schemeClr w14:val="tx1"/>
                  </w14:solidFill>
                </w14:textFill>
              </w:rPr>
              <w:t>26</w:t>
            </w:r>
            <w:r>
              <w:rPr>
                <w:rFonts w:hint="default" w:ascii="Times New Roman" w:hAnsi="Times New Roman" w:eastAsia="宋体" w:cs="Times New Roman"/>
                <w:color w:val="000000" w:themeColor="text1"/>
                <w:szCs w:val="24"/>
                <w:highlight w:val="none"/>
                <w14:textFill>
                  <w14:solidFill>
                    <w14:schemeClr w14:val="tx1"/>
                  </w14:solidFill>
                </w14:textFill>
              </w:rPr>
              <w:t>）</w:t>
            </w:r>
            <w:r>
              <w:rPr>
                <w:rFonts w:hint="eastAsia" w:ascii="Times New Roman" w:hAnsi="Times New Roman" w:eastAsia="宋体" w:cs="Times New Roman"/>
                <w:color w:val="000000" w:themeColor="text1"/>
                <w:szCs w:val="24"/>
                <w:highlight w:val="none"/>
                <w:lang w:eastAsia="zh-CN"/>
                <w14:textFill>
                  <w14:solidFill>
                    <w14:schemeClr w14:val="tx1"/>
                  </w14:solidFill>
                </w14:textFill>
              </w:rPr>
              <w:t>，</w:t>
            </w:r>
            <w:r>
              <w:rPr>
                <w:rFonts w:hint="eastAsia" w:ascii="Times New Roman" w:hAnsi="Times New Roman" w:eastAsia="宋体" w:cs="Times New Roman"/>
                <w:color w:val="000000" w:themeColor="text1"/>
                <w:szCs w:val="24"/>
                <w:highlight w:val="none"/>
                <w:lang w:val="en-US" w:eastAsia="zh-CN"/>
                <w14:textFill>
                  <w14:solidFill>
                    <w14:schemeClr w14:val="tx1"/>
                  </w14:solidFill>
                </w14:textFill>
              </w:rPr>
              <w:t>2024年</w:t>
            </w:r>
            <w:r>
              <w:rPr>
                <w:rFonts w:hint="default" w:ascii="Times New Roman" w:hAnsi="Times New Roman" w:eastAsia="宋体" w:cs="Times New Roman"/>
                <w:color w:val="000000" w:themeColor="text1"/>
                <w:szCs w:val="24"/>
                <w:highlight w:val="none"/>
                <w14:textFill>
                  <w14:solidFill>
                    <w14:schemeClr w14:val="tx1"/>
                  </w14:solidFill>
                </w14:textFill>
              </w:rPr>
              <w:t>鄂尔多斯市地区的环境空气质量监测数据</w:t>
            </w:r>
            <w:r>
              <w:rPr>
                <w:rFonts w:hint="eastAsia" w:cs="Times New Roman"/>
                <w:color w:val="000000" w:themeColor="text1"/>
                <w:szCs w:val="24"/>
                <w:highlight w:val="none"/>
                <w:lang w:eastAsia="zh-CN"/>
                <w14:textFill>
                  <w14:solidFill>
                    <w14:schemeClr w14:val="tx1"/>
                  </w14:solidFill>
                </w14:textFill>
              </w:rPr>
              <w:t>项目</w:t>
            </w:r>
            <w:r>
              <w:rPr>
                <w:rFonts w:hint="default" w:ascii="Times New Roman" w:hAnsi="Times New Roman" w:eastAsia="宋体" w:cs="Times New Roman"/>
                <w:color w:val="000000" w:themeColor="text1"/>
                <w:szCs w:val="24"/>
                <w:highlight w:val="none"/>
                <w14:textFill>
                  <w14:solidFill>
                    <w14:schemeClr w14:val="tx1"/>
                  </w14:solidFill>
                </w14:textFill>
              </w:rPr>
              <w:t>所在区域为环境空气质量达标区域。另外，根据</w:t>
            </w:r>
            <w:r>
              <w:rPr>
                <w:rFonts w:hint="default" w:ascii="Times New Roman" w:hAnsi="Times New Roman" w:eastAsia="宋体" w:cs="Times New Roman"/>
                <w:color w:val="000000" w:themeColor="text1"/>
                <w:szCs w:val="24"/>
                <w:highlight w:val="none"/>
                <w:lang w:val="en-US" w:eastAsia="zh-CN"/>
                <w14:textFill>
                  <w14:solidFill>
                    <w14:schemeClr w14:val="tx1"/>
                  </w14:solidFill>
                </w14:textFill>
              </w:rPr>
              <w:t>现状监测</w:t>
            </w:r>
            <w:r>
              <w:rPr>
                <w:rFonts w:hint="default" w:ascii="Times New Roman" w:hAnsi="Times New Roman" w:eastAsia="宋体" w:cs="Times New Roman"/>
                <w:color w:val="000000" w:themeColor="text1"/>
                <w:szCs w:val="24"/>
                <w:highlight w:val="none"/>
                <w14:textFill>
                  <w14:solidFill>
                    <w14:schemeClr w14:val="tx1"/>
                  </w14:solidFill>
                </w14:textFill>
              </w:rPr>
              <w:t>数据结果，评价区域内监测点的TSP的浓度满足《环境空气质量标准》（GB3095-2012）</w:t>
            </w:r>
            <w:r>
              <w:rPr>
                <w:rFonts w:hint="eastAsia" w:ascii="Times New Roman" w:hAnsi="Times New Roman" w:eastAsia="宋体" w:cs="Times New Roman"/>
                <w:color w:val="000000" w:themeColor="text1"/>
                <w:szCs w:val="24"/>
                <w:highlight w:val="none"/>
                <w:lang w:val="en-US" w:eastAsia="zh-CN"/>
                <w14:textFill>
                  <w14:solidFill>
                    <w14:schemeClr w14:val="tx1"/>
                  </w14:solidFill>
                </w14:textFill>
              </w:rPr>
              <w:t>及其修改单的</w:t>
            </w:r>
            <w:r>
              <w:rPr>
                <w:rFonts w:hint="default" w:ascii="Times New Roman" w:hAnsi="Times New Roman" w:eastAsia="宋体" w:cs="Times New Roman"/>
                <w:color w:val="000000" w:themeColor="text1"/>
                <w:szCs w:val="24"/>
                <w:highlight w:val="none"/>
                <w14:textFill>
                  <w14:solidFill>
                    <w14:schemeClr w14:val="tx1"/>
                  </w14:solidFill>
                </w14:textFill>
              </w:rPr>
              <w:t>二类标准要求</w:t>
            </w:r>
            <w:r>
              <w:rPr>
                <w:rFonts w:hint="eastAsia" w:cs="Times New Roman"/>
                <w:color w:val="000000" w:themeColor="text1"/>
                <w:szCs w:val="24"/>
                <w:highlight w:val="none"/>
                <w:lang w:eastAsia="zh-CN"/>
                <w14:textFill>
                  <w14:solidFill>
                    <w14:schemeClr w14:val="tx1"/>
                  </w14:solidFill>
                </w14:textFill>
              </w:rPr>
              <w:t>，</w:t>
            </w:r>
            <w:r>
              <w:rPr>
                <w:rFonts w:hint="eastAsia" w:cs="Times New Roman"/>
                <w:color w:val="000000" w:themeColor="text1"/>
                <w:szCs w:val="24"/>
                <w:highlight w:val="none"/>
                <w:lang w:val="en-US" w:eastAsia="zh-CN"/>
                <w14:textFill>
                  <w14:solidFill>
                    <w14:schemeClr w14:val="tx1"/>
                  </w14:solidFill>
                </w14:textFill>
              </w:rPr>
              <w:t>同时满足</w:t>
            </w:r>
            <w:r>
              <w:rPr>
                <w:rFonts w:hint="default" w:ascii="Times New Roman" w:hAnsi="Times New Roman" w:eastAsia="宋体" w:cs="Times New Roman"/>
                <w:color w:val="000000" w:themeColor="text1"/>
                <w:szCs w:val="24"/>
                <w:highlight w:val="none"/>
                <w14:textFill>
                  <w14:solidFill>
                    <w14:schemeClr w14:val="tx1"/>
                  </w14:solidFill>
                </w14:textFill>
              </w:rPr>
              <w:t>《环境空气质量标准》（GB3095-20</w:t>
            </w:r>
            <w:r>
              <w:rPr>
                <w:rFonts w:hint="eastAsia" w:cs="Times New Roman"/>
                <w:color w:val="000000" w:themeColor="text1"/>
                <w:szCs w:val="24"/>
                <w:highlight w:val="none"/>
                <w:lang w:val="en-US" w:eastAsia="zh-CN"/>
                <w14:textFill>
                  <w14:solidFill>
                    <w14:schemeClr w14:val="tx1"/>
                  </w14:solidFill>
                </w14:textFill>
              </w:rPr>
              <w:t>26</w:t>
            </w:r>
            <w:r>
              <w:rPr>
                <w:rFonts w:hint="default" w:ascii="Times New Roman" w:hAnsi="Times New Roman" w:eastAsia="宋体" w:cs="Times New Roman"/>
                <w:color w:val="000000" w:themeColor="text1"/>
                <w:szCs w:val="24"/>
                <w:highlight w:val="none"/>
                <w14:textFill>
                  <w14:solidFill>
                    <w14:schemeClr w14:val="tx1"/>
                  </w14:solidFill>
                </w14:textFill>
              </w:rPr>
              <w:t>）</w:t>
            </w:r>
            <w:r>
              <w:rPr>
                <w:rFonts w:hint="eastAsia" w:cs="Times New Roman"/>
                <w:color w:val="000000" w:themeColor="text1"/>
                <w:szCs w:val="24"/>
                <w:highlight w:val="none"/>
                <w:lang w:val="en-US" w:eastAsia="zh-CN"/>
                <w14:textFill>
                  <w14:solidFill>
                    <w14:schemeClr w14:val="tx1"/>
                  </w14:solidFill>
                </w14:textFill>
              </w:rPr>
              <w:t>表2的</w:t>
            </w:r>
            <w:r>
              <w:rPr>
                <w:rFonts w:hint="default" w:ascii="Times New Roman" w:hAnsi="Times New Roman" w:eastAsia="宋体" w:cs="Times New Roman"/>
                <w:color w:val="000000" w:themeColor="text1"/>
                <w:szCs w:val="24"/>
                <w:highlight w:val="none"/>
                <w14:textFill>
                  <w14:solidFill>
                    <w14:schemeClr w14:val="tx1"/>
                  </w14:solidFill>
                </w14:textFill>
              </w:rPr>
              <w:t>二类标准要求</w:t>
            </w:r>
            <w:r>
              <w:rPr>
                <w:rFonts w:hint="default" w:ascii="Times New Roman" w:hAnsi="Times New Roman" w:eastAsia="宋体" w:cs="Times New Roman"/>
                <w:color w:val="000000" w:themeColor="text1"/>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Cs w:val="24"/>
                <w:highlight w:val="none"/>
                <w:lang w:eastAsia="zh-CN"/>
                <w14:textFill>
                  <w14:solidFill>
                    <w14:schemeClr w14:val="tx1"/>
                  </w14:solidFill>
                </w14:textFill>
              </w:rPr>
              <w:t>具</w:t>
            </w:r>
            <w:r>
              <w:rPr>
                <w:rFonts w:hint="default" w:ascii="Times New Roman" w:hAnsi="Times New Roman" w:eastAsia="宋体" w:cs="Times New Roman"/>
                <w:color w:val="000000" w:themeColor="text1"/>
                <w:szCs w:val="24"/>
                <w:highlight w:val="none"/>
                <w14:textFill>
                  <w14:solidFill>
                    <w14:schemeClr w14:val="tx1"/>
                  </w14:solidFill>
                </w14:textFill>
              </w:rPr>
              <w:t>有一定的环境容量；同时项目建设完成后</w:t>
            </w:r>
            <w:r>
              <w:rPr>
                <w:rFonts w:hint="eastAsia" w:ascii="Times New Roman" w:hAnsi="Times New Roman" w:eastAsia="宋体" w:cs="Times New Roman"/>
                <w:color w:val="000000" w:themeColor="text1"/>
                <w:szCs w:val="24"/>
                <w:highlight w:val="none"/>
                <w:lang w:eastAsia="zh-CN"/>
                <w14:textFill>
                  <w14:solidFill>
                    <w14:schemeClr w14:val="tx1"/>
                  </w14:solidFill>
                </w14:textFill>
              </w:rPr>
              <w:t>对</w:t>
            </w:r>
            <w:r>
              <w:rPr>
                <w:rFonts w:hint="default" w:ascii="Times New Roman" w:hAnsi="Times New Roman" w:eastAsia="宋体" w:cs="Times New Roman"/>
                <w:color w:val="000000" w:themeColor="text1"/>
                <w:szCs w:val="24"/>
                <w:highlight w:val="none"/>
                <w14:textFill>
                  <w14:solidFill>
                    <w14:schemeClr w14:val="tx1"/>
                  </w14:solidFill>
                </w14:textFill>
              </w:rPr>
              <w:t>产生的污染物采取相应的环保治理措施后，污染物均能实现达标排放，且污染物排放量小，因此，项目建设符合环境质量底线的要求。</w:t>
            </w:r>
          </w:p>
          <w:p w14:paraId="783C6F7E">
            <w:pPr>
              <w:pStyle w:val="103"/>
              <w:keepNext w:val="0"/>
              <w:keepLines w:val="0"/>
              <w:pageBreakBefore w:val="0"/>
              <w:widowControl w:val="0"/>
              <w:kinsoku/>
              <w:wordWrap/>
              <w:overflowPunct/>
              <w:topLinePunct w:val="0"/>
              <w:bidi w:val="0"/>
              <w:spacing w:line="360" w:lineRule="auto"/>
              <w:ind w:firstLine="480" w:firstLineChars="200"/>
              <w:jc w:val="both"/>
              <w:textAlignment w:val="auto"/>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（3）资源利用上线</w:t>
            </w:r>
          </w:p>
          <w:p w14:paraId="32F3FED9">
            <w:pPr>
              <w:pStyle w:val="103"/>
              <w:keepNext w:val="0"/>
              <w:keepLines w:val="0"/>
              <w:pageBreakBefore w:val="0"/>
              <w:widowControl w:val="0"/>
              <w:kinsoku/>
              <w:wordWrap/>
              <w:overflowPunct/>
              <w:topLinePunct w:val="0"/>
              <w:bidi w:val="0"/>
              <w:spacing w:line="360" w:lineRule="auto"/>
              <w:ind w:firstLine="480" w:firstLineChars="200"/>
              <w:jc w:val="both"/>
              <w:textAlignment w:val="auto"/>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本项目</w:t>
            </w:r>
            <w:r>
              <w:rPr>
                <w:rFonts w:hint="eastAsia" w:cs="Times New Roman"/>
                <w:color w:val="000000" w:themeColor="text1"/>
                <w:szCs w:val="24"/>
                <w:highlight w:val="none"/>
                <w:lang w:val="en-US" w:eastAsia="zh-CN"/>
                <w14:textFill>
                  <w14:solidFill>
                    <w14:schemeClr w14:val="tx1"/>
                  </w14:solidFill>
                </w14:textFill>
              </w:rPr>
              <w:t>位于</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内蒙古鄂尔多斯</w:t>
            </w:r>
            <w:r>
              <w:rPr>
                <w:rFonts w:hint="eastAsia" w:cs="Times New Roman"/>
                <w:color w:val="000000" w:themeColor="text1"/>
                <w:sz w:val="24"/>
                <w:highlight w:val="none"/>
                <w:lang w:val="en-US" w:eastAsia="zh-CN"/>
                <w14:textFill>
                  <w14:solidFill>
                    <w14:schemeClr w14:val="tx1"/>
                  </w14:solidFill>
                </w14:textFill>
              </w:rPr>
              <w:t>市</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准格尔经济开发区准格尔产业园</w:t>
            </w:r>
            <w:r>
              <w:rPr>
                <w:rFonts w:hint="eastAsia" w:cs="Times New Roman"/>
                <w:color w:val="000000" w:themeColor="text1"/>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Cs w:val="24"/>
                <w:highlight w:val="none"/>
                <w14:textFill>
                  <w14:solidFill>
                    <w14:schemeClr w14:val="tx1"/>
                  </w14:solidFill>
                </w14:textFill>
              </w:rPr>
              <w:t>生产用水由</w:t>
            </w:r>
            <w:r>
              <w:rPr>
                <w:rFonts w:hint="default" w:ascii="Times New Roman" w:hAnsi="Times New Roman" w:eastAsia="宋体" w:cs="Times New Roman"/>
                <w:color w:val="000000" w:themeColor="text1"/>
                <w:szCs w:val="24"/>
                <w:highlight w:val="none"/>
                <w:lang w:val="en-US" w:eastAsia="zh-CN"/>
                <w14:textFill>
                  <w14:solidFill>
                    <w14:schemeClr w14:val="tx1"/>
                  </w14:solidFill>
                </w14:textFill>
              </w:rPr>
              <w:t>准格尔旗国资燃气热力有限责任公司污水处理厂供给</w:t>
            </w:r>
            <w:r>
              <w:rPr>
                <w:rFonts w:hint="eastAsia" w:cs="Times New Roman"/>
                <w:color w:val="000000" w:themeColor="text1"/>
                <w:szCs w:val="24"/>
                <w:highlight w:val="none"/>
                <w:lang w:val="en-US" w:eastAsia="zh-CN"/>
                <w14:textFill>
                  <w14:solidFill>
                    <w14:schemeClr w14:val="tx1"/>
                  </w14:solidFill>
                </w14:textFill>
              </w:rPr>
              <w:t>中水</w:t>
            </w:r>
            <w:r>
              <w:rPr>
                <w:rFonts w:hint="default" w:ascii="Times New Roman" w:hAnsi="Times New Roman" w:eastAsia="宋体" w:cs="Times New Roman"/>
                <w:color w:val="000000" w:themeColor="text1"/>
                <w:szCs w:val="24"/>
                <w:highlight w:val="none"/>
                <w14:textFill>
                  <w14:solidFill>
                    <w14:schemeClr w14:val="tx1"/>
                  </w14:solidFill>
                </w14:textFill>
              </w:rPr>
              <w:t>，项目区</w:t>
            </w:r>
            <w:r>
              <w:rPr>
                <w:rFonts w:hint="default" w:ascii="Times New Roman" w:hAnsi="Times New Roman" w:eastAsia="宋体" w:cs="Times New Roman"/>
                <w:color w:val="000000" w:themeColor="text1"/>
                <w:szCs w:val="24"/>
                <w:highlight w:val="none"/>
                <w:lang w:eastAsia="zh-CN"/>
                <w14:textFill>
                  <w14:solidFill>
                    <w14:schemeClr w14:val="tx1"/>
                  </w14:solidFill>
                </w14:textFill>
              </w:rPr>
              <w:t>供水</w:t>
            </w:r>
            <w:r>
              <w:rPr>
                <w:rFonts w:hint="default" w:ascii="Times New Roman" w:hAnsi="Times New Roman" w:eastAsia="宋体" w:cs="Times New Roman"/>
                <w:color w:val="000000" w:themeColor="text1"/>
                <w:sz w:val="24"/>
                <w:highlight w:val="none"/>
                <w14:textFill>
                  <w14:solidFill>
                    <w14:schemeClr w14:val="tx1"/>
                  </w14:solidFill>
                </w14:textFill>
              </w:rPr>
              <w:t>能力、供水水质、供水压力均能满足项目需要。</w:t>
            </w:r>
            <w:r>
              <w:rPr>
                <w:rFonts w:hint="eastAsia" w:cs="Times New Roman"/>
                <w:color w:val="000000" w:themeColor="text1"/>
                <w:sz w:val="24"/>
                <w:highlight w:val="none"/>
                <w:lang w:val="en-US" w:eastAsia="zh-CN"/>
                <w14:textFill>
                  <w14:solidFill>
                    <w14:schemeClr w14:val="tx1"/>
                  </w14:solidFill>
                </w14:textFill>
              </w:rPr>
              <w:t>项目原料来自0.2km范围内的临近项目厂区内，减少了运输消耗；项目燃料为园区内项目附近的内蒙古伊东东方能源公司；</w:t>
            </w:r>
            <w:r>
              <w:rPr>
                <w:rFonts w:hint="default" w:ascii="Times New Roman" w:hAnsi="Times New Roman" w:eastAsia="宋体" w:cs="Times New Roman"/>
                <w:color w:val="000000" w:themeColor="text1"/>
                <w:sz w:val="24"/>
                <w:highlight w:val="none"/>
                <w14:textFill>
                  <w14:solidFill>
                    <w14:schemeClr w14:val="tx1"/>
                  </w14:solidFill>
                </w14:textFill>
              </w:rPr>
              <w:t>本项目位于</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内蒙古鄂尔多斯</w:t>
            </w:r>
            <w:r>
              <w:rPr>
                <w:rFonts w:hint="eastAsia" w:cs="Times New Roman"/>
                <w:color w:val="000000" w:themeColor="text1"/>
                <w:sz w:val="24"/>
                <w:highlight w:val="none"/>
                <w:lang w:val="en-US" w:eastAsia="zh-CN"/>
                <w14:textFill>
                  <w14:solidFill>
                    <w14:schemeClr w14:val="tx1"/>
                  </w14:solidFill>
                </w14:textFill>
              </w:rPr>
              <w:t>市</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准格尔经济开发区准格尔产业园，</w:t>
            </w:r>
            <w:r>
              <w:rPr>
                <w:rFonts w:hint="default" w:ascii="Times New Roman" w:hAnsi="Times New Roman" w:eastAsia="宋体" w:cs="Times New Roman"/>
                <w:color w:val="000000" w:themeColor="text1"/>
                <w:sz w:val="24"/>
                <w:highlight w:val="none"/>
                <w14:textFill>
                  <w14:solidFill>
                    <w14:schemeClr w14:val="tx1"/>
                  </w14:solidFill>
                </w14:textFill>
              </w:rPr>
              <w:t>土地性质为工业用地，土地资源消耗符合要求。因此整体符合资源利用上线要求。</w:t>
            </w:r>
          </w:p>
          <w:p w14:paraId="75EB201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4</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生态环境准入清单</w:t>
            </w:r>
          </w:p>
          <w:p w14:paraId="68AAAF4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生态环境准入清单指基于环境管控单元，统筹考虑生态保护红线、环境质量底线、资源利用上线的管控要求，提出的空间布局、污染物排放、环境风险、资源开发利用等方面禁止和</w:t>
            </w:r>
            <w:r>
              <w:rPr>
                <w:rFonts w:hint="eastAsia" w:cs="Times New Roman"/>
                <w:color w:val="000000" w:themeColor="text1"/>
                <w:sz w:val="24"/>
                <w:highlight w:val="none"/>
                <w:lang w:eastAsia="zh-CN"/>
                <w14:textFill>
                  <w14:solidFill>
                    <w14:schemeClr w14:val="tx1"/>
                  </w14:solidFill>
                </w14:textFill>
              </w:rPr>
              <w:t>限值</w:t>
            </w:r>
            <w:r>
              <w:rPr>
                <w:rFonts w:hint="default" w:ascii="Times New Roman" w:hAnsi="Times New Roman" w:eastAsia="宋体" w:cs="Times New Roman"/>
                <w:color w:val="000000" w:themeColor="text1"/>
                <w:sz w:val="24"/>
                <w:highlight w:val="none"/>
                <w14:textFill>
                  <w14:solidFill>
                    <w14:schemeClr w14:val="tx1"/>
                  </w14:solidFill>
                </w14:textFill>
              </w:rPr>
              <w:t>的环境准入要求。</w:t>
            </w:r>
          </w:p>
          <w:p w14:paraId="58F6582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根据</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鄂尔多斯市生态环境分区管控动态更新成果（2023年版）</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基于生态保护红线、环境质量底线、资源利用上线，充分吸纳整合已有相关规划、功能区划、行动计划等要求，从空间布局约束、污染物排放管控、环境风险防控和资源利用效率等方面明确生态环境准入要求，建立两级生态环境准入清单管控体系（即1个鄂尔多斯市总体准入清单、171个环境管控单元准入清单）。根据《鄂尔多斯市生态环境准入清单》内容，</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内蒙古鄂尔多斯</w:t>
            </w:r>
            <w:r>
              <w:rPr>
                <w:rFonts w:hint="eastAsia" w:cs="Times New Roman"/>
                <w:color w:val="000000" w:themeColor="text1"/>
                <w:sz w:val="24"/>
                <w:highlight w:val="none"/>
                <w:lang w:val="en-US" w:eastAsia="zh-CN"/>
                <w14:textFill>
                  <w14:solidFill>
                    <w14:schemeClr w14:val="tx1"/>
                  </w14:solidFill>
                </w14:textFill>
              </w:rPr>
              <w:t>市</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准格尔经济开发区准格尔产业园</w:t>
            </w:r>
            <w:r>
              <w:rPr>
                <w:rFonts w:hint="default" w:ascii="Times New Roman" w:hAnsi="Times New Roman" w:eastAsia="宋体" w:cs="Times New Roman"/>
                <w:color w:val="000000" w:themeColor="text1"/>
                <w:sz w:val="24"/>
                <w:highlight w:val="none"/>
                <w14:textFill>
                  <w14:solidFill>
                    <w14:schemeClr w14:val="tx1"/>
                  </w14:solidFill>
                </w14:textFill>
              </w:rPr>
              <w:t>属于重点管控单元，环境管控单元编码为</w:t>
            </w:r>
            <w:bookmarkStart w:id="1" w:name="_Hlk171068381"/>
            <w:r>
              <w:rPr>
                <w:rFonts w:hint="default" w:ascii="Times New Roman" w:hAnsi="Times New Roman" w:eastAsia="宋体" w:cs="Times New Roman"/>
                <w:color w:val="000000" w:themeColor="text1"/>
                <w:sz w:val="24"/>
                <w:highlight w:val="none"/>
                <w14:textFill>
                  <w14:solidFill>
                    <w14:schemeClr w14:val="tx1"/>
                  </w14:solidFill>
                </w14:textFill>
              </w:rPr>
              <w:t>ZH15062</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sz w:val="24"/>
                <w:highlight w:val="none"/>
                <w14:textFill>
                  <w14:solidFill>
                    <w14:schemeClr w14:val="tx1"/>
                  </w14:solidFill>
                </w14:textFill>
              </w:rPr>
              <w:t>2000</w:t>
            </w:r>
            <w:bookmarkEnd w:id="1"/>
            <w:r>
              <w:rPr>
                <w:rFonts w:hint="eastAsia" w:cs="Times New Roman"/>
                <w:color w:val="000000" w:themeColor="text1"/>
                <w:sz w:val="24"/>
                <w:highlight w:val="none"/>
                <w:lang w:val="en-US" w:eastAsia="zh-CN"/>
                <w14:textFill>
                  <w14:solidFill>
                    <w14:schemeClr w14:val="tx1"/>
                  </w14:solidFill>
                </w14:textFill>
              </w:rPr>
              <w:t>3</w:t>
            </w:r>
            <w:r>
              <w:rPr>
                <w:rFonts w:hint="default" w:ascii="Times New Roman" w:hAnsi="Times New Roman" w:eastAsia="宋体" w:cs="Times New Roman"/>
                <w:color w:val="000000" w:themeColor="text1"/>
                <w:sz w:val="24"/>
                <w:highlight w:val="none"/>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内蒙古准格尔经济开发区</w:t>
            </w:r>
            <w:r>
              <w:rPr>
                <w:rFonts w:hint="default" w:ascii="Times New Roman" w:hAnsi="Times New Roman" w:eastAsia="宋体" w:cs="Times New Roman"/>
                <w:color w:val="000000" w:themeColor="text1"/>
                <w:sz w:val="24"/>
                <w:highlight w:val="none"/>
                <w14:textFill>
                  <w14:solidFill>
                    <w14:schemeClr w14:val="tx1"/>
                  </w14:solidFill>
                </w14:textFill>
              </w:rPr>
              <w:t>）。本项目与鄂尔多斯市生态环境准入清单要求对比。</w:t>
            </w:r>
          </w:p>
          <w:p w14:paraId="14E66264">
            <w:pPr>
              <w:pStyle w:val="103"/>
              <w:spacing w:line="360" w:lineRule="auto"/>
              <w:jc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mc:AlternateContent>
                <mc:Choice Requires="wps">
                  <w:drawing>
                    <wp:anchor distT="0" distB="0" distL="114300" distR="114300" simplePos="0" relativeHeight="251680768" behindDoc="0" locked="0" layoutInCell="1" allowOverlap="1">
                      <wp:simplePos x="0" y="0"/>
                      <wp:positionH relativeFrom="column">
                        <wp:posOffset>3069590</wp:posOffset>
                      </wp:positionH>
                      <wp:positionV relativeFrom="paragraph">
                        <wp:posOffset>623570</wp:posOffset>
                      </wp:positionV>
                      <wp:extent cx="869315" cy="273050"/>
                      <wp:effectExtent l="4445" t="4445" r="21590" b="770255"/>
                      <wp:wrapNone/>
                      <wp:docPr id="23" name="自选图形 183"/>
                      <wp:cNvGraphicFramePr/>
                      <a:graphic xmlns:a="http://schemas.openxmlformats.org/drawingml/2006/main">
                        <a:graphicData uri="http://schemas.microsoft.com/office/word/2010/wordprocessingShape">
                          <wps:wsp>
                            <wps:cNvSpPr/>
                            <wps:spPr>
                              <a:xfrm>
                                <a:off x="0" y="0"/>
                                <a:ext cx="869315" cy="273050"/>
                              </a:xfrm>
                              <a:prstGeom prst="wedgeRectCallout">
                                <a:avLst>
                                  <a:gd name="adj1" fmla="val -10630"/>
                                  <a:gd name="adj2" fmla="val 317676"/>
                                </a:avLst>
                              </a:prstGeom>
                              <a:solidFill>
                                <a:srgbClr val="FFFFFF"/>
                              </a:solidFill>
                              <a:ln w="9525" cap="flat" cmpd="sng">
                                <a:solidFill>
                                  <a:srgbClr val="000000"/>
                                </a:solidFill>
                                <a:prstDash val="solid"/>
                                <a:miter/>
                                <a:headEnd type="none" w="med" len="med"/>
                                <a:tailEnd type="none" w="med" len="med"/>
                              </a:ln>
                            </wps:spPr>
                            <wps:txbx>
                              <w:txbxContent>
                                <w:p w14:paraId="000F7B6E">
                                  <w:pPr>
                                    <w:rPr>
                                      <w:rFonts w:hint="default" w:eastAsia="宋体"/>
                                      <w:lang w:val="en-US" w:eastAsia="zh-CN"/>
                                    </w:rPr>
                                  </w:pPr>
                                  <w:r>
                                    <w:rPr>
                                      <w:rFonts w:hint="eastAsia"/>
                                      <w:lang w:val="en-US" w:eastAsia="zh-CN"/>
                                    </w:rPr>
                                    <w:t>项目位置</w:t>
                                  </w:r>
                                </w:p>
                              </w:txbxContent>
                            </wps:txbx>
                            <wps:bodyPr upright="1"/>
                          </wps:wsp>
                        </a:graphicData>
                      </a:graphic>
                    </wp:anchor>
                  </w:drawing>
                </mc:Choice>
                <mc:Fallback>
                  <w:pict>
                    <v:shape id="自选图形 183" o:spid="_x0000_s1026" o:spt="61" type="#_x0000_t61" style="position:absolute;left:0pt;margin-left:241.7pt;margin-top:49.1pt;height:21.5pt;width:68.45pt;z-index:251680768;mso-width-relative:page;mso-height-relative:page;" fillcolor="#FFFFFF" filled="t" stroked="t" coordsize="21600,21600" o:gfxdata="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F+D8ILZAAAACgEAAA8AAAAAAAAAAQAgAAAAIgAAAGRy&#10;cy9kb3ducmV2LnhtbFBLAQIUABQAAAAIAIdO4kBep1thPQIAAJAEAAAOAAAAAAAAAAEAIAAAACgB&#10;AABkcnMvZTJvRG9jLnhtbFBLBQYAAAAABgAGAFkBAADXBQAAAAA=&#10;" adj="8504,79418">
                      <v:fill on="t" focussize="0,0"/>
                      <v:stroke color="#000000" joinstyle="miter"/>
                      <v:imagedata o:title=""/>
                      <o:lock v:ext="edit" aspectratio="f"/>
                      <v:textbox>
                        <w:txbxContent>
                          <w:p w14:paraId="000F7B6E">
                            <w:pPr>
                              <w:rPr>
                                <w:rFonts w:hint="default" w:eastAsia="宋体"/>
                                <w:lang w:val="en-US" w:eastAsia="zh-CN"/>
                              </w:rPr>
                            </w:pPr>
                            <w:r>
                              <w:rPr>
                                <w:rFonts w:hint="eastAsia"/>
                                <w:lang w:val="en-US" w:eastAsia="zh-CN"/>
                              </w:rPr>
                              <w:t>项目位置</w:t>
                            </w:r>
                          </w:p>
                        </w:txbxContent>
                      </v:textbox>
                    </v:shape>
                  </w:pict>
                </mc:Fallback>
              </mc:AlternateContent>
            </w:r>
            <w:r>
              <w:rPr>
                <w:rFonts w:hint="default" w:ascii="Times New Roman" w:hAnsi="Times New Roman" w:eastAsia="宋体" w:cs="Times New Roman"/>
                <w:color w:val="000000" w:themeColor="text1"/>
                <w:highlight w:val="none"/>
                <w14:textFill>
                  <w14:solidFill>
                    <w14:schemeClr w14:val="tx1"/>
                  </w14:solidFill>
                </w14:textFill>
              </w:rPr>
              <w:drawing>
                <wp:inline distT="0" distB="0" distL="114300" distR="114300">
                  <wp:extent cx="4896485" cy="3459480"/>
                  <wp:effectExtent l="0" t="0" r="18415" b="7620"/>
                  <wp:docPr id="4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2"/>
                          <pic:cNvPicPr>
                            <a:picLocks noChangeAspect="1"/>
                          </pic:cNvPicPr>
                        </pic:nvPicPr>
                        <pic:blipFill>
                          <a:blip r:embed="rId13"/>
                          <a:stretch>
                            <a:fillRect/>
                          </a:stretch>
                        </pic:blipFill>
                        <pic:spPr>
                          <a:xfrm>
                            <a:off x="0" y="0"/>
                            <a:ext cx="4896485" cy="3459480"/>
                          </a:xfrm>
                          <a:prstGeom prst="rect">
                            <a:avLst/>
                          </a:prstGeom>
                          <a:noFill/>
                          <a:ln>
                            <a:noFill/>
                          </a:ln>
                        </pic:spPr>
                      </pic:pic>
                    </a:graphicData>
                  </a:graphic>
                </wp:inline>
              </w:drawing>
            </w:r>
          </w:p>
          <w:p w14:paraId="795FC173">
            <w:pPr>
              <w:pStyle w:val="7"/>
              <w:numPr>
                <w:ilvl w:val="0"/>
                <w:numId w:val="0"/>
              </w:numPr>
              <w:bidi w:val="0"/>
              <w:ind w:left="0" w:leftChars="0" w:firstLine="0" w:firstLineChars="0"/>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b/>
                <w:color w:val="000000" w:themeColor="text1"/>
                <w:kern w:val="0"/>
                <w:sz w:val="21"/>
                <w:szCs w:val="20"/>
                <w:highlight w:val="none"/>
                <w:lang w:val="en-US" w:eastAsia="zh-CN" w:bidi="ar-SA"/>
                <w14:textFill>
                  <w14:solidFill>
                    <w14:schemeClr w14:val="tx1"/>
                  </w14:solidFill>
                </w14:textFill>
              </w:rPr>
              <w:t>图1-1</w:t>
            </w:r>
            <w:r>
              <w:rPr>
                <w:rFonts w:hint="default" w:ascii="Times New Roman" w:hAnsi="Times New Roman" w:eastAsia="宋体" w:cs="Times New Roman"/>
                <w:color w:val="000000" w:themeColor="text1"/>
                <w:highlight w:val="none"/>
                <w14:textFill>
                  <w14:solidFill>
                    <w14:schemeClr w14:val="tx1"/>
                  </w14:solidFill>
                </w14:textFill>
              </w:rPr>
              <w:t>项目</w:t>
            </w:r>
            <w:r>
              <w:rPr>
                <w:rFonts w:hint="default" w:ascii="Times New Roman" w:hAnsi="Times New Roman" w:eastAsia="宋体" w:cs="Times New Roman"/>
                <w:color w:val="000000" w:themeColor="text1"/>
                <w:highlight w:val="none"/>
                <w:lang w:val="en-US" w:eastAsia="zh-CN"/>
                <w14:textFill>
                  <w14:solidFill>
                    <w14:schemeClr w14:val="tx1"/>
                  </w14:solidFill>
                </w14:textFill>
              </w:rPr>
              <w:t>属于</w:t>
            </w:r>
            <w:r>
              <w:rPr>
                <w:rFonts w:hint="default" w:ascii="Times New Roman" w:hAnsi="Times New Roman" w:eastAsia="宋体" w:cs="Times New Roman"/>
                <w:color w:val="000000" w:themeColor="text1"/>
                <w:highlight w:val="none"/>
                <w14:textFill>
                  <w14:solidFill>
                    <w14:schemeClr w14:val="tx1"/>
                  </w14:solidFill>
                </w14:textFill>
              </w:rPr>
              <w:t>鄂尔多斯市环境管控单元图位置关系</w:t>
            </w:r>
          </w:p>
          <w:p w14:paraId="1368B308">
            <w:pPr>
              <w:pStyle w:val="7"/>
              <w:numPr>
                <w:ilvl w:val="0"/>
                <w:numId w:val="0"/>
              </w:numPr>
              <w:bidi w:val="0"/>
              <w:ind w:left="0" w:leftChars="0" w:firstLine="0" w:firstLineChars="0"/>
              <w:rPr>
                <w:rFonts w:hint="default" w:ascii="Times New Roman" w:hAnsi="Times New Roman" w:eastAsia="宋体" w:cs="Times New Roman"/>
                <w:b/>
                <w:color w:val="000000" w:themeColor="text1"/>
                <w:kern w:val="0"/>
                <w:sz w:val="21"/>
                <w:szCs w:val="20"/>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mc:AlternateContent>
                <mc:Choice Requires="wps">
                  <w:drawing>
                    <wp:anchor distT="0" distB="0" distL="114300" distR="114300" simplePos="0" relativeHeight="251662336" behindDoc="0" locked="0" layoutInCell="1" allowOverlap="1">
                      <wp:simplePos x="0" y="0"/>
                      <wp:positionH relativeFrom="column">
                        <wp:posOffset>2660650</wp:posOffset>
                      </wp:positionH>
                      <wp:positionV relativeFrom="paragraph">
                        <wp:posOffset>709295</wp:posOffset>
                      </wp:positionV>
                      <wp:extent cx="869315" cy="273050"/>
                      <wp:effectExtent l="277495" t="4445" r="15240" b="484505"/>
                      <wp:wrapNone/>
                      <wp:docPr id="4" name="自选图形 144"/>
                      <wp:cNvGraphicFramePr/>
                      <a:graphic xmlns:a="http://schemas.openxmlformats.org/drawingml/2006/main">
                        <a:graphicData uri="http://schemas.microsoft.com/office/word/2010/wordprocessingShape">
                          <wps:wsp>
                            <wps:cNvSpPr/>
                            <wps:spPr>
                              <a:xfrm>
                                <a:off x="0" y="0"/>
                                <a:ext cx="869315" cy="273050"/>
                              </a:xfrm>
                              <a:prstGeom prst="wedgeRectCallout">
                                <a:avLst>
                                  <a:gd name="adj1" fmla="val -78630"/>
                                  <a:gd name="adj2" fmla="val 215116"/>
                                </a:avLst>
                              </a:prstGeom>
                              <a:solidFill>
                                <a:srgbClr val="FFFFFF"/>
                              </a:solidFill>
                              <a:ln w="9525" cap="flat" cmpd="sng">
                                <a:solidFill>
                                  <a:srgbClr val="000000"/>
                                </a:solidFill>
                                <a:prstDash val="solid"/>
                                <a:miter/>
                                <a:headEnd type="none" w="med" len="med"/>
                                <a:tailEnd type="none" w="med" len="med"/>
                              </a:ln>
                            </wps:spPr>
                            <wps:txbx>
                              <w:txbxContent>
                                <w:p w14:paraId="4527F2E1">
                                  <w:pPr>
                                    <w:rPr>
                                      <w:rFonts w:hint="default" w:eastAsia="宋体"/>
                                      <w:lang w:val="en-US" w:eastAsia="zh-CN"/>
                                    </w:rPr>
                                  </w:pPr>
                                  <w:r>
                                    <w:rPr>
                                      <w:rFonts w:hint="eastAsia"/>
                                      <w:lang w:val="en-US" w:eastAsia="zh-CN"/>
                                    </w:rPr>
                                    <w:t>项目位置</w:t>
                                  </w:r>
                                </w:p>
                              </w:txbxContent>
                            </wps:txbx>
                            <wps:bodyPr upright="1"/>
                          </wps:wsp>
                        </a:graphicData>
                      </a:graphic>
                    </wp:anchor>
                  </w:drawing>
                </mc:Choice>
                <mc:Fallback>
                  <w:pict>
                    <v:shape id="自选图形 144" o:spid="_x0000_s1026" o:spt="61" type="#_x0000_t61" style="position:absolute;left:0pt;margin-left:209.5pt;margin-top:55.85pt;height:21.5pt;width:68.45pt;z-index:251662336;mso-width-relative:page;mso-height-relative:page;" fillcolor="#FFFFFF" filled="t" stroked="t" coordsize="21600,21600" o:gfxdata="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6fE2K9sAAAALAQAADwAAAAAAAAABACAAAAAiAAAA&#10;ZHJzL2Rvd25yZXYueG1sUEsBAhQAFAAAAAgAh07iQFmeVjQ9AgAAjwQAAA4AAAAAAAAAAQAgAAAA&#10;KgEAAGRycy9lMm9Eb2MueG1sUEsFBgAAAAAGAAYAWQEAANkFAAAAAA==&#10;" adj="-6184,57265">
                      <v:fill on="t" focussize="0,0"/>
                      <v:stroke color="#000000" joinstyle="miter"/>
                      <v:imagedata o:title=""/>
                      <o:lock v:ext="edit" aspectratio="f"/>
                      <v:textbox>
                        <w:txbxContent>
                          <w:p w14:paraId="4527F2E1">
                            <w:pPr>
                              <w:rPr>
                                <w:rFonts w:hint="default" w:eastAsia="宋体"/>
                                <w:lang w:val="en-US" w:eastAsia="zh-CN"/>
                              </w:rPr>
                            </w:pPr>
                            <w:r>
                              <w:rPr>
                                <w:rFonts w:hint="eastAsia"/>
                                <w:lang w:val="en-US" w:eastAsia="zh-CN"/>
                              </w:rPr>
                              <w:t>项目位置</w:t>
                            </w:r>
                          </w:p>
                        </w:txbxContent>
                      </v:textbox>
                    </v:shape>
                  </w:pict>
                </mc:Fallback>
              </mc:AlternateContent>
            </w:r>
            <w:r>
              <w:rPr>
                <w:rFonts w:hint="default" w:ascii="Times New Roman" w:hAnsi="Times New Roman" w:eastAsia="宋体" w:cs="Times New Roman"/>
                <w:b/>
                <w:color w:val="000000" w:themeColor="text1"/>
                <w:kern w:val="0"/>
                <w:sz w:val="21"/>
                <w:szCs w:val="20"/>
                <w:highlight w:val="none"/>
                <w:lang w:val="en-US" w:eastAsia="zh-CN" w:bidi="ar-SA"/>
                <w14:textFill>
                  <w14:solidFill>
                    <w14:schemeClr w14:val="tx1"/>
                  </w14:solidFill>
                </w14:textFill>
              </w:rPr>
              <w:drawing>
                <wp:inline distT="0" distB="0" distL="114300" distR="114300">
                  <wp:extent cx="5033645" cy="2941955"/>
                  <wp:effectExtent l="0" t="0" r="14605" b="10795"/>
                  <wp:docPr id="41" name="图片 3" descr="管控单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3" descr="管控单元"/>
                          <pic:cNvPicPr>
                            <a:picLocks noChangeAspect="1"/>
                          </pic:cNvPicPr>
                        </pic:nvPicPr>
                        <pic:blipFill>
                          <a:blip r:embed="rId14"/>
                          <a:stretch>
                            <a:fillRect/>
                          </a:stretch>
                        </pic:blipFill>
                        <pic:spPr>
                          <a:xfrm>
                            <a:off x="0" y="0"/>
                            <a:ext cx="5033645" cy="2941955"/>
                          </a:xfrm>
                          <a:prstGeom prst="rect">
                            <a:avLst/>
                          </a:prstGeom>
                          <a:noFill/>
                          <a:ln>
                            <a:noFill/>
                          </a:ln>
                        </pic:spPr>
                      </pic:pic>
                    </a:graphicData>
                  </a:graphic>
                </wp:inline>
              </w:drawing>
            </w:r>
          </w:p>
          <w:p w14:paraId="1D1318E4">
            <w:pPr>
              <w:pStyle w:val="7"/>
              <w:numPr>
                <w:ilvl w:val="0"/>
                <w:numId w:val="0"/>
              </w:numPr>
              <w:bidi w:val="0"/>
              <w:ind w:left="0" w:leftChars="0" w:firstLine="0" w:firstLineChars="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color w:val="000000" w:themeColor="text1"/>
                <w:kern w:val="0"/>
                <w:sz w:val="21"/>
                <w:szCs w:val="20"/>
                <w:highlight w:val="none"/>
                <w:lang w:val="en-US" w:eastAsia="zh-CN" w:bidi="ar-SA"/>
                <w14:textFill>
                  <w14:solidFill>
                    <w14:schemeClr w14:val="tx1"/>
                  </w14:solidFill>
                </w14:textFill>
              </w:rPr>
              <w:t>图1-2</w:t>
            </w:r>
            <w:r>
              <w:rPr>
                <w:rFonts w:hint="default" w:ascii="Times New Roman" w:hAnsi="Times New Roman" w:eastAsia="宋体" w:cs="Times New Roman"/>
                <w:color w:val="000000" w:themeColor="text1"/>
                <w:highlight w:val="none"/>
                <w:lang w:val="en-US" w:eastAsia="zh-CN"/>
                <w14:textFill>
                  <w14:solidFill>
                    <w14:schemeClr w14:val="tx1"/>
                  </w14:solidFill>
                </w14:textFill>
              </w:rPr>
              <w:t>本项目环境管控单元位置查询结果</w:t>
            </w:r>
          </w:p>
          <w:p w14:paraId="4496D1B2">
            <w:pPr>
              <w:pStyle w:val="6"/>
              <w:numPr>
                <w:ilvl w:val="0"/>
                <w:numId w:val="0"/>
              </w:numPr>
              <w:bidi w:val="0"/>
              <w:ind w:left="0" w:leftChars="0" w:firstLine="402" w:firstLineChars="0"/>
              <w:rPr>
                <w:rFonts w:hint="default" w:ascii="Times New Roman" w:hAnsi="Times New Roman" w:eastAsia="宋体" w:cs="Times New Roman"/>
                <w:b/>
                <w:color w:val="000000" w:themeColor="text1"/>
                <w:kern w:val="0"/>
                <w:sz w:val="21"/>
                <w:szCs w:val="20"/>
                <w:highlight w:val="none"/>
                <w:lang w:val="en-US" w:eastAsia="zh-CN" w:bidi="ar-SA"/>
                <w14:textFill>
                  <w14:solidFill>
                    <w14:schemeClr w14:val="tx1"/>
                  </w14:solidFill>
                </w14:textFill>
              </w:rPr>
            </w:pPr>
          </w:p>
          <w:p w14:paraId="598BE897">
            <w:pPr>
              <w:pStyle w:val="6"/>
              <w:numPr>
                <w:ilvl w:val="0"/>
                <w:numId w:val="0"/>
              </w:numPr>
              <w:bidi w:val="0"/>
              <w:jc w:val="both"/>
              <w:rPr>
                <w:rFonts w:hint="default" w:ascii="Times New Roman" w:hAnsi="Times New Roman" w:eastAsia="宋体" w:cs="Times New Roman"/>
                <w:b/>
                <w:color w:val="000000" w:themeColor="text1"/>
                <w:kern w:val="0"/>
                <w:sz w:val="21"/>
                <w:szCs w:val="20"/>
                <w:highlight w:val="none"/>
                <w:lang w:val="en-US" w:eastAsia="zh-CN" w:bidi="ar-SA"/>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drawing>
                <wp:inline distT="0" distB="0" distL="114300" distR="114300">
                  <wp:extent cx="4977765" cy="3502025"/>
                  <wp:effectExtent l="0" t="0" r="13335" b="3175"/>
                  <wp:docPr id="4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
                          <pic:cNvPicPr>
                            <a:picLocks noChangeAspect="1"/>
                          </pic:cNvPicPr>
                        </pic:nvPicPr>
                        <pic:blipFill>
                          <a:blip r:embed="rId15"/>
                          <a:stretch>
                            <a:fillRect/>
                          </a:stretch>
                        </pic:blipFill>
                        <pic:spPr>
                          <a:xfrm>
                            <a:off x="0" y="0"/>
                            <a:ext cx="4977765" cy="3502025"/>
                          </a:xfrm>
                          <a:prstGeom prst="rect">
                            <a:avLst/>
                          </a:prstGeom>
                          <a:noFill/>
                          <a:ln>
                            <a:noFill/>
                          </a:ln>
                        </pic:spPr>
                      </pic:pic>
                    </a:graphicData>
                  </a:graphic>
                </wp:inline>
              </w:drawing>
            </w:r>
          </w:p>
          <w:p w14:paraId="0EEC7045">
            <w:pPr>
              <w:keepNext w:val="0"/>
              <w:keepLines w:val="0"/>
              <w:widowControl/>
              <w:suppressLineNumbers w:val="0"/>
              <w:jc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eastAsia="宋体" w:cs="Times New Roman"/>
                <w:b/>
                <w:bCs/>
                <w:color w:val="000000" w:themeColor="text1"/>
                <w:kern w:val="0"/>
                <w:sz w:val="24"/>
                <w:szCs w:val="24"/>
                <w:highlight w:val="none"/>
                <w:lang w:val="en-US" w:eastAsia="zh-CN" w:bidi="ar"/>
                <w14:textFill>
                  <w14:solidFill>
                    <w14:schemeClr w14:val="tx1"/>
                  </w14:solidFill>
                </w14:textFill>
              </w:rPr>
              <w:t>图1-3本项目与鄂尔多斯市环境管控单元位置关系图</w:t>
            </w:r>
          </w:p>
          <w:p w14:paraId="35DEF739">
            <w:pPr>
              <w:pStyle w:val="6"/>
              <w:numPr>
                <w:ilvl w:val="0"/>
                <w:numId w:val="0"/>
              </w:numPr>
              <w:bidi w:val="0"/>
              <w:ind w:left="0" w:leftChars="0" w:firstLine="402" w:firstLineChars="0"/>
              <w:rPr>
                <w:rFonts w:hint="default" w:ascii="Times New Roman" w:hAnsi="Times New Roman" w:eastAsia="宋体" w:cs="Times New Roman"/>
                <w:color w:val="000000" w:themeColor="text1"/>
                <w:sz w:val="24"/>
                <w:szCs w:val="22"/>
                <w:highlight w:val="none"/>
                <w14:textFill>
                  <w14:solidFill>
                    <w14:schemeClr w14:val="tx1"/>
                  </w14:solidFill>
                </w14:textFill>
              </w:rPr>
            </w:pPr>
            <w:r>
              <w:rPr>
                <w:rFonts w:hint="default" w:ascii="Times New Roman" w:hAnsi="Times New Roman" w:eastAsia="宋体" w:cs="Times New Roman"/>
                <w:b/>
                <w:color w:val="000000" w:themeColor="text1"/>
                <w:kern w:val="0"/>
                <w:sz w:val="24"/>
                <w:szCs w:val="22"/>
                <w:highlight w:val="none"/>
                <w:lang w:val="en-US" w:eastAsia="zh-CN" w:bidi="ar-SA"/>
                <w14:textFill>
                  <w14:solidFill>
                    <w14:schemeClr w14:val="tx1"/>
                  </w14:solidFill>
                </w14:textFill>
              </w:rPr>
              <w:t>表1-1</w:t>
            </w:r>
            <w:r>
              <w:rPr>
                <w:rFonts w:hint="default" w:ascii="Times New Roman" w:hAnsi="Times New Roman" w:eastAsia="宋体" w:cs="Times New Roman"/>
                <w:color w:val="000000" w:themeColor="text1"/>
                <w:sz w:val="24"/>
                <w:szCs w:val="22"/>
                <w:highlight w:val="none"/>
                <w14:textFill>
                  <w14:solidFill>
                    <w14:schemeClr w14:val="tx1"/>
                  </w14:solidFill>
                </w14:textFill>
              </w:rPr>
              <w:t>与生态环境准入清单相符性</w:t>
            </w:r>
          </w:p>
          <w:tbl>
            <w:tblPr>
              <w:tblStyle w:val="24"/>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
              <w:gridCol w:w="863"/>
              <w:gridCol w:w="757"/>
              <w:gridCol w:w="677"/>
              <w:gridCol w:w="3000"/>
              <w:gridCol w:w="1623"/>
            </w:tblGrid>
            <w:tr w14:paraId="2399E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559" w:type="pct"/>
                  <w:noWrap w:val="0"/>
                  <w:vAlign w:val="center"/>
                </w:tcPr>
                <w:p w14:paraId="65C54633">
                  <w:pPr>
                    <w:pStyle w:val="118"/>
                    <w:bidi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环境管控单元编码</w:t>
                  </w:r>
                </w:p>
              </w:tc>
              <w:tc>
                <w:tcPr>
                  <w:tcW w:w="553" w:type="pct"/>
                  <w:noWrap w:val="0"/>
                  <w:vAlign w:val="center"/>
                </w:tcPr>
                <w:p w14:paraId="7792FB16">
                  <w:pPr>
                    <w:pStyle w:val="118"/>
                    <w:bidi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环境管控单元名称</w:t>
                  </w:r>
                </w:p>
              </w:tc>
              <w:tc>
                <w:tcPr>
                  <w:tcW w:w="485" w:type="pct"/>
                  <w:noWrap w:val="0"/>
                  <w:vAlign w:val="center"/>
                </w:tcPr>
                <w:p w14:paraId="6608A079">
                  <w:pPr>
                    <w:pStyle w:val="118"/>
                    <w:bidi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管控单元类别</w:t>
                  </w:r>
                </w:p>
              </w:tc>
              <w:tc>
                <w:tcPr>
                  <w:tcW w:w="2359" w:type="pct"/>
                  <w:gridSpan w:val="2"/>
                  <w:noWrap w:val="0"/>
                  <w:vAlign w:val="center"/>
                </w:tcPr>
                <w:p w14:paraId="06981698">
                  <w:pPr>
                    <w:pStyle w:val="118"/>
                    <w:bidi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管控要求</w:t>
                  </w:r>
                </w:p>
              </w:tc>
              <w:tc>
                <w:tcPr>
                  <w:tcW w:w="1041" w:type="pct"/>
                  <w:noWrap w:val="0"/>
                  <w:vAlign w:val="center"/>
                </w:tcPr>
                <w:p w14:paraId="5811D841">
                  <w:pPr>
                    <w:pStyle w:val="118"/>
                    <w:bidi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本项目</w:t>
                  </w:r>
                </w:p>
              </w:tc>
            </w:tr>
            <w:tr w14:paraId="5D7B9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jc w:val="center"/>
              </w:trPr>
              <w:tc>
                <w:tcPr>
                  <w:tcW w:w="559" w:type="pct"/>
                  <w:vMerge w:val="restart"/>
                  <w:noWrap w:val="0"/>
                  <w:vAlign w:val="center"/>
                </w:tcPr>
                <w:p w14:paraId="57240F2F">
                  <w:pPr>
                    <w:keepNext w:val="0"/>
                    <w:keepLines w:val="0"/>
                    <w:widowControl/>
                    <w:suppressLineNumbers w:val="0"/>
                    <w:jc w:val="left"/>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YS1506222210002</w:t>
                  </w:r>
                </w:p>
              </w:tc>
              <w:tc>
                <w:tcPr>
                  <w:tcW w:w="553" w:type="pct"/>
                  <w:vMerge w:val="restart"/>
                  <w:noWrap w:val="0"/>
                  <w:vAlign w:val="center"/>
                </w:tcPr>
                <w:p w14:paraId="12C0CE30">
                  <w:pPr>
                    <w:pStyle w:val="118"/>
                    <w:bidi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内蒙古准格尔经济开发区</w:t>
                  </w:r>
                </w:p>
              </w:tc>
              <w:tc>
                <w:tcPr>
                  <w:tcW w:w="485" w:type="pct"/>
                  <w:vMerge w:val="restart"/>
                  <w:noWrap w:val="0"/>
                  <w:vAlign w:val="center"/>
                </w:tcPr>
                <w:p w14:paraId="46654954">
                  <w:pPr>
                    <w:pStyle w:val="118"/>
                    <w:bidi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工业污染重点管控区（水环境管控分区）</w:t>
                  </w:r>
                </w:p>
              </w:tc>
              <w:tc>
                <w:tcPr>
                  <w:tcW w:w="434" w:type="pct"/>
                  <w:noWrap w:val="0"/>
                  <w:vAlign w:val="center"/>
                </w:tcPr>
                <w:p w14:paraId="0BC16EE1">
                  <w:pPr>
                    <w:pStyle w:val="118"/>
                    <w:bidi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空间布局约束</w:t>
                  </w:r>
                </w:p>
              </w:tc>
              <w:tc>
                <w:tcPr>
                  <w:tcW w:w="1925" w:type="pct"/>
                  <w:noWrap w:val="0"/>
                  <w:vAlign w:val="center"/>
                </w:tcPr>
                <w:p w14:paraId="3263E473">
                  <w:pPr>
                    <w:pStyle w:val="118"/>
                    <w:bidi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加快对工业园区的调整整合步伐，进一步做好园区产业规划和产业布局定位。沿黄重点地区应按照《关于“十四五”推进沿黄重点地区工业项目入园及严控高污染、高水、高耗能项目的通知》（发改办产业〔2021〕635号）要求严控高耗水项目。</w:t>
                  </w:r>
                </w:p>
                <w:p w14:paraId="753C4E2D">
                  <w:pPr>
                    <w:pStyle w:val="118"/>
                    <w:bidi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科学规划建设工业园区，引导工业企业入驻工业园区，严格“以水定产业、以水定规模”，做好节水工作，按分质供水原则，合理进行水资源分配，优先使用中水，提高工业用水的重复利用率，优先引进清洁生产水平高、水耗指标先进的工业企业。</w:t>
                  </w:r>
                </w:p>
              </w:tc>
              <w:tc>
                <w:tcPr>
                  <w:tcW w:w="1041" w:type="pct"/>
                  <w:noWrap w:val="0"/>
                  <w:vAlign w:val="center"/>
                </w:tcPr>
                <w:p w14:paraId="666DADAC">
                  <w:pPr>
                    <w:pStyle w:val="118"/>
                    <w:bidi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1.本项目符合园区产业规划和产业布局定位，本项目不属于高污染、高耗水、高耗能项目。</w:t>
                  </w:r>
                </w:p>
                <w:p w14:paraId="16C8D00B">
                  <w:pPr>
                    <w:pStyle w:val="118"/>
                    <w:bidi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2.本项目严格按照“以水定产业、以水定规模”</w:t>
                  </w:r>
                  <w:r>
                    <w:rPr>
                      <w:rFonts w:hint="eastAsia" w:cs="Times New Roman"/>
                      <w:color w:val="000000" w:themeColor="text1"/>
                      <w:sz w:val="21"/>
                      <w:szCs w:val="21"/>
                      <w:highlight w:val="none"/>
                      <w:lang w:eastAsia="zh-CN"/>
                      <w14:textFill>
                        <w14:solidFill>
                          <w14:schemeClr w14:val="tx1"/>
                        </w14:solidFill>
                      </w14:textFill>
                    </w:rPr>
                    <w:t>的原则，</w:t>
                  </w:r>
                  <w:r>
                    <w:rPr>
                      <w:rFonts w:hint="default" w:ascii="Times New Roman" w:hAnsi="Times New Roman" w:eastAsia="宋体" w:cs="Times New Roman"/>
                      <w:color w:val="000000" w:themeColor="text1"/>
                      <w:sz w:val="21"/>
                      <w:szCs w:val="21"/>
                      <w:highlight w:val="none"/>
                      <w14:textFill>
                        <w14:solidFill>
                          <w14:schemeClr w14:val="tx1"/>
                        </w14:solidFill>
                      </w14:textFill>
                    </w:rPr>
                    <w:t>做好节水工作</w:t>
                  </w:r>
                  <w:r>
                    <w:rPr>
                      <w:rFonts w:hint="eastAsia"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本项目</w:t>
                  </w:r>
                  <w:r>
                    <w:rPr>
                      <w:rFonts w:hint="eastAsia" w:cs="Times New Roman"/>
                      <w:color w:val="000000" w:themeColor="text1"/>
                      <w:sz w:val="21"/>
                      <w:szCs w:val="21"/>
                      <w:highlight w:val="none"/>
                      <w:lang w:val="en-US" w:eastAsia="zh-CN"/>
                      <w14:textFill>
                        <w14:solidFill>
                          <w14:schemeClr w14:val="tx1"/>
                        </w14:solidFill>
                      </w14:textFill>
                    </w:rPr>
                    <w:t>生产用水使用园区由准格尔旗国资燃气热力有限责任公司污水处理厂供应的中水，</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用水满足</w:t>
                  </w:r>
                  <w:r>
                    <w:rPr>
                      <w:rFonts w:hint="eastAsia" w:cs="Times New Roman"/>
                      <w:color w:val="000000" w:themeColor="text1"/>
                      <w:sz w:val="21"/>
                      <w:szCs w:val="21"/>
                      <w:highlight w:val="none"/>
                      <w:lang w:val="en-US" w:eastAsia="zh-CN"/>
                      <w14:textFill>
                        <w14:solidFill>
                          <w14:schemeClr w14:val="tx1"/>
                        </w14:solidFill>
                      </w14:textFill>
                    </w:rPr>
                    <w:t>相关</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指标</w:t>
                  </w:r>
                  <w:r>
                    <w:rPr>
                      <w:rFonts w:hint="default" w:ascii="Times New Roman" w:hAnsi="Times New Roman" w:eastAsia="宋体" w:cs="Times New Roman"/>
                      <w:color w:val="000000" w:themeColor="text1"/>
                      <w:sz w:val="21"/>
                      <w:szCs w:val="21"/>
                      <w:highlight w:val="none"/>
                      <w14:textFill>
                        <w14:solidFill>
                          <w14:schemeClr w14:val="tx1"/>
                        </w14:solidFill>
                      </w14:textFill>
                    </w:rPr>
                    <w:t>。</w:t>
                  </w:r>
                </w:p>
              </w:tc>
            </w:tr>
            <w:tr w14:paraId="6C833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jc w:val="center"/>
              </w:trPr>
              <w:tc>
                <w:tcPr>
                  <w:tcW w:w="559" w:type="pct"/>
                  <w:vMerge w:val="continue"/>
                  <w:noWrap w:val="0"/>
                  <w:vAlign w:val="center"/>
                </w:tcPr>
                <w:p w14:paraId="4F874B46">
                  <w:pPr>
                    <w:keepNext w:val="0"/>
                    <w:keepLines w:val="0"/>
                    <w:widowControl/>
                    <w:suppressLineNumbers w:val="0"/>
                    <w:jc w:val="left"/>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p>
              </w:tc>
              <w:tc>
                <w:tcPr>
                  <w:tcW w:w="553" w:type="pct"/>
                  <w:vMerge w:val="continue"/>
                  <w:noWrap w:val="0"/>
                  <w:vAlign w:val="center"/>
                </w:tcPr>
                <w:p w14:paraId="109020FE">
                  <w:pPr>
                    <w:pStyle w:val="118"/>
                    <w:bidi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485" w:type="pct"/>
                  <w:vMerge w:val="continue"/>
                  <w:noWrap w:val="0"/>
                  <w:vAlign w:val="center"/>
                </w:tcPr>
                <w:p w14:paraId="24468CB8">
                  <w:pPr>
                    <w:pStyle w:val="118"/>
                    <w:bidi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434" w:type="pct"/>
                  <w:noWrap w:val="0"/>
                  <w:vAlign w:val="center"/>
                </w:tcPr>
                <w:p w14:paraId="05299B89">
                  <w:pPr>
                    <w:pStyle w:val="118"/>
                    <w:bidi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污染物排放管控</w:t>
                  </w:r>
                </w:p>
              </w:tc>
              <w:tc>
                <w:tcPr>
                  <w:tcW w:w="1925" w:type="pct"/>
                  <w:noWrap w:val="0"/>
                  <w:vAlign w:val="center"/>
                </w:tcPr>
                <w:p w14:paraId="28D716CE">
                  <w:pPr>
                    <w:pStyle w:val="118"/>
                    <w:bidi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化工等重点行业及65蒸吨/小时及以上燃煤锅炉的现役企业和新建项目一律执行大气污染物特别排放限值。严控颗粒物无组织排放。重点行业粉状物料堆场实现全封闭，块状物料安装抑尘设施。推进特征污染物治理，化工等企业应建设有毒及恶臭气体收集、处理和应急处置设施。</w:t>
                  </w:r>
                </w:p>
                <w:p w14:paraId="1C27FE57">
                  <w:pPr>
                    <w:pStyle w:val="118"/>
                    <w:bidi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2.推进高含盐水“零排放”，稳定运行高盐水深度处理和分盐结晶设施，完善配套设施、优化工艺技术，确保高盐水全部结晶处理，严禁排入晾晒池。加快现有晾晒池取缔或转变功能，禁止新建晾晒池、蒸发塘。</w:t>
                  </w:r>
                </w:p>
                <w:p w14:paraId="77AFA540">
                  <w:pPr>
                    <w:pStyle w:val="118"/>
                    <w:bidi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3.园区应自建污水处理厂，污水应收尽收，确保中水综合利用。</w:t>
                  </w:r>
                </w:p>
                <w:p w14:paraId="2E665113">
                  <w:pPr>
                    <w:pStyle w:val="118"/>
                    <w:bidi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4.采用集中供热或因地制宜利用清洁能源实现供热，禁止新建35蒸吨以下燃煤锅炉。</w:t>
                  </w:r>
                </w:p>
                <w:p w14:paraId="6FE6D96E">
                  <w:pPr>
                    <w:pStyle w:val="118"/>
                    <w:bidi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5.优化固废危废处置方式，积极寻求高铝粉煤灰、结晶盐等集中处置和资源化利用途径。</w:t>
                  </w:r>
                </w:p>
                <w:p w14:paraId="10227F71">
                  <w:pPr>
                    <w:pStyle w:val="118"/>
                    <w:bidi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6.工业园区污水应收尽收、全部回用；矿井水、中水回用率达到90%以上。实施石油石化、化工等高耗水企业废水深度处理回用工程。强化焦化废水深度处理，区域内焦化废水必须全收集、全处理、全回用。</w:t>
                  </w:r>
                </w:p>
              </w:tc>
              <w:tc>
                <w:tcPr>
                  <w:tcW w:w="1041" w:type="pct"/>
                  <w:noWrap w:val="0"/>
                  <w:vAlign w:val="center"/>
                </w:tcPr>
                <w:p w14:paraId="64A28140">
                  <w:pPr>
                    <w:pStyle w:val="118"/>
                    <w:bidi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1.本项目不涉及燃煤锅炉，新建</w:t>
                  </w:r>
                  <w:r>
                    <w:rPr>
                      <w:rFonts w:hint="eastAsia" w:cs="Times New Roman"/>
                      <w:color w:val="000000" w:themeColor="text1"/>
                      <w:sz w:val="21"/>
                      <w:szCs w:val="21"/>
                      <w:highlight w:val="none"/>
                      <w:lang w:eastAsia="zh-CN"/>
                      <w14:textFill>
                        <w14:solidFill>
                          <w14:schemeClr w14:val="tx1"/>
                        </w14:solidFill>
                      </w14:textFill>
                    </w:rPr>
                    <w:t>回转窑</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煅烧废气中SO</w:t>
                  </w:r>
                  <w:r>
                    <w:rPr>
                      <w:rFonts w:hint="default" w:ascii="Times New Roman" w:hAnsi="Times New Roman" w:eastAsia="宋体" w:cs="Times New Roman"/>
                      <w:color w:val="000000" w:themeColor="text1"/>
                      <w:sz w:val="21"/>
                      <w:szCs w:val="21"/>
                      <w:highlight w:val="none"/>
                      <w:vertAlign w:val="subscript"/>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、NO</w:t>
                  </w:r>
                  <w:r>
                    <w:rPr>
                      <w:rFonts w:hint="default" w:ascii="Times New Roman" w:hAnsi="Times New Roman" w:eastAsia="宋体" w:cs="Times New Roman"/>
                      <w:color w:val="000000" w:themeColor="text1"/>
                      <w:sz w:val="21"/>
                      <w:szCs w:val="21"/>
                      <w:highlight w:val="none"/>
                      <w:vertAlign w:val="subscript"/>
                      <w:lang w:val="en-US" w:eastAsia="zh-CN"/>
                      <w14:textFill>
                        <w14:solidFill>
                          <w14:schemeClr w14:val="tx1"/>
                        </w14:solidFill>
                      </w14:textFill>
                    </w:rPr>
                    <w:t>X</w:t>
                  </w:r>
                  <w:r>
                    <w:rPr>
                      <w:rFonts w:hint="eastAsia" w:ascii="Times New Roman" w:hAnsi="Times New Roman" w:eastAsia="宋体" w:cs="Times New Roman"/>
                      <w:color w:val="000000" w:themeColor="text1"/>
                      <w:sz w:val="21"/>
                      <w:szCs w:val="21"/>
                      <w:highlight w:val="none"/>
                      <w:vertAlign w:val="subscript"/>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颗粒物执行</w:t>
                  </w:r>
                  <w:r>
                    <w:rPr>
                      <w:rFonts w:hint="default" w:ascii="Times New Roman" w:hAnsi="Times New Roman" w:eastAsia="宋体" w:cs="Times New Roman"/>
                      <w:color w:val="000000" w:themeColor="text1"/>
                      <w:sz w:val="21"/>
                      <w:szCs w:val="21"/>
                      <w:highlight w:val="none"/>
                      <w14:textFill>
                        <w14:solidFill>
                          <w14:schemeClr w14:val="tx1"/>
                        </w14:solidFill>
                      </w14:textFill>
                    </w:rPr>
                    <w:t>《耐火材料工业大气污染物排放标准》（GB46790—2025）大气污染物排放限值。本项目粉状物料堆场实现全封闭，其他物料雾炮抑尘。</w:t>
                  </w:r>
                </w:p>
                <w:p w14:paraId="5E8DB825">
                  <w:pPr>
                    <w:pStyle w:val="118"/>
                    <w:bidi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2.本项目</w:t>
                  </w:r>
                  <w:r>
                    <w:rPr>
                      <w:rFonts w:hint="default" w:ascii="宋体" w:hAnsi="宋体" w:eastAsia="宋体" w:cs="宋体"/>
                      <w:color w:val="000000" w:themeColor="text1"/>
                      <w:kern w:val="0"/>
                      <w:sz w:val="21"/>
                      <w:szCs w:val="21"/>
                      <w:highlight w:val="none"/>
                      <w:lang w:val="en-US" w:eastAsia="zh-CN" w:bidi="ar"/>
                      <w14:textFill>
                        <w14:solidFill>
                          <w14:schemeClr w14:val="tx1"/>
                        </w14:solidFill>
                      </w14:textFill>
                    </w:rPr>
                    <w:t>三联箱装置处理</w:t>
                  </w:r>
                  <w:r>
                    <w:rPr>
                      <w:rFonts w:hint="eastAsia" w:ascii="宋体" w:hAnsi="宋体" w:cs="宋体"/>
                      <w:color w:val="000000" w:themeColor="text1"/>
                      <w:kern w:val="0"/>
                      <w:sz w:val="21"/>
                      <w:szCs w:val="21"/>
                      <w:highlight w:val="none"/>
                      <w:lang w:val="en-US" w:eastAsia="zh-CN" w:bidi="ar"/>
                      <w14:textFill>
                        <w14:solidFill>
                          <w14:schemeClr w14:val="tx1"/>
                        </w14:solidFill>
                      </w14:textFill>
                    </w:rPr>
                    <w:t>后的脱硫废水回用于脱硫浆液制备用水，</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软水排水、锅炉排水</w:t>
                  </w:r>
                  <w:r>
                    <w:rPr>
                      <w:rFonts w:hint="default" w:ascii="宋体" w:hAnsi="宋体" w:eastAsia="宋体" w:cs="宋体"/>
                      <w:color w:val="000000" w:themeColor="text1"/>
                      <w:kern w:val="0"/>
                      <w:sz w:val="21"/>
                      <w:szCs w:val="21"/>
                      <w:highlight w:val="none"/>
                      <w:lang w:val="en-US" w:eastAsia="zh-CN" w:bidi="ar"/>
                      <w14:textFill>
                        <w14:solidFill>
                          <w14:schemeClr w14:val="tx1"/>
                        </w14:solidFill>
                      </w14:textFill>
                    </w:rPr>
                    <w:t>经</w:t>
                  </w:r>
                  <w:r>
                    <w:rPr>
                      <w:rFonts w:hint="eastAsia" w:ascii="宋体" w:hAnsi="宋体" w:cs="宋体"/>
                      <w:color w:val="000000" w:themeColor="text1"/>
                      <w:kern w:val="0"/>
                      <w:sz w:val="21"/>
                      <w:szCs w:val="21"/>
                      <w:highlight w:val="none"/>
                      <w:lang w:val="en-US" w:eastAsia="zh-CN" w:bidi="ar"/>
                      <w14:textFill>
                        <w14:solidFill>
                          <w14:schemeClr w14:val="tx1"/>
                        </w14:solidFill>
                      </w14:textFill>
                    </w:rPr>
                    <w:t>由</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罐车拉运</w:t>
                  </w:r>
                  <w:r>
                    <w:rPr>
                      <w:rFonts w:hint="default" w:ascii="宋体" w:hAnsi="宋体" w:eastAsia="宋体" w:cs="宋体"/>
                      <w:color w:val="000000" w:themeColor="text1"/>
                      <w:kern w:val="0"/>
                      <w:sz w:val="21"/>
                      <w:szCs w:val="21"/>
                      <w:highlight w:val="none"/>
                      <w:lang w:val="en-US" w:eastAsia="zh-CN" w:bidi="ar"/>
                      <w14:textFill>
                        <w14:solidFill>
                          <w14:schemeClr w14:val="tx1"/>
                        </w14:solidFill>
                      </w14:textFill>
                    </w:rPr>
                    <w:t>至园区生产废水处理厂处理</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，不涉及</w:t>
                  </w:r>
                  <w:r>
                    <w:rPr>
                      <w:rFonts w:hint="default" w:ascii="Times New Roman" w:hAnsi="Times New Roman" w:eastAsia="宋体" w:cs="Times New Roman"/>
                      <w:color w:val="000000" w:themeColor="text1"/>
                      <w:sz w:val="21"/>
                      <w:szCs w:val="21"/>
                      <w:highlight w:val="none"/>
                      <w14:textFill>
                        <w14:solidFill>
                          <w14:schemeClr w14:val="tx1"/>
                        </w14:solidFill>
                      </w14:textFill>
                    </w:rPr>
                    <w:t>高含盐水排放。</w:t>
                  </w:r>
                </w:p>
                <w:p w14:paraId="2B7A46C1">
                  <w:pPr>
                    <w:pStyle w:val="118"/>
                    <w:bidi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3.本项目所在园区建有污水处理厂。</w:t>
                  </w:r>
                </w:p>
                <w:p w14:paraId="5AFBB580">
                  <w:pPr>
                    <w:pStyle w:val="118"/>
                    <w:bidi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4.本项目</w:t>
                  </w:r>
                  <w:r>
                    <w:rPr>
                      <w:rFonts w:hint="eastAsia" w:cs="Times New Roman"/>
                      <w:color w:val="000000" w:themeColor="text1"/>
                      <w:sz w:val="21"/>
                      <w:szCs w:val="21"/>
                      <w:highlight w:val="none"/>
                      <w:lang w:val="en-US" w:eastAsia="zh-CN"/>
                      <w14:textFill>
                        <w14:solidFill>
                          <w14:schemeClr w14:val="tx1"/>
                        </w14:solidFill>
                      </w14:textFill>
                    </w:rPr>
                    <w:t>设置余热回收</w:t>
                  </w:r>
                  <w:r>
                    <w:rPr>
                      <w:rFonts w:hint="default" w:ascii="Times New Roman" w:hAnsi="Times New Roman" w:eastAsia="宋体" w:cs="Times New Roman"/>
                      <w:color w:val="000000" w:themeColor="text1"/>
                      <w:sz w:val="21"/>
                      <w:szCs w:val="21"/>
                      <w:highlight w:val="none"/>
                      <w14:textFill>
                        <w14:solidFill>
                          <w14:schemeClr w14:val="tx1"/>
                        </w14:solidFill>
                      </w14:textFill>
                    </w:rPr>
                    <w:t>供热。</w:t>
                  </w:r>
                </w:p>
                <w:p w14:paraId="6C960237">
                  <w:pPr>
                    <w:pStyle w:val="118"/>
                    <w:bidi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5.本项目为固废综合利用项目。</w:t>
                  </w:r>
                </w:p>
                <w:p w14:paraId="07C03425">
                  <w:pPr>
                    <w:pStyle w:val="118"/>
                    <w:bidi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6.本项目所在园区污水应收尽收，</w:t>
                  </w:r>
                  <w:r>
                    <w:rPr>
                      <w:rFonts w:hint="eastAsia" w:cs="Times New Roman"/>
                      <w:color w:val="000000" w:themeColor="text1"/>
                      <w:sz w:val="21"/>
                      <w:szCs w:val="21"/>
                      <w:highlight w:val="none"/>
                      <w:lang w:val="en-US" w:eastAsia="zh-CN"/>
                      <w14:textFill>
                        <w14:solidFill>
                          <w14:schemeClr w14:val="tx1"/>
                        </w14:solidFill>
                      </w14:textFill>
                    </w:rPr>
                    <w:t>未综合利用的送园区污水处理厂进一步处理。</w:t>
                  </w:r>
                </w:p>
              </w:tc>
            </w:tr>
            <w:tr w14:paraId="4B31A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 w:hRule="atLeast"/>
                <w:jc w:val="center"/>
              </w:trPr>
              <w:tc>
                <w:tcPr>
                  <w:tcW w:w="559" w:type="pct"/>
                  <w:vMerge w:val="restart"/>
                  <w:noWrap w:val="0"/>
                  <w:vAlign w:val="center"/>
                </w:tcPr>
                <w:p w14:paraId="48206FF9">
                  <w:pPr>
                    <w:keepNext w:val="0"/>
                    <w:keepLines w:val="0"/>
                    <w:widowControl/>
                    <w:suppressLineNumbers w:val="0"/>
                    <w:jc w:val="left"/>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YS1506222310003</w:t>
                  </w:r>
                </w:p>
              </w:tc>
              <w:tc>
                <w:tcPr>
                  <w:tcW w:w="553" w:type="pct"/>
                  <w:vMerge w:val="restart"/>
                  <w:noWrap w:val="0"/>
                  <w:vAlign w:val="center"/>
                </w:tcPr>
                <w:p w14:paraId="17F3754A">
                  <w:pPr>
                    <w:keepNext w:val="0"/>
                    <w:keepLines w:val="0"/>
                    <w:widowControl/>
                    <w:suppressLineNumbers w:val="0"/>
                    <w:jc w:val="left"/>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内蒙古准格尔经济开发区</w:t>
                  </w:r>
                </w:p>
              </w:tc>
              <w:tc>
                <w:tcPr>
                  <w:tcW w:w="485" w:type="pct"/>
                  <w:vMerge w:val="restart"/>
                  <w:noWrap w:val="0"/>
                  <w:vAlign w:val="center"/>
                </w:tcPr>
                <w:p w14:paraId="10F2432F">
                  <w:pPr>
                    <w:keepNext w:val="0"/>
                    <w:keepLines w:val="0"/>
                    <w:widowControl/>
                    <w:suppressLineNumbers w:val="0"/>
                    <w:jc w:val="lef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高排</w:t>
                  </w:r>
                </w:p>
                <w:p w14:paraId="3DE23DE4">
                  <w:pPr>
                    <w:keepNext w:val="0"/>
                    <w:keepLines w:val="0"/>
                    <w:widowControl/>
                    <w:suppressLineNumbers w:val="0"/>
                    <w:jc w:val="lef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放重</w:t>
                  </w:r>
                </w:p>
                <w:p w14:paraId="56E5C14A">
                  <w:pPr>
                    <w:keepNext w:val="0"/>
                    <w:keepLines w:val="0"/>
                    <w:widowControl/>
                    <w:suppressLineNumbers w:val="0"/>
                    <w:jc w:val="lef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点管</w:t>
                  </w:r>
                </w:p>
                <w:p w14:paraId="1BEAA976">
                  <w:pPr>
                    <w:keepNext w:val="0"/>
                    <w:keepLines w:val="0"/>
                    <w:widowControl/>
                    <w:suppressLineNumbers w:val="0"/>
                    <w:jc w:val="lef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控区</w:t>
                  </w:r>
                </w:p>
                <w:p w14:paraId="4D2CEBAB">
                  <w:pPr>
                    <w:keepNext w:val="0"/>
                    <w:keepLines w:val="0"/>
                    <w:widowControl/>
                    <w:suppressLineNumbers w:val="0"/>
                    <w:jc w:val="lef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（大</w:t>
                  </w:r>
                </w:p>
                <w:p w14:paraId="1CC4BDF6">
                  <w:pPr>
                    <w:keepNext w:val="0"/>
                    <w:keepLines w:val="0"/>
                    <w:widowControl/>
                    <w:suppressLineNumbers w:val="0"/>
                    <w:jc w:val="lef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气环</w:t>
                  </w:r>
                </w:p>
                <w:p w14:paraId="2B93F4D4">
                  <w:pPr>
                    <w:keepNext w:val="0"/>
                    <w:keepLines w:val="0"/>
                    <w:widowControl/>
                    <w:suppressLineNumbers w:val="0"/>
                    <w:jc w:val="lef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境管</w:t>
                  </w:r>
                </w:p>
                <w:p w14:paraId="3C00D101">
                  <w:pPr>
                    <w:keepNext w:val="0"/>
                    <w:keepLines w:val="0"/>
                    <w:widowControl/>
                    <w:suppressLineNumbers w:val="0"/>
                    <w:jc w:val="lef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控分</w:t>
                  </w:r>
                </w:p>
                <w:p w14:paraId="72C5AAFB">
                  <w:pPr>
                    <w:keepNext w:val="0"/>
                    <w:keepLines w:val="0"/>
                    <w:widowControl/>
                    <w:suppressLineNumbers w:val="0"/>
                    <w:jc w:val="left"/>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区）</w:t>
                  </w:r>
                </w:p>
              </w:tc>
              <w:tc>
                <w:tcPr>
                  <w:tcW w:w="434" w:type="pct"/>
                  <w:noWrap w:val="0"/>
                  <w:vAlign w:val="center"/>
                </w:tcPr>
                <w:p w14:paraId="0783EF90">
                  <w:pPr>
                    <w:pStyle w:val="118"/>
                    <w:bidi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空间布局约束</w:t>
                  </w:r>
                </w:p>
              </w:tc>
              <w:tc>
                <w:tcPr>
                  <w:tcW w:w="1925" w:type="pct"/>
                  <w:noWrap w:val="0"/>
                  <w:vAlign w:val="center"/>
                </w:tcPr>
                <w:p w14:paraId="10CB9EF3">
                  <w:pPr>
                    <w:pStyle w:val="118"/>
                    <w:bidi w:val="0"/>
                    <w:jc w:val="both"/>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严格执行环境准入门槛，依法落实工业园区规划环评。对不符合园区产业定位、规划环评等的项目一律不予批准。</w:t>
                  </w:r>
                </w:p>
              </w:tc>
              <w:tc>
                <w:tcPr>
                  <w:tcW w:w="1041" w:type="pct"/>
                  <w:noWrap w:val="0"/>
                  <w:vAlign w:val="center"/>
                </w:tcPr>
                <w:p w14:paraId="7C22B0B1">
                  <w:pPr>
                    <w:keepNext w:val="0"/>
                    <w:keepLines w:val="0"/>
                    <w:widowControl/>
                    <w:suppressLineNumbers w:val="0"/>
                    <w:jc w:val="left"/>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本项目符合园区规划环评产业定位。</w:t>
                  </w:r>
                </w:p>
              </w:tc>
            </w:tr>
            <w:tr w14:paraId="166AA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 w:hRule="atLeast"/>
                <w:jc w:val="center"/>
              </w:trPr>
              <w:tc>
                <w:tcPr>
                  <w:tcW w:w="559" w:type="pct"/>
                  <w:vMerge w:val="continue"/>
                  <w:noWrap w:val="0"/>
                  <w:vAlign w:val="center"/>
                </w:tcPr>
                <w:p w14:paraId="11C433D3">
                  <w:pPr>
                    <w:keepNext w:val="0"/>
                    <w:keepLines w:val="0"/>
                    <w:widowControl/>
                    <w:suppressLineNumbers w:val="0"/>
                    <w:jc w:val="left"/>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p>
              </w:tc>
              <w:tc>
                <w:tcPr>
                  <w:tcW w:w="553" w:type="pct"/>
                  <w:vMerge w:val="continue"/>
                  <w:noWrap w:val="0"/>
                  <w:vAlign w:val="center"/>
                </w:tcPr>
                <w:p w14:paraId="7D464E56">
                  <w:pPr>
                    <w:keepNext w:val="0"/>
                    <w:keepLines w:val="0"/>
                    <w:widowControl/>
                    <w:suppressLineNumbers w:val="0"/>
                    <w:jc w:val="left"/>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p>
              </w:tc>
              <w:tc>
                <w:tcPr>
                  <w:tcW w:w="485" w:type="pct"/>
                  <w:vMerge w:val="continue"/>
                  <w:noWrap w:val="0"/>
                  <w:vAlign w:val="center"/>
                </w:tcPr>
                <w:p w14:paraId="73C4B98C">
                  <w:pPr>
                    <w:keepNext w:val="0"/>
                    <w:keepLines w:val="0"/>
                    <w:widowControl/>
                    <w:suppressLineNumbers w:val="0"/>
                    <w:jc w:val="left"/>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p>
              </w:tc>
              <w:tc>
                <w:tcPr>
                  <w:tcW w:w="434" w:type="pct"/>
                  <w:noWrap w:val="0"/>
                  <w:vAlign w:val="center"/>
                </w:tcPr>
                <w:p w14:paraId="7DAF6EF3">
                  <w:pPr>
                    <w:pStyle w:val="118"/>
                    <w:bidi w:val="0"/>
                    <w:ind w:firstLine="0" w:firstLine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污染物排放管控</w:t>
                  </w:r>
                </w:p>
              </w:tc>
              <w:tc>
                <w:tcPr>
                  <w:tcW w:w="1925" w:type="pct"/>
                  <w:noWrap w:val="0"/>
                  <w:vAlign w:val="center"/>
                </w:tcPr>
                <w:p w14:paraId="2C507CA1">
                  <w:pPr>
                    <w:keepNext w:val="0"/>
                    <w:keepLines w:val="0"/>
                    <w:widowControl/>
                    <w:suppressLineNumbers w:val="0"/>
                    <w:jc w:val="lef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严格落实污染物排放总量控制制度，把主要污染物排放总量指标作为环评审批的前</w:t>
                  </w:r>
                </w:p>
                <w:p w14:paraId="6115D18F">
                  <w:pPr>
                    <w:keepNext w:val="0"/>
                    <w:keepLines w:val="0"/>
                    <w:widowControl/>
                    <w:suppressLineNumbers w:val="0"/>
                    <w:jc w:val="lef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置条件。对未完成上一年度主要污染物总量减排目标的地区或企业、环境质量未达</w:t>
                  </w:r>
                </w:p>
                <w:p w14:paraId="1A35097E">
                  <w:pPr>
                    <w:keepNext w:val="0"/>
                    <w:keepLines w:val="0"/>
                    <w:widowControl/>
                    <w:suppressLineNumbers w:val="0"/>
                    <w:jc w:val="both"/>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对</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环境功能区划要求、被实施区域限批的地区及未进行排污权交易的工业企业建设项目暂停新增主要污染物排放建设项目的总量审批。开展多污染物协同控制，建立PM</w:t>
                  </w:r>
                  <w:r>
                    <w:rPr>
                      <w:rFonts w:hint="default" w:ascii="Times New Roman" w:hAnsi="Times New Roman" w:eastAsia="宋体" w:cs="Times New Roman"/>
                      <w:color w:val="000000" w:themeColor="text1"/>
                      <w:kern w:val="0"/>
                      <w:sz w:val="21"/>
                      <w:szCs w:val="21"/>
                      <w:highlight w:val="none"/>
                      <w:vertAlign w:val="subscript"/>
                      <w:lang w:val="en-US" w:eastAsia="zh-CN" w:bidi="ar"/>
                      <w14:textFill>
                        <w14:solidFill>
                          <w14:schemeClr w14:val="tx1"/>
                        </w14:solidFill>
                      </w14:textFill>
                    </w:rPr>
                    <w:t>2.5</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和O</w:t>
                  </w:r>
                  <w:r>
                    <w:rPr>
                      <w:rFonts w:hint="default" w:ascii="Times New Roman" w:hAnsi="Times New Roman" w:eastAsia="宋体" w:cs="Times New Roman"/>
                      <w:color w:val="000000" w:themeColor="text1"/>
                      <w:kern w:val="0"/>
                      <w:sz w:val="21"/>
                      <w:szCs w:val="21"/>
                      <w:highlight w:val="none"/>
                      <w:vertAlign w:val="subscript"/>
                      <w:lang w:val="en-US" w:eastAsia="zh-CN" w:bidi="ar"/>
                      <w14:textFill>
                        <w14:solidFill>
                          <w14:schemeClr w14:val="tx1"/>
                        </w14:solidFill>
                      </w14:textFill>
                    </w:rPr>
                    <w:t>3</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污染协同防治机制，推进NOx和VOCs协同减排。新建“两高”项目应按照《关于加强重点行业建设项目区域削减措施监督管理的通知》要求，依据区域环境质量改善目标，制定配套区域污染物削减方案，采取有效的污染物区域削减措施，腾出足够的环境容量。新建、改扩建项目执行重点污染物特别排放限值，出台超低排放要求的“两高”行业建设项目应满足超低排放要求。</w:t>
                  </w:r>
                </w:p>
                <w:p w14:paraId="7870BD3B">
                  <w:pPr>
                    <w:keepNext w:val="0"/>
                    <w:keepLines w:val="0"/>
                    <w:widowControl/>
                    <w:suppressLineNumbers w:val="0"/>
                    <w:jc w:val="both"/>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现有项目通过提标升级改造，重点污染物逐步达到特别排放限值。推进重点行业污染治理升级改造。重点区域二氧化硫、氮氧化物、颗粒物、挥发性有机物（VOCs）</w:t>
                  </w:r>
                </w:p>
                <w:p w14:paraId="07764592">
                  <w:pPr>
                    <w:keepNext w:val="0"/>
                    <w:keepLines w:val="0"/>
                    <w:widowControl/>
                    <w:suppressLineNumbers w:val="0"/>
                    <w:jc w:val="left"/>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全面执行大气污染物特别排放限值（执行大气污染物特别排放限值的地域范围、时</w:t>
                  </w:r>
                </w:p>
                <w:p w14:paraId="0E37C498">
                  <w:pPr>
                    <w:keepNext w:val="0"/>
                    <w:keepLines w:val="0"/>
                    <w:widowControl/>
                    <w:suppressLineNumbers w:val="0"/>
                    <w:jc w:val="left"/>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间，由国务院环境保护行政主管部门或者省级人民政府规定。石化、化工、包装印刷、工业涂装等行业建立完善源头、过程和末端的VOCs全过程控制体系，实施VOCs排放总量控制。重点加大煤化工（含化工、炼焦、合成氨等）、制药、农药、橡胶制品等VOCs综合治理力度，对易挥发有机液体储罐实施改造，对浮顶罐推广采用全接液浮盘和高效双重密封技术，对废水系统高浓度废气实施单独收集处理。推进源头减量与替代，严格落实国家挥发性有机物含量限值标准。到2025年，溶剂型工业涂料、油墨使用比例分别降低20个百分点、10个百分点，溶剂型</w:t>
                  </w:r>
                  <w:r>
                    <w:rPr>
                      <w:rFonts w:hint="eastAsia" w:cs="Times New Roman"/>
                      <w:color w:val="000000" w:themeColor="text1"/>
                      <w:kern w:val="0"/>
                      <w:sz w:val="21"/>
                      <w:szCs w:val="21"/>
                      <w:highlight w:val="none"/>
                      <w:lang w:val="en-US" w:eastAsia="zh-CN" w:bidi="ar"/>
                      <w14:textFill>
                        <w14:solidFill>
                          <w14:schemeClr w14:val="tx1"/>
                        </w14:solidFill>
                      </w14:textFill>
                    </w:rPr>
                    <w:t>胶黏剂</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使用量降低20%。完善油品储运监管，</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罐区、储运、油罐车排放废气应达到相应排放标准。全面完成火电、有色、建材、焦化、热力生产及供应等重点行业无组织排放治理任务。推进全市各类工业企业、煤矿、洗选煤厂、集装站粉状物料堆场</w:t>
                  </w:r>
                  <w:r>
                    <w:rPr>
                      <w:rFonts w:hint="eastAsia" w:cs="Times New Roman"/>
                      <w:color w:val="000000" w:themeColor="text1"/>
                      <w:sz w:val="21"/>
                      <w:szCs w:val="21"/>
                      <w:highlight w:val="none"/>
                      <w:lang w:val="en-US" w:eastAsia="zh-CN"/>
                      <w14:textFill>
                        <w14:solidFill>
                          <w14:schemeClr w14:val="tx1"/>
                        </w14:solidFill>
                      </w14:textFill>
                    </w:rPr>
                    <w:t>建设全封闭</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储存设施。全面推行绿色施工。坚决杜绝露天焚烧秸秆。2023年前所有燃煤火电机组全部实现超低排放改造，65蒸吨/小时以上燃煤锅炉和循环流化床锅炉全部完成超低排放改造。到2025年，完成焦化、钢铁、水泥等行业超低排放改造。</w:t>
                  </w:r>
                </w:p>
              </w:tc>
              <w:tc>
                <w:tcPr>
                  <w:tcW w:w="1041" w:type="pct"/>
                  <w:noWrap w:val="0"/>
                  <w:vAlign w:val="center"/>
                </w:tcPr>
                <w:p w14:paraId="5D2BADE1">
                  <w:pPr>
                    <w:keepNext w:val="0"/>
                    <w:keepLines w:val="0"/>
                    <w:widowControl/>
                    <w:suppressLineNumbers w:val="0"/>
                    <w:jc w:val="both"/>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本项目涉及总量控制污染物</w:t>
                  </w:r>
                  <w:r>
                    <w:rPr>
                      <w:rFonts w:hint="eastAsia" w:cs="Times New Roman"/>
                      <w:color w:val="000000" w:themeColor="text1"/>
                      <w:kern w:val="0"/>
                      <w:sz w:val="21"/>
                      <w:szCs w:val="21"/>
                      <w:highlight w:val="none"/>
                      <w:lang w:val="en-US" w:eastAsia="zh-CN" w:bidi="ar"/>
                      <w14:textFill>
                        <w14:solidFill>
                          <w14:schemeClr w14:val="tx1"/>
                        </w14:solidFill>
                      </w14:textFill>
                    </w:rPr>
                    <w:t>，已</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取得</w:t>
                  </w:r>
                  <w:r>
                    <w:rPr>
                      <w:rFonts w:hint="eastAsia" w:cs="Times New Roman"/>
                      <w:color w:val="000000" w:themeColor="text1"/>
                      <w:kern w:val="0"/>
                      <w:sz w:val="21"/>
                      <w:szCs w:val="21"/>
                      <w:highlight w:val="none"/>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鄂尔多斯市生态环境局</w:t>
                  </w:r>
                  <w:r>
                    <w:rPr>
                      <w:rFonts w:hint="eastAsia"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&lt;</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关于内蒙古伊东东晟公司年产20万吨煤矸石煅烧高岭土项目</w:t>
                  </w:r>
                  <w:r>
                    <w:rPr>
                      <w:rFonts w:hint="eastAsia" w:cs="Times New Roman"/>
                      <w:color w:val="000000" w:themeColor="text1"/>
                      <w:kern w:val="0"/>
                      <w:sz w:val="21"/>
                      <w:szCs w:val="21"/>
                      <w:highlight w:val="none"/>
                      <w:lang w:val="en-US" w:eastAsia="zh-CN" w:bidi="ar"/>
                      <w14:textFill>
                        <w14:solidFill>
                          <w14:schemeClr w14:val="tx1"/>
                        </w14:solidFill>
                      </w14:textFill>
                    </w:rPr>
                    <w:t>大气主要污染物排放总量指标确认意见的函&gt;》</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总量申请的批复</w:t>
                  </w:r>
                  <w:r>
                    <w:rPr>
                      <w:rFonts w:hint="eastAsia" w:cs="Times New Roman"/>
                      <w:color w:val="000000" w:themeColor="text1"/>
                      <w:kern w:val="0"/>
                      <w:sz w:val="21"/>
                      <w:szCs w:val="21"/>
                      <w:highlight w:val="none"/>
                      <w:lang w:val="en-US" w:eastAsia="zh-CN" w:bidi="ar"/>
                      <w14:textFill>
                        <w14:solidFill>
                          <w14:schemeClr w14:val="tx1"/>
                        </w14:solidFill>
                      </w14:textFill>
                    </w:rPr>
                    <w:t>(附件10)</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；本项目不是“两高”项目；本项目不涉及VOCs排放；本项目粉状物料在全封闭车间内存放。</w:t>
                  </w:r>
                </w:p>
              </w:tc>
            </w:tr>
            <w:tr w14:paraId="4221A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 w:hRule="atLeast"/>
                <w:jc w:val="center"/>
              </w:trPr>
              <w:tc>
                <w:tcPr>
                  <w:tcW w:w="559" w:type="pct"/>
                  <w:vMerge w:val="continue"/>
                  <w:noWrap w:val="0"/>
                  <w:vAlign w:val="center"/>
                </w:tcPr>
                <w:p w14:paraId="5E26B896">
                  <w:pPr>
                    <w:keepNext w:val="0"/>
                    <w:keepLines w:val="0"/>
                    <w:widowControl/>
                    <w:suppressLineNumbers w:val="0"/>
                    <w:jc w:val="left"/>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p>
              </w:tc>
              <w:tc>
                <w:tcPr>
                  <w:tcW w:w="553" w:type="pct"/>
                  <w:vMerge w:val="continue"/>
                  <w:noWrap w:val="0"/>
                  <w:vAlign w:val="center"/>
                </w:tcPr>
                <w:p w14:paraId="72C6F96C">
                  <w:pPr>
                    <w:keepNext w:val="0"/>
                    <w:keepLines w:val="0"/>
                    <w:widowControl/>
                    <w:suppressLineNumbers w:val="0"/>
                    <w:jc w:val="left"/>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p>
              </w:tc>
              <w:tc>
                <w:tcPr>
                  <w:tcW w:w="485" w:type="pct"/>
                  <w:vMerge w:val="continue"/>
                  <w:noWrap w:val="0"/>
                  <w:vAlign w:val="center"/>
                </w:tcPr>
                <w:p w14:paraId="74FB5FF4">
                  <w:pPr>
                    <w:keepNext w:val="0"/>
                    <w:keepLines w:val="0"/>
                    <w:widowControl/>
                    <w:suppressLineNumbers w:val="0"/>
                    <w:jc w:val="left"/>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p>
              </w:tc>
              <w:tc>
                <w:tcPr>
                  <w:tcW w:w="434" w:type="pct"/>
                  <w:noWrap w:val="0"/>
                  <w:vAlign w:val="center"/>
                </w:tcPr>
                <w:p w14:paraId="30262698">
                  <w:pPr>
                    <w:pStyle w:val="118"/>
                    <w:bidi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资源利用效率要求</w:t>
                  </w:r>
                </w:p>
              </w:tc>
              <w:tc>
                <w:tcPr>
                  <w:tcW w:w="1925" w:type="pct"/>
                  <w:noWrap w:val="0"/>
                  <w:vAlign w:val="center"/>
                </w:tcPr>
                <w:p w14:paraId="493F5BDD">
                  <w:pPr>
                    <w:keepNext w:val="0"/>
                    <w:keepLines w:val="0"/>
                    <w:widowControl/>
                    <w:suppressLineNumbers w:val="0"/>
                    <w:jc w:val="both"/>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绿色低碳发展要求：</w:t>
                  </w:r>
                </w:p>
                <w:p w14:paraId="52EF6A06">
                  <w:pPr>
                    <w:keepNext w:val="0"/>
                    <w:keepLines w:val="0"/>
                    <w:widowControl/>
                    <w:suppressLineNumbers w:val="0"/>
                    <w:jc w:val="both"/>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（1）严格产业准入条件。对标碳达峰碳中和与节能减排</w:t>
                  </w:r>
                  <w:r>
                    <w:rPr>
                      <w:rFonts w:hint="eastAsia" w:cs="Times New Roman"/>
                      <w:color w:val="000000" w:themeColor="text1"/>
                      <w:sz w:val="21"/>
                      <w:szCs w:val="21"/>
                      <w:highlight w:val="none"/>
                      <w:lang w:val="en-US" w:eastAsia="zh-CN"/>
                      <w14:textFill>
                        <w14:solidFill>
                          <w14:schemeClr w14:val="tx1"/>
                        </w14:solidFill>
                      </w14:textFill>
                    </w:rPr>
                    <w:t>要求</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，坚决遏制高耗能高排放项目盲目扩张，不再审批焦炭（兰炭）、电石、聚氯乙烯（PVC）、铁合金、电解铝等新增产能项目，确需建设的，须在区域内实施产能和能耗减量置换。</w:t>
                  </w:r>
                </w:p>
                <w:p w14:paraId="4BD0CBD4">
                  <w:pPr>
                    <w:keepNext w:val="0"/>
                    <w:keepLines w:val="0"/>
                    <w:widowControl/>
                    <w:suppressLineNumbers w:val="0"/>
                    <w:jc w:val="both"/>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优化发展结构。严格控制焦化新增产能，总体规模控制在“十三五”水平。到2023年底，全面完成焦化产业重组升级。继续淘汰落后产能，在2023年前全面淘汰炭化室高度4.3m的焦炉，新（改、扩）建捣固焦炉炭化室高度达到6.25m以上，同步配套下游化产链条、余热余气回收利用项目，促进两化融合，以化产水平的进步推动焦化产业转型升级。</w:t>
                  </w:r>
                </w:p>
                <w:p w14:paraId="0F089D59">
                  <w:pPr>
                    <w:keepNext w:val="0"/>
                    <w:keepLines w:val="0"/>
                    <w:widowControl/>
                    <w:suppressLineNumbers w:val="0"/>
                    <w:jc w:val="both"/>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3）优化产业结构。实行新（改、扩）建项目重点污染物排放等量或减量置换。城市主城区禁止建设环境高风险、高污染项目。严格项目审批，新上重化工项目必须入园，对布局在园区外的现有重化工企业，严禁在原址审批新增产能项目。控排温室气体，推进碳达峰碳中和进程：</w:t>
                  </w:r>
                </w:p>
                <w:p w14:paraId="11B4A2A3">
                  <w:pPr>
                    <w:keepNext w:val="0"/>
                    <w:keepLines w:val="0"/>
                    <w:widowControl/>
                    <w:suppressLineNumbers w:val="0"/>
                    <w:jc w:val="both"/>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1）力争煤电、钢铁、水泥、电解铝、传统化工等行业在2030年左右实现碳排放达峰。</w:t>
                  </w:r>
                </w:p>
                <w:p w14:paraId="2D55428C">
                  <w:pPr>
                    <w:keepNext w:val="0"/>
                    <w:keepLines w:val="0"/>
                    <w:widowControl/>
                    <w:suppressLineNumbers w:val="0"/>
                    <w:jc w:val="both"/>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2）实施以二氧化碳排放强度控制为主、二氧化碳排放总量控制为辅的制度。</w:t>
                  </w:r>
                </w:p>
                <w:p w14:paraId="57410B50">
                  <w:pPr>
                    <w:keepNext w:val="0"/>
                    <w:keepLines w:val="0"/>
                    <w:widowControl/>
                    <w:suppressLineNumbers w:val="0"/>
                    <w:jc w:val="both"/>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3）控制非二氧化碳温室气体排放。</w:t>
                  </w:r>
                </w:p>
              </w:tc>
              <w:tc>
                <w:tcPr>
                  <w:tcW w:w="1041" w:type="pct"/>
                  <w:noWrap w:val="0"/>
                  <w:vAlign w:val="center"/>
                </w:tcPr>
                <w:p w14:paraId="1FADE649">
                  <w:pPr>
                    <w:keepNext w:val="0"/>
                    <w:keepLines w:val="0"/>
                    <w:widowControl/>
                    <w:suppressLineNumbers w:val="0"/>
                    <w:jc w:val="both"/>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绿色低碳发展要求：</w:t>
                  </w:r>
                </w:p>
                <w:p w14:paraId="757693BF">
                  <w:pPr>
                    <w:keepNext w:val="0"/>
                    <w:keepLines w:val="0"/>
                    <w:widowControl/>
                    <w:suppressLineNumbers w:val="0"/>
                    <w:jc w:val="both"/>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（1）本项目符合园区产业定位，为煤矸石综合利用项目。</w:t>
                  </w:r>
                </w:p>
                <w:p w14:paraId="487902D1">
                  <w:pPr>
                    <w:keepNext w:val="0"/>
                    <w:keepLines w:val="0"/>
                    <w:widowControl/>
                    <w:suppressLineNumbers w:val="0"/>
                    <w:jc w:val="both"/>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（2）本项目不涉及焦化行业。</w:t>
                  </w:r>
                </w:p>
                <w:p w14:paraId="475F0D07">
                  <w:pPr>
                    <w:keepNext w:val="0"/>
                    <w:keepLines w:val="0"/>
                    <w:widowControl/>
                    <w:suppressLineNumbers w:val="0"/>
                    <w:jc w:val="both"/>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（3）本项目不涉及重点污染物排放等量或减量置换。控排温室气体，推进碳达峰碳中和进程：</w:t>
                  </w:r>
                </w:p>
                <w:p w14:paraId="66D84395">
                  <w:pPr>
                    <w:keepNext w:val="0"/>
                    <w:keepLines w:val="0"/>
                    <w:widowControl/>
                    <w:suppressLineNumbers w:val="0"/>
                    <w:jc w:val="both"/>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1）本项目不涉及煤电、钢铁、水泥、电解铝、传统化工等行业。</w:t>
                  </w:r>
                </w:p>
                <w:p w14:paraId="09461553">
                  <w:pPr>
                    <w:keepNext w:val="0"/>
                    <w:keepLines w:val="0"/>
                    <w:widowControl/>
                    <w:suppressLineNumbers w:val="0"/>
                    <w:jc w:val="both"/>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2）本项目</w:t>
                  </w:r>
                  <w:r>
                    <w:rPr>
                      <w:rFonts w:hint="eastAsia" w:cs="Times New Roman"/>
                      <w:color w:val="000000" w:themeColor="text1"/>
                      <w:kern w:val="0"/>
                      <w:sz w:val="21"/>
                      <w:szCs w:val="21"/>
                      <w:highlight w:val="none"/>
                      <w:lang w:val="en-US" w:eastAsia="zh-CN" w:bidi="ar"/>
                      <w14:textFill>
                        <w14:solidFill>
                          <w14:schemeClr w14:val="tx1"/>
                        </w14:solidFill>
                      </w14:textFill>
                    </w:rPr>
                    <w:t>不属于重化工项目，本项目属于建材行业，不在控排温室气体范围</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w:t>
                  </w:r>
                </w:p>
                <w:p w14:paraId="7A2F218E">
                  <w:pPr>
                    <w:keepNext w:val="0"/>
                    <w:keepLines w:val="0"/>
                    <w:widowControl/>
                    <w:suppressLineNumbers w:val="0"/>
                    <w:jc w:val="both"/>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3）本项目</w:t>
                  </w:r>
                  <w:r>
                    <w:rPr>
                      <w:rFonts w:hint="eastAsia" w:cs="Times New Roman"/>
                      <w:color w:val="000000" w:themeColor="text1"/>
                      <w:kern w:val="0"/>
                      <w:sz w:val="21"/>
                      <w:szCs w:val="21"/>
                      <w:highlight w:val="none"/>
                      <w:lang w:val="en-US" w:eastAsia="zh-CN" w:bidi="ar"/>
                      <w14:textFill>
                        <w14:solidFill>
                          <w14:schemeClr w14:val="tx1"/>
                        </w14:solidFill>
                      </w14:textFill>
                    </w:rPr>
                    <w:t>所用设备属于“第一类、鼓励类－十二、建材1.悬浮沸腾煅烧熟料工艺技术的研发与应用”</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w:t>
                  </w:r>
                  <w:r>
                    <w:rPr>
                      <w:rFonts w:hint="eastAsia" w:cs="Times New Roman"/>
                      <w:color w:val="000000" w:themeColor="text1"/>
                      <w:kern w:val="0"/>
                      <w:sz w:val="21"/>
                      <w:szCs w:val="21"/>
                      <w:highlight w:val="none"/>
                      <w:lang w:val="en-US" w:eastAsia="zh-CN" w:bidi="ar"/>
                      <w14:textFill>
                        <w14:solidFill>
                          <w14:schemeClr w14:val="tx1"/>
                        </w14:solidFill>
                      </w14:textFill>
                    </w:rPr>
                    <w:t>同时燃料</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使用</w:t>
                  </w:r>
                  <w:r>
                    <w:rPr>
                      <w:rFonts w:hint="eastAsia"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脱硫除杂后的</w:t>
                  </w:r>
                  <w:r>
                    <w:rPr>
                      <w:rFonts w:hint="eastAsia" w:cs="Times New Roman"/>
                      <w:color w:val="000000" w:themeColor="text1"/>
                      <w:kern w:val="0"/>
                      <w:sz w:val="21"/>
                      <w:szCs w:val="21"/>
                      <w:highlight w:val="none"/>
                      <w:lang w:val="en-US" w:eastAsia="zh-CN" w:bidi="ar"/>
                      <w14:textFill>
                        <w14:solidFill>
                          <w14:schemeClr w14:val="tx1"/>
                        </w14:solidFill>
                      </w14:textFill>
                    </w:rPr>
                    <w:t>煤气</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，项目厂区绿化面积为</w:t>
                  </w:r>
                  <w:r>
                    <w:rPr>
                      <w:rFonts w:hint="eastAsia" w:cs="Times New Roman"/>
                      <w:color w:val="000000" w:themeColor="text1"/>
                      <w:kern w:val="0"/>
                      <w:sz w:val="21"/>
                      <w:szCs w:val="21"/>
                      <w:highlight w:val="none"/>
                      <w:lang w:val="en-US" w:eastAsia="zh-CN" w:bidi="ar"/>
                      <w14:textFill>
                        <w14:solidFill>
                          <w14:schemeClr w14:val="tx1"/>
                        </w14:solidFill>
                      </w14:textFill>
                    </w:rPr>
                    <w:t>800</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m</w:t>
                  </w:r>
                  <w:r>
                    <w:rPr>
                      <w:rFonts w:hint="default" w:ascii="Times New Roman" w:hAnsi="Times New Roman" w:eastAsia="宋体" w:cs="Times New Roman"/>
                      <w:color w:val="000000" w:themeColor="text1"/>
                      <w:kern w:val="0"/>
                      <w:sz w:val="21"/>
                      <w:szCs w:val="21"/>
                      <w:highlight w:val="none"/>
                      <w:vertAlign w:val="superscript"/>
                      <w:lang w:val="en-US" w:eastAsia="zh-CN" w:bidi="ar"/>
                      <w14:textFill>
                        <w14:solidFill>
                          <w14:schemeClr w14:val="tx1"/>
                        </w14:solidFill>
                      </w14:textFill>
                    </w:rPr>
                    <w:t>2</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，可以起到控排温室气体的作用。</w:t>
                  </w:r>
                </w:p>
              </w:tc>
            </w:tr>
            <w:tr w14:paraId="79529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 w:hRule="atLeast"/>
                <w:jc w:val="center"/>
              </w:trPr>
              <w:tc>
                <w:tcPr>
                  <w:tcW w:w="559" w:type="pct"/>
                  <w:vMerge w:val="restart"/>
                  <w:noWrap w:val="0"/>
                  <w:vAlign w:val="center"/>
                </w:tcPr>
                <w:p w14:paraId="46085BFB">
                  <w:pPr>
                    <w:keepNext w:val="0"/>
                    <w:keepLines w:val="0"/>
                    <w:widowControl/>
                    <w:suppressLineNumbers w:val="0"/>
                    <w:jc w:val="left"/>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YS1506222340001</w:t>
                  </w:r>
                </w:p>
              </w:tc>
              <w:tc>
                <w:tcPr>
                  <w:tcW w:w="553" w:type="pct"/>
                  <w:vMerge w:val="restart"/>
                  <w:noWrap w:val="0"/>
                  <w:vAlign w:val="center"/>
                </w:tcPr>
                <w:p w14:paraId="2D579E5F">
                  <w:pPr>
                    <w:keepNext w:val="0"/>
                    <w:keepLines w:val="0"/>
                    <w:widowControl/>
                    <w:suppressLineNumbers w:val="0"/>
                    <w:jc w:val="left"/>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准格尔旗城镇边界</w:t>
                  </w:r>
                </w:p>
              </w:tc>
              <w:tc>
                <w:tcPr>
                  <w:tcW w:w="485" w:type="pct"/>
                  <w:vMerge w:val="restart"/>
                  <w:noWrap w:val="0"/>
                  <w:vAlign w:val="center"/>
                </w:tcPr>
                <w:p w14:paraId="10E0CF9E">
                  <w:pPr>
                    <w:pStyle w:val="118"/>
                    <w:bidi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受体敏感重点管控区（大气环境管控分区）</w:t>
                  </w:r>
                </w:p>
              </w:tc>
              <w:tc>
                <w:tcPr>
                  <w:tcW w:w="434" w:type="pct"/>
                  <w:noWrap w:val="0"/>
                  <w:vAlign w:val="center"/>
                </w:tcPr>
                <w:p w14:paraId="2469948B">
                  <w:pPr>
                    <w:pStyle w:val="118"/>
                    <w:bidi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空间布局约束</w:t>
                  </w:r>
                </w:p>
              </w:tc>
              <w:tc>
                <w:tcPr>
                  <w:tcW w:w="1925" w:type="pct"/>
                  <w:noWrap w:val="0"/>
                  <w:vAlign w:val="center"/>
                </w:tcPr>
                <w:p w14:paraId="5017E88E">
                  <w:pPr>
                    <w:pStyle w:val="118"/>
                    <w:bidi w:val="0"/>
                    <w:jc w:val="both"/>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1.严控新建、扩建高污染、高耗水、高耗能项目。</w:t>
                  </w:r>
                </w:p>
                <w:p w14:paraId="25A62201">
                  <w:pPr>
                    <w:pStyle w:val="118"/>
                    <w:bidi w:val="0"/>
                    <w:jc w:val="both"/>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2.城市建成区禁止新建35蒸吨/小时以下燃煤锅炉。</w:t>
                  </w:r>
                </w:p>
                <w:p w14:paraId="3B37DAD0">
                  <w:pPr>
                    <w:pStyle w:val="118"/>
                    <w:bidi w:val="0"/>
                    <w:jc w:val="both"/>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3.在集中供热管网覆盖区域内，禁止新建、扩建分散燃烧煤炭、重油、渣油的供热设施。</w:t>
                  </w:r>
                </w:p>
                <w:p w14:paraId="28EFD226">
                  <w:pPr>
                    <w:pStyle w:val="118"/>
                    <w:bidi w:val="0"/>
                    <w:jc w:val="both"/>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4.禁止在居民区和学校、医院、疗养院、养老院等单位周边新建、改建、扩建可能造成土壤污染的建设项目。禁止在人口聚居区域内新（改、扩）建涉重金属及恶臭气体排放企业。</w:t>
                  </w:r>
                </w:p>
              </w:tc>
              <w:tc>
                <w:tcPr>
                  <w:tcW w:w="1041" w:type="pct"/>
                  <w:noWrap w:val="0"/>
                  <w:vAlign w:val="center"/>
                </w:tcPr>
                <w:p w14:paraId="2F82CD5B">
                  <w:pPr>
                    <w:pStyle w:val="118"/>
                    <w:bidi w:val="0"/>
                    <w:jc w:val="both"/>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1.本项目不属于高污染、高耗水、高耗能项目。</w:t>
                  </w:r>
                </w:p>
                <w:p w14:paraId="225EC445">
                  <w:pPr>
                    <w:pStyle w:val="118"/>
                    <w:bidi w:val="0"/>
                    <w:jc w:val="both"/>
                    <w:rPr>
                      <w:rFonts w:hint="eastAsia"/>
                      <w:color w:val="000000" w:themeColor="text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2.本项目</w:t>
                  </w:r>
                  <w:r>
                    <w:rPr>
                      <w:rFonts w:hint="eastAsia" w:cs="Times New Roman"/>
                      <w:color w:val="000000" w:themeColor="text1"/>
                      <w:sz w:val="21"/>
                      <w:szCs w:val="21"/>
                      <w:highlight w:val="none"/>
                      <w:lang w:val="en-US" w:eastAsia="zh-CN"/>
                      <w14:textFill>
                        <w14:solidFill>
                          <w14:schemeClr w14:val="tx1"/>
                        </w14:solidFill>
                      </w14:textFill>
                    </w:rPr>
                    <w:t>生产产生的余热回收实现对外供气</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用户提供生产用汽（附近造纸厂和化肥厂），冬季，也可以为本厂及附近工厂（高新公司、东发公司等）提供供暖需要的蒸汽。</w:t>
                  </w:r>
                </w:p>
                <w:p w14:paraId="0A583734">
                  <w:pPr>
                    <w:pStyle w:val="118"/>
                    <w:bidi w:val="0"/>
                    <w:jc w:val="both"/>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3.本项目不建设燃烧煤炭、重油、渣油的供热设施</w:t>
                  </w:r>
                  <w:r>
                    <w:rPr>
                      <w:rFonts w:hint="eastAsia" w:cs="Times New Roman"/>
                      <w:color w:val="000000" w:themeColor="text1"/>
                      <w:sz w:val="21"/>
                      <w:szCs w:val="21"/>
                      <w:highlight w:val="none"/>
                      <w:lang w:val="en-US" w:eastAsia="zh-CN"/>
                      <w14:textFill>
                        <w14:solidFill>
                          <w14:schemeClr w14:val="tx1"/>
                        </w14:solidFill>
                      </w14:textFill>
                    </w:rPr>
                    <w:t>，自建余热锅炉供热</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p w14:paraId="04C855DE">
                  <w:pPr>
                    <w:pStyle w:val="118"/>
                    <w:bidi w:val="0"/>
                    <w:jc w:val="both"/>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4.本项目建设在工业园区内。</w:t>
                  </w:r>
                </w:p>
              </w:tc>
            </w:tr>
            <w:tr w14:paraId="32065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 w:hRule="atLeast"/>
                <w:jc w:val="center"/>
              </w:trPr>
              <w:tc>
                <w:tcPr>
                  <w:tcW w:w="559" w:type="pct"/>
                  <w:vMerge w:val="continue"/>
                  <w:noWrap w:val="0"/>
                  <w:vAlign w:val="center"/>
                </w:tcPr>
                <w:p w14:paraId="169DA9EC">
                  <w:pPr>
                    <w:pStyle w:val="118"/>
                    <w:bidi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53" w:type="pct"/>
                  <w:vMerge w:val="continue"/>
                  <w:noWrap w:val="0"/>
                  <w:vAlign w:val="center"/>
                </w:tcPr>
                <w:p w14:paraId="3CCB0ACA">
                  <w:pPr>
                    <w:keepNext w:val="0"/>
                    <w:keepLines w:val="0"/>
                    <w:widowControl/>
                    <w:suppressLineNumbers w:val="0"/>
                    <w:jc w:val="left"/>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p>
              </w:tc>
              <w:tc>
                <w:tcPr>
                  <w:tcW w:w="485" w:type="pct"/>
                  <w:vMerge w:val="continue"/>
                  <w:noWrap w:val="0"/>
                  <w:vAlign w:val="center"/>
                </w:tcPr>
                <w:p w14:paraId="711058E2">
                  <w:pPr>
                    <w:pStyle w:val="118"/>
                    <w:bidi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434" w:type="pct"/>
                  <w:noWrap w:val="0"/>
                  <w:vAlign w:val="center"/>
                </w:tcPr>
                <w:p w14:paraId="609899F2">
                  <w:pPr>
                    <w:pStyle w:val="118"/>
                    <w:bidi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污染物排放管控</w:t>
                  </w:r>
                </w:p>
              </w:tc>
              <w:tc>
                <w:tcPr>
                  <w:tcW w:w="1925" w:type="pct"/>
                  <w:noWrap w:val="0"/>
                  <w:vAlign w:val="center"/>
                </w:tcPr>
                <w:p w14:paraId="232B9DCB">
                  <w:pPr>
                    <w:pStyle w:val="118"/>
                    <w:bidi w:val="0"/>
                    <w:jc w:val="both"/>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1.禁止在人口集中地区熔化或者焚烧沥青、油毡、橡胶、塑料、皮革以及其他产生有毒有害烟尘和恶臭气体的物质。</w:t>
                  </w:r>
                </w:p>
                <w:p w14:paraId="37F500F4">
                  <w:pPr>
                    <w:pStyle w:val="118"/>
                    <w:bidi w:val="0"/>
                    <w:jc w:val="both"/>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2.65蒸吨及以上燃煤锅炉要执行大气污染物特别排放限值。</w:t>
                  </w:r>
                </w:p>
                <w:p w14:paraId="56199D38">
                  <w:pPr>
                    <w:pStyle w:val="118"/>
                    <w:bidi w:val="0"/>
                    <w:jc w:val="both"/>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3.科学有序推进碳达峰碳中和。积极稳妥推进碳达峰碳中和“1+N+X”政策体系</w:t>
                  </w:r>
                </w:p>
                <w:p w14:paraId="0FF4E0D8">
                  <w:pPr>
                    <w:pStyle w:val="118"/>
                    <w:bidi w:val="0"/>
                    <w:jc w:val="both"/>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落实，推动国家出台《新时期推进内蒙古绿色低碳高质量发展若干支持意见》，在落实碳达峰碳中和目标任务过程中锻造新的产业竞争优势。推动能源、工业、建筑、</w:t>
                  </w:r>
                </w:p>
                <w:p w14:paraId="2CCFEF9B">
                  <w:pPr>
                    <w:pStyle w:val="118"/>
                    <w:bidi w:val="0"/>
                    <w:jc w:val="both"/>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交通等领域清洁低碳转型，建立健全碳排放统计核算制度，提升生态系统碳汇能力。</w:t>
                  </w:r>
                </w:p>
                <w:p w14:paraId="77A33315">
                  <w:pPr>
                    <w:pStyle w:val="118"/>
                    <w:bidi w:val="0"/>
                    <w:jc w:val="both"/>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4.推动减污降碳协同增效。加快补齐环境基础设施短板。完善大气污染物与温室气体协同控制相关政策。建立减污降碳协同治理管理工作机制，统筹碳排放权交易和排污权交易管理，建立温室气体清单报告、重点企业温室气体排放报告、重点企业排污许可执行情况报告等制度。</w:t>
                  </w:r>
                </w:p>
                <w:p w14:paraId="4932A83A">
                  <w:pPr>
                    <w:pStyle w:val="118"/>
                    <w:bidi w:val="0"/>
                    <w:jc w:val="both"/>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5.新建和改扩建冶炼项目严格落实项目备案、环境影响评价、节能审查等政策规定，符合行业规范条件、能耗限额标准先进值、清洁运输、污染物区域削减措施等要求，国家或地方已出台超低排放要求的，应满足超低排放要求，大气污染防治重点区域须同时符合重污染天气绩效分级A级、煤炭减量替代等要求。</w:t>
                  </w:r>
                </w:p>
              </w:tc>
              <w:tc>
                <w:tcPr>
                  <w:tcW w:w="1041" w:type="pct"/>
                  <w:noWrap w:val="0"/>
                  <w:vAlign w:val="center"/>
                </w:tcPr>
                <w:p w14:paraId="4C956173">
                  <w:pPr>
                    <w:pStyle w:val="118"/>
                    <w:bidi w:val="0"/>
                    <w:jc w:val="both"/>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1.本项目不涉及在人口集中地区熔化或者焚烧沥青、油毡、橡胶、塑料、皮革以及其他产生有毒有害烟尘和恶臭气体的物质。</w:t>
                  </w:r>
                </w:p>
                <w:p w14:paraId="238FD3EF">
                  <w:pPr>
                    <w:pStyle w:val="118"/>
                    <w:bidi w:val="0"/>
                    <w:jc w:val="both"/>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2.本项目不建设65蒸吨以上燃煤锅炉。</w:t>
                  </w:r>
                </w:p>
                <w:p w14:paraId="37857E45">
                  <w:pPr>
                    <w:pStyle w:val="118"/>
                    <w:bidi w:val="0"/>
                    <w:jc w:val="both"/>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3.本项目物料</w:t>
                  </w:r>
                  <w:r>
                    <w:rPr>
                      <w:rFonts w:hint="eastAsia" w:cs="Times New Roman"/>
                      <w:color w:val="000000" w:themeColor="text1"/>
                      <w:sz w:val="21"/>
                      <w:szCs w:val="21"/>
                      <w:highlight w:val="none"/>
                      <w:lang w:val="en-US" w:eastAsia="zh-CN"/>
                      <w14:textFill>
                        <w14:solidFill>
                          <w14:schemeClr w14:val="tx1"/>
                        </w14:solidFill>
                      </w14:textFill>
                    </w:rPr>
                    <w:t>煅烧</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使用燃气热风炉，使用</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脱硫除杂后的</w:t>
                  </w:r>
                  <w:r>
                    <w:rPr>
                      <w:rFonts w:hint="eastAsia" w:cs="Times New Roman"/>
                      <w:color w:val="000000" w:themeColor="text1"/>
                      <w:sz w:val="21"/>
                      <w:szCs w:val="21"/>
                      <w:highlight w:val="none"/>
                      <w:lang w:val="en-US" w:eastAsia="zh-CN"/>
                      <w14:textFill>
                        <w14:solidFill>
                          <w14:schemeClr w14:val="tx1"/>
                        </w14:solidFill>
                      </w14:textFill>
                    </w:rPr>
                    <w:t>煤气</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，排放少量二氧化碳，项目厂区绿化面积为</w:t>
                  </w:r>
                  <w:r>
                    <w:rPr>
                      <w:rFonts w:hint="eastAsia" w:cs="Times New Roman"/>
                      <w:color w:val="000000" w:themeColor="text1"/>
                      <w:sz w:val="21"/>
                      <w:szCs w:val="21"/>
                      <w:highlight w:val="none"/>
                      <w:lang w:val="en-US" w:eastAsia="zh-CN"/>
                      <w14:textFill>
                        <w14:solidFill>
                          <w14:schemeClr w14:val="tx1"/>
                        </w14:solidFill>
                      </w14:textFill>
                    </w:rPr>
                    <w:t>800</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m</w:t>
                  </w:r>
                  <w:r>
                    <w:rPr>
                      <w:rFonts w:hint="default" w:ascii="Times New Roman" w:hAnsi="Times New Roman" w:eastAsia="宋体" w:cs="Times New Roman"/>
                      <w:color w:val="000000" w:themeColor="text1"/>
                      <w:sz w:val="21"/>
                      <w:szCs w:val="21"/>
                      <w:highlight w:val="none"/>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，可以起到控排温室气体的作用。</w:t>
                  </w:r>
                </w:p>
                <w:p w14:paraId="2AD5AECB">
                  <w:pPr>
                    <w:pStyle w:val="118"/>
                    <w:bidi w:val="0"/>
                    <w:jc w:val="both"/>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4.本项目所在园区积极推动减污降碳协同增效。</w:t>
                  </w:r>
                </w:p>
                <w:p w14:paraId="7953CD69">
                  <w:pPr>
                    <w:pStyle w:val="118"/>
                    <w:bidi w:val="0"/>
                    <w:jc w:val="both"/>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5.本项目不是冶炼项目。</w:t>
                  </w:r>
                </w:p>
              </w:tc>
            </w:tr>
            <w:tr w14:paraId="543C3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 w:hRule="atLeast"/>
                <w:jc w:val="center"/>
              </w:trPr>
              <w:tc>
                <w:tcPr>
                  <w:tcW w:w="559" w:type="pct"/>
                  <w:vMerge w:val="continue"/>
                  <w:noWrap w:val="0"/>
                  <w:vAlign w:val="center"/>
                </w:tcPr>
                <w:p w14:paraId="53EF43F8">
                  <w:pPr>
                    <w:pStyle w:val="118"/>
                    <w:bidi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53" w:type="pct"/>
                  <w:vMerge w:val="continue"/>
                  <w:noWrap w:val="0"/>
                  <w:vAlign w:val="center"/>
                </w:tcPr>
                <w:p w14:paraId="07200618">
                  <w:pPr>
                    <w:keepNext w:val="0"/>
                    <w:keepLines w:val="0"/>
                    <w:widowControl/>
                    <w:suppressLineNumbers w:val="0"/>
                    <w:jc w:val="left"/>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p>
              </w:tc>
              <w:tc>
                <w:tcPr>
                  <w:tcW w:w="485" w:type="pct"/>
                  <w:vMerge w:val="continue"/>
                  <w:noWrap w:val="0"/>
                  <w:vAlign w:val="center"/>
                </w:tcPr>
                <w:p w14:paraId="5F9F9193">
                  <w:pPr>
                    <w:pStyle w:val="118"/>
                    <w:bidi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434" w:type="pct"/>
                  <w:noWrap w:val="0"/>
                  <w:vAlign w:val="center"/>
                </w:tcPr>
                <w:p w14:paraId="73BAC1A2">
                  <w:pPr>
                    <w:pStyle w:val="118"/>
                    <w:bidi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资</w:t>
                  </w:r>
                </w:p>
                <w:p w14:paraId="4793F0FB">
                  <w:pPr>
                    <w:pStyle w:val="118"/>
                    <w:bidi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源开发效率</w:t>
                  </w:r>
                </w:p>
              </w:tc>
              <w:tc>
                <w:tcPr>
                  <w:tcW w:w="1925" w:type="pct"/>
                  <w:noWrap w:val="0"/>
                  <w:vAlign w:val="center"/>
                </w:tcPr>
                <w:p w14:paraId="28F7D961">
                  <w:pPr>
                    <w:pStyle w:val="118"/>
                    <w:bidi w:val="0"/>
                    <w:jc w:val="both"/>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碳达峰碳中和要求：科学有序推进碳达峰碳中和。积极稳妥推进碳达峰碳中和“9+N+X”政策体系落实，推动国家出台《新时期推进内蒙古绿色低碳高质量发展若干支持意见》，在落实碳达峰碳中和目标任务过程中锻造新的产业竞争优势。推动能源、工业、建筑、交通等领域清洁低碳转型，建立健全碳排放统计核算制度，提升生态系统碳汇能力。推动减污降碳协同增效。加快补齐环境基础设施短板。完善大气污染物与温室气体协同控制相关政策。建立减污降碳协同治理管理工作机制，统筹碳排放权交易和排污权交易管理，建立温室气体清单报告、重点企业温室气体排放报告、重点企业排污许可执行情况报告等制度。新建和改扩建冶炼项目严格落实项目备案、环境影响评价、节能审查等政策规定，符合行业规范条件、能耗限额标准先进值、清洁运输、污染物区域削减措施等要求，国家或地方已出台超低排放要求的，应满足超低排放要求，大气污染防治重点区域须同时符合重污染天气绩效分级A级、煤炭减量替代等要求</w:t>
                  </w:r>
                </w:p>
              </w:tc>
              <w:tc>
                <w:tcPr>
                  <w:tcW w:w="1041" w:type="pct"/>
                  <w:noWrap w:val="0"/>
                  <w:vAlign w:val="center"/>
                </w:tcPr>
                <w:p w14:paraId="4DA2D2DE">
                  <w:pPr>
                    <w:pStyle w:val="103"/>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本项目为新建项目，属于无机非金属材料产业，</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属于无机非金属材料产业链项目，本项目热源使用</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脱硫除杂后的</w:t>
                  </w:r>
                  <w:r>
                    <w:rPr>
                      <w:rFonts w:hint="eastAsia" w:cs="Times New Roman"/>
                      <w:color w:val="000000" w:themeColor="text1"/>
                      <w:sz w:val="21"/>
                      <w:szCs w:val="21"/>
                      <w:highlight w:val="none"/>
                      <w:lang w:val="en-US" w:eastAsia="zh-CN"/>
                      <w14:textFill>
                        <w14:solidFill>
                          <w14:schemeClr w14:val="tx1"/>
                        </w14:solidFill>
                      </w14:textFill>
                    </w:rPr>
                    <w:t>煤气</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，排放少量二氧化碳，项目厂区绿化面积为</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800</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m</w:t>
                  </w:r>
                  <w:r>
                    <w:rPr>
                      <w:rFonts w:hint="default" w:ascii="Times New Roman" w:hAnsi="Times New Roman" w:eastAsia="宋体" w:cs="Times New Roman"/>
                      <w:color w:val="000000" w:themeColor="text1"/>
                      <w:sz w:val="21"/>
                      <w:szCs w:val="21"/>
                      <w:highlight w:val="none"/>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，可以起到控排温室气体的作用。</w:t>
                  </w:r>
                </w:p>
              </w:tc>
            </w:tr>
            <w:tr w14:paraId="42ABF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 w:hRule="atLeast"/>
                <w:jc w:val="center"/>
              </w:trPr>
              <w:tc>
                <w:tcPr>
                  <w:tcW w:w="559" w:type="pct"/>
                  <w:vMerge w:val="restart"/>
                  <w:noWrap w:val="0"/>
                  <w:vAlign w:val="center"/>
                </w:tcPr>
                <w:p w14:paraId="3EE1C14B">
                  <w:pPr>
                    <w:keepNext w:val="0"/>
                    <w:keepLines w:val="0"/>
                    <w:widowControl/>
                    <w:suppressLineNumbers w:val="0"/>
                    <w:jc w:val="left"/>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YS1506222530010</w:t>
                  </w:r>
                </w:p>
              </w:tc>
              <w:tc>
                <w:tcPr>
                  <w:tcW w:w="553" w:type="pct"/>
                  <w:vMerge w:val="restart"/>
                  <w:noWrap w:val="0"/>
                  <w:vAlign w:val="center"/>
                </w:tcPr>
                <w:p w14:paraId="4E3C7EB5">
                  <w:pPr>
                    <w:keepNext w:val="0"/>
                    <w:keepLines w:val="0"/>
                    <w:widowControl/>
                    <w:suppressLineNumbers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内蒙古准格尔经济</w:t>
                  </w:r>
                </w:p>
                <w:p w14:paraId="6CB21A8A">
                  <w:pPr>
                    <w:keepNext w:val="0"/>
                    <w:keepLines w:val="0"/>
                    <w:widowControl/>
                    <w:suppressLineNumbers w:val="0"/>
                    <w:jc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开发区</w:t>
                  </w:r>
                </w:p>
              </w:tc>
              <w:tc>
                <w:tcPr>
                  <w:tcW w:w="485" w:type="pct"/>
                  <w:vMerge w:val="restart"/>
                  <w:noWrap w:val="0"/>
                  <w:vAlign w:val="center"/>
                </w:tcPr>
                <w:p w14:paraId="0480A79C">
                  <w:pPr>
                    <w:keepNext w:val="0"/>
                    <w:keepLines w:val="0"/>
                    <w:widowControl/>
                    <w:suppressLineNumbers w:val="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土地</w:t>
                  </w:r>
                </w:p>
                <w:p w14:paraId="30952D51">
                  <w:pPr>
                    <w:keepNext w:val="0"/>
                    <w:keepLines w:val="0"/>
                    <w:widowControl/>
                    <w:suppressLineNumbers w:val="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资源</w:t>
                  </w:r>
                </w:p>
                <w:p w14:paraId="56444EC2">
                  <w:pPr>
                    <w:keepNext w:val="0"/>
                    <w:keepLines w:val="0"/>
                    <w:widowControl/>
                    <w:suppressLineNumbers w:val="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重点</w:t>
                  </w:r>
                </w:p>
                <w:p w14:paraId="7E783BAC">
                  <w:pPr>
                    <w:keepNext w:val="0"/>
                    <w:keepLines w:val="0"/>
                    <w:widowControl/>
                    <w:suppressLineNumbers w:val="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管控</w:t>
                  </w:r>
                </w:p>
                <w:p w14:paraId="34DEBC24">
                  <w:pPr>
                    <w:keepNext w:val="0"/>
                    <w:keepLines w:val="0"/>
                    <w:widowControl/>
                    <w:suppressLineNumbers w:val="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区（自</w:t>
                  </w:r>
                </w:p>
                <w:p w14:paraId="456304C2">
                  <w:pPr>
                    <w:keepNext w:val="0"/>
                    <w:keepLines w:val="0"/>
                    <w:widowControl/>
                    <w:suppressLineNumbers w:val="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然资</w:t>
                  </w:r>
                </w:p>
                <w:p w14:paraId="14A963DB">
                  <w:pPr>
                    <w:keepNext w:val="0"/>
                    <w:keepLines w:val="0"/>
                    <w:widowControl/>
                    <w:suppressLineNumbers w:val="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源管</w:t>
                  </w:r>
                </w:p>
                <w:p w14:paraId="18F34F85">
                  <w:pPr>
                    <w:keepNext w:val="0"/>
                    <w:keepLines w:val="0"/>
                    <w:widowControl/>
                    <w:suppressLineNumbers w:val="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控分</w:t>
                  </w:r>
                </w:p>
                <w:p w14:paraId="6E2E1A95">
                  <w:pPr>
                    <w:keepNext w:val="0"/>
                    <w:keepLines w:val="0"/>
                    <w:widowControl/>
                    <w:suppressLineNumbers w:val="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区）</w:t>
                  </w:r>
                </w:p>
                <w:p w14:paraId="73DDFA84">
                  <w:pPr>
                    <w:pStyle w:val="118"/>
                    <w:bidi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434" w:type="pct"/>
                  <w:noWrap w:val="0"/>
                  <w:vAlign w:val="center"/>
                </w:tcPr>
                <w:p w14:paraId="3D61B546">
                  <w:pPr>
                    <w:pStyle w:val="118"/>
                    <w:bidi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空间布局约束</w:t>
                  </w:r>
                </w:p>
              </w:tc>
              <w:tc>
                <w:tcPr>
                  <w:tcW w:w="1925" w:type="pct"/>
                  <w:noWrap w:val="0"/>
                  <w:vAlign w:val="center"/>
                </w:tcPr>
                <w:p w14:paraId="3F4CAADA">
                  <w:pPr>
                    <w:pStyle w:val="118"/>
                    <w:bidi w:val="0"/>
                    <w:jc w:val="both"/>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1.严格控制煤电、煤化工、电石等产业发展规模。按照“东重西轻”原则，优化产业布局。</w:t>
                  </w:r>
                </w:p>
                <w:p w14:paraId="263C02A3">
                  <w:pPr>
                    <w:pStyle w:val="118"/>
                    <w:bidi w:val="0"/>
                    <w:jc w:val="both"/>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2.居住用地周边严控布局潜在污染扰民和环境风险</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突出</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城市规划的居住用地保持足够的缓冲距离。</w:t>
                  </w:r>
                </w:p>
                <w:p w14:paraId="428DE1E0">
                  <w:pPr>
                    <w:pStyle w:val="118"/>
                    <w:bidi w:val="0"/>
                    <w:jc w:val="both"/>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3.禁止在黄河干支流岸线管控范围内（黄河干流鄂尔多斯段和本市行政区域内黄河支流）新建、扩建化工园区和化工项目。</w:t>
                  </w:r>
                </w:p>
                <w:p w14:paraId="62062CA4">
                  <w:pPr>
                    <w:pStyle w:val="118"/>
                    <w:bidi w:val="0"/>
                    <w:jc w:val="both"/>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4.劳动密集型的非化工企业不得与化工企业混建在同一园区内。</w:t>
                  </w:r>
                </w:p>
              </w:tc>
              <w:tc>
                <w:tcPr>
                  <w:tcW w:w="1041" w:type="pct"/>
                  <w:noWrap w:val="0"/>
                  <w:vAlign w:val="center"/>
                </w:tcPr>
                <w:p w14:paraId="79EDFDF7">
                  <w:pPr>
                    <w:pStyle w:val="118"/>
                    <w:bidi w:val="0"/>
                    <w:jc w:val="both"/>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1.本</w:t>
                  </w:r>
                  <w:r>
                    <w:rPr>
                      <w:rFonts w:hint="eastAsia" w:cs="Times New Roman"/>
                      <w:color w:val="000000" w:themeColor="text1"/>
                      <w:sz w:val="21"/>
                      <w:szCs w:val="21"/>
                      <w:highlight w:val="none"/>
                      <w:lang w:val="en-US" w:eastAsia="zh-CN"/>
                      <w14:textFill>
                        <w14:solidFill>
                          <w14:schemeClr w14:val="tx1"/>
                        </w14:solidFill>
                      </w14:textFill>
                    </w:rPr>
                    <w:t>项目不属于所列产业</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p w14:paraId="6A192406">
                  <w:pPr>
                    <w:pStyle w:val="118"/>
                    <w:bidi w:val="0"/>
                    <w:jc w:val="both"/>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2.本项目建设位于工业园区内，厂界外500m范围内没有长期居住的居民。</w:t>
                  </w:r>
                </w:p>
                <w:p w14:paraId="27F89A32">
                  <w:pPr>
                    <w:pStyle w:val="118"/>
                    <w:bidi w:val="0"/>
                    <w:jc w:val="both"/>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3.本项目所在园区已取得规划环评审查意见。</w:t>
                  </w:r>
                </w:p>
                <w:p w14:paraId="3702A97F">
                  <w:pPr>
                    <w:pStyle w:val="118"/>
                    <w:bidi w:val="0"/>
                    <w:jc w:val="both"/>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4.本项目所在园区为已建成</w:t>
                  </w:r>
                  <w:r>
                    <w:rPr>
                      <w:rFonts w:hint="eastAsia" w:cs="Times New Roman"/>
                      <w:color w:val="000000" w:themeColor="text1"/>
                      <w:sz w:val="21"/>
                      <w:szCs w:val="21"/>
                      <w:highlight w:val="none"/>
                      <w:lang w:val="en-US" w:eastAsia="zh-CN"/>
                      <w14:textFill>
                        <w14:solidFill>
                          <w14:schemeClr w14:val="tx1"/>
                        </w14:solidFill>
                      </w14:textFill>
                    </w:rPr>
                    <w:t>非金属材料产业</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园区。</w:t>
                  </w:r>
                </w:p>
                <w:p w14:paraId="5562122B">
                  <w:pPr>
                    <w:pStyle w:val="118"/>
                    <w:bidi w:val="0"/>
                    <w:jc w:val="both"/>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本项目符合园区规划定位，不涉及劳动密集型的非化工企业与化工企业混建问题。</w:t>
                  </w:r>
                </w:p>
              </w:tc>
            </w:tr>
            <w:tr w14:paraId="573C9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 w:hRule="atLeast"/>
                <w:jc w:val="center"/>
              </w:trPr>
              <w:tc>
                <w:tcPr>
                  <w:tcW w:w="559" w:type="pct"/>
                  <w:vMerge w:val="continue"/>
                  <w:noWrap w:val="0"/>
                  <w:vAlign w:val="center"/>
                </w:tcPr>
                <w:p w14:paraId="1EF6B03F">
                  <w:pPr>
                    <w:pStyle w:val="118"/>
                    <w:bidi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53" w:type="pct"/>
                  <w:vMerge w:val="continue"/>
                  <w:noWrap w:val="0"/>
                  <w:vAlign w:val="center"/>
                </w:tcPr>
                <w:p w14:paraId="05F23438">
                  <w:pPr>
                    <w:keepNext w:val="0"/>
                    <w:keepLines w:val="0"/>
                    <w:widowControl/>
                    <w:suppressLineNumbers w:val="0"/>
                    <w:jc w:val="left"/>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p>
              </w:tc>
              <w:tc>
                <w:tcPr>
                  <w:tcW w:w="485" w:type="pct"/>
                  <w:vMerge w:val="continue"/>
                  <w:noWrap w:val="0"/>
                  <w:vAlign w:val="center"/>
                </w:tcPr>
                <w:p w14:paraId="4DDC59A1">
                  <w:pPr>
                    <w:pStyle w:val="118"/>
                    <w:bidi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434" w:type="pct"/>
                  <w:noWrap w:val="0"/>
                  <w:vAlign w:val="center"/>
                </w:tcPr>
                <w:p w14:paraId="3DB75EE4">
                  <w:pPr>
                    <w:pStyle w:val="118"/>
                    <w:bidi w:val="0"/>
                    <w:ind w:firstLine="0" w:firstLine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污染物排放管控</w:t>
                  </w:r>
                </w:p>
              </w:tc>
              <w:tc>
                <w:tcPr>
                  <w:tcW w:w="1925" w:type="pct"/>
                  <w:noWrap w:val="0"/>
                  <w:vAlign w:val="center"/>
                </w:tcPr>
                <w:p w14:paraId="1AC50C6D">
                  <w:pPr>
                    <w:pStyle w:val="118"/>
                    <w:bidi w:val="0"/>
                    <w:jc w:val="both"/>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1.化工等重点行业及65蒸吨/小时及以上燃煤锅炉的现役企业和新建项目一律执行大气污染物特别排放限值。严控颗粒物无组织排放。</w:t>
                  </w:r>
                </w:p>
                <w:p w14:paraId="6DF4BD27">
                  <w:pPr>
                    <w:pStyle w:val="118"/>
                    <w:bidi w:val="0"/>
                    <w:jc w:val="both"/>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重点行业粉状物料堆场实现全封闭，块状物料安装抑尘设施。推进特征污染物治理，化工等企业应建设有毒及恶臭气体收集、处理和应急处置设施。</w:t>
                  </w:r>
                </w:p>
                <w:p w14:paraId="2448CCB0">
                  <w:pPr>
                    <w:pStyle w:val="118"/>
                    <w:bidi w:val="0"/>
                    <w:jc w:val="both"/>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2.推进高含盐水“零排放”，稳定运行高盐水深度处理和分盐结晶设施，完善配套设施、优化工艺技术，确保高盐水全部结晶处理，严禁排入晾晒池。加快现有晾晒池取缔或转变功能，禁止新建晾晒池、蒸发塘。</w:t>
                  </w:r>
                </w:p>
                <w:p w14:paraId="7B502588">
                  <w:pPr>
                    <w:pStyle w:val="118"/>
                    <w:bidi w:val="0"/>
                    <w:jc w:val="both"/>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3.园区应自建污水处理厂，污水应收尽收，确保中水综合利用。</w:t>
                  </w:r>
                </w:p>
                <w:p w14:paraId="3EAFF737">
                  <w:pPr>
                    <w:pStyle w:val="118"/>
                    <w:bidi w:val="0"/>
                    <w:jc w:val="both"/>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4.采用集中供热或因地制宜利用清洁能源实现供热，禁止新建35蒸吨以下燃煤锅炉。</w:t>
                  </w:r>
                </w:p>
                <w:p w14:paraId="6D3842D5">
                  <w:pPr>
                    <w:pStyle w:val="118"/>
                    <w:bidi w:val="0"/>
                    <w:jc w:val="both"/>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5.优化固废危废处置方式，积极寻求高铝粉煤灰、结晶盐等集中处置和资源化利用途径。</w:t>
                  </w:r>
                </w:p>
                <w:p w14:paraId="706CABB1">
                  <w:pPr>
                    <w:pStyle w:val="118"/>
                    <w:bidi w:val="0"/>
                    <w:ind w:firstLine="0" w:firstLineChars="0"/>
                    <w:jc w:val="both"/>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6.工业园区污水应收尽收、全部回用；矿井水、中水回用率达到90%以上。实施石油石化、化工等高耗水企业废水深度处理回用工程。强化焦化废水深度处理，区域内焦化废水必须全收集、全处理、全回用。</w:t>
                  </w:r>
                </w:p>
              </w:tc>
              <w:tc>
                <w:tcPr>
                  <w:tcW w:w="1041" w:type="pct"/>
                  <w:noWrap w:val="0"/>
                  <w:vAlign w:val="center"/>
                </w:tcPr>
                <w:p w14:paraId="2D194252">
                  <w:pPr>
                    <w:pStyle w:val="118"/>
                    <w:bidi w:val="0"/>
                    <w:jc w:val="both"/>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1.本项目不涉及燃煤锅炉，新建</w:t>
                  </w:r>
                  <w:r>
                    <w:rPr>
                      <w:rFonts w:hint="eastAsia" w:cs="Times New Roman"/>
                      <w:color w:val="000000" w:themeColor="text1"/>
                      <w:sz w:val="21"/>
                      <w:szCs w:val="21"/>
                      <w:highlight w:val="none"/>
                      <w:lang w:val="en-US" w:eastAsia="zh-CN"/>
                      <w14:textFill>
                        <w14:solidFill>
                          <w14:schemeClr w14:val="tx1"/>
                        </w14:solidFill>
                      </w14:textFill>
                    </w:rPr>
                    <w:t>回转窑</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煅烧废气中SO</w:t>
                  </w:r>
                  <w:r>
                    <w:rPr>
                      <w:rFonts w:hint="eastAsia" w:ascii="Times New Roman" w:hAnsi="Times New Roman" w:eastAsia="宋体" w:cs="Times New Roman"/>
                      <w:color w:val="000000" w:themeColor="text1"/>
                      <w:sz w:val="21"/>
                      <w:szCs w:val="21"/>
                      <w:highlight w:val="none"/>
                      <w:vertAlign w:val="subscript"/>
                      <w:lang w:val="en-US" w:eastAsia="zh-CN"/>
                      <w14:textFill>
                        <w14:solidFill>
                          <w14:schemeClr w14:val="tx1"/>
                        </w14:solidFill>
                      </w14:textFill>
                    </w:rPr>
                    <w:t>2</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、NO</w:t>
                  </w:r>
                  <w:r>
                    <w:rPr>
                      <w:rFonts w:hint="eastAsia" w:ascii="Times New Roman" w:hAnsi="Times New Roman" w:eastAsia="宋体" w:cs="Times New Roman"/>
                      <w:color w:val="000000" w:themeColor="text1"/>
                      <w:sz w:val="21"/>
                      <w:szCs w:val="21"/>
                      <w:highlight w:val="none"/>
                      <w:vertAlign w:val="subscript"/>
                      <w:lang w:val="en-US" w:eastAsia="zh-CN"/>
                      <w14:textFill>
                        <w14:solidFill>
                          <w14:schemeClr w14:val="tx1"/>
                        </w14:solidFill>
                      </w14:textFill>
                    </w:rPr>
                    <w:t>X、</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颗粒物</w:t>
                  </w:r>
                  <w:r>
                    <w:rPr>
                      <w:rFonts w:hint="eastAsia" w:cs="Times New Roman"/>
                      <w:color w:val="000000" w:themeColor="text1"/>
                      <w:sz w:val="21"/>
                      <w:szCs w:val="21"/>
                      <w:highlight w:val="none"/>
                      <w:lang w:val="en-US" w:eastAsia="zh-CN"/>
                      <w14:textFill>
                        <w14:solidFill>
                          <w14:schemeClr w14:val="tx1"/>
                        </w14:solidFill>
                      </w14:textFill>
                    </w:rPr>
                    <w:t>等</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执行</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《耐火材料工业大气污染物排放标准》（GB46790—2025）</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表1</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大气污染物排放限值。本项目粉状物料堆场实现全封闭。</w:t>
                  </w:r>
                </w:p>
                <w:p w14:paraId="47A6E4A4">
                  <w:pPr>
                    <w:pStyle w:val="118"/>
                    <w:bidi w:val="0"/>
                    <w:jc w:val="both"/>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2.本项目</w:t>
                  </w:r>
                  <w:r>
                    <w:rPr>
                      <w:rFonts w:hint="eastAsia" w:cs="Times New Roman"/>
                      <w:color w:val="000000" w:themeColor="text1"/>
                      <w:sz w:val="21"/>
                      <w:szCs w:val="21"/>
                      <w:highlight w:val="none"/>
                      <w:lang w:val="en-US" w:eastAsia="zh-CN"/>
                      <w14:textFill>
                        <w14:solidFill>
                          <w14:schemeClr w14:val="tx1"/>
                        </w14:solidFill>
                      </w14:textFill>
                    </w:rPr>
                    <w:t>脱硫废水</w:t>
                  </w:r>
                  <w:r>
                    <w:rPr>
                      <w:rFonts w:hint="default" w:ascii="宋体" w:hAnsi="宋体" w:eastAsia="宋体" w:cs="宋体"/>
                      <w:color w:val="000000" w:themeColor="text1"/>
                      <w:kern w:val="0"/>
                      <w:sz w:val="21"/>
                      <w:szCs w:val="21"/>
                      <w:highlight w:val="none"/>
                      <w:lang w:val="en-US" w:eastAsia="zh-CN" w:bidi="ar"/>
                      <w14:textFill>
                        <w14:solidFill>
                          <w14:schemeClr w14:val="tx1"/>
                        </w14:solidFill>
                      </w14:textFill>
                    </w:rPr>
                    <w:t>经三联箱装置处理后</w:t>
                  </w:r>
                  <w:r>
                    <w:rPr>
                      <w:rFonts w:hint="eastAsia" w:ascii="宋体" w:hAnsi="宋体" w:cs="宋体"/>
                      <w:color w:val="000000" w:themeColor="text1"/>
                      <w:kern w:val="0"/>
                      <w:sz w:val="21"/>
                      <w:szCs w:val="21"/>
                      <w:highlight w:val="none"/>
                      <w:lang w:val="en-US" w:eastAsia="zh-CN" w:bidi="ar"/>
                      <w14:textFill>
                        <w14:solidFill>
                          <w14:schemeClr w14:val="tx1"/>
                        </w14:solidFill>
                      </w14:textFill>
                    </w:rPr>
                    <w:t>的</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脱</w:t>
                  </w:r>
                  <w:r>
                    <w:rPr>
                      <w:rFonts w:hint="default" w:ascii="宋体" w:hAnsi="宋体" w:eastAsia="宋体" w:cs="宋体"/>
                      <w:color w:val="000000" w:themeColor="text1"/>
                      <w:kern w:val="0"/>
                      <w:sz w:val="21"/>
                      <w:szCs w:val="21"/>
                      <w:highlight w:val="none"/>
                      <w:lang w:val="en-US" w:eastAsia="zh-CN" w:bidi="ar"/>
                      <w14:textFill>
                        <w14:solidFill>
                          <w14:schemeClr w14:val="tx1"/>
                        </w14:solidFill>
                      </w14:textFill>
                    </w:rPr>
                    <w:t>硫废水</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回用于脱硫浆液制备用水；</w:t>
                  </w:r>
                  <w:r>
                    <w:rPr>
                      <w:rFonts w:hint="default" w:ascii="宋体" w:hAnsi="宋体" w:eastAsia="宋体" w:cs="宋体"/>
                      <w:color w:val="000000" w:themeColor="text1"/>
                      <w:kern w:val="0"/>
                      <w:sz w:val="21"/>
                      <w:szCs w:val="21"/>
                      <w:highlight w:val="none"/>
                      <w:lang w:val="en-US" w:eastAsia="zh-CN" w:bidi="ar"/>
                      <w14:textFill>
                        <w14:solidFill>
                          <w14:schemeClr w14:val="tx1"/>
                        </w14:solidFill>
                      </w14:textFill>
                    </w:rPr>
                    <w:t>软水排水、锅炉排水</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罐车拉运</w:t>
                  </w:r>
                  <w:r>
                    <w:rPr>
                      <w:rFonts w:hint="default" w:ascii="宋体" w:hAnsi="宋体" w:eastAsia="宋体" w:cs="宋体"/>
                      <w:color w:val="000000" w:themeColor="text1"/>
                      <w:kern w:val="0"/>
                      <w:sz w:val="21"/>
                      <w:szCs w:val="21"/>
                      <w:highlight w:val="none"/>
                      <w:lang w:val="en-US" w:eastAsia="zh-CN" w:bidi="ar"/>
                      <w14:textFill>
                        <w14:solidFill>
                          <w14:schemeClr w14:val="tx1"/>
                        </w14:solidFill>
                      </w14:textFill>
                    </w:rPr>
                    <w:t>至园区生产废水处理厂处理</w:t>
                  </w:r>
                  <w:r>
                    <w:rPr>
                      <w:rFonts w:hint="eastAsia" w:cs="Times New Roman"/>
                      <w:color w:val="000000" w:themeColor="text1"/>
                      <w:sz w:val="21"/>
                      <w:szCs w:val="21"/>
                      <w:highlight w:val="none"/>
                      <w:lang w:val="en-US" w:eastAsia="zh-CN"/>
                      <w14:textFill>
                        <w14:solidFill>
                          <w14:schemeClr w14:val="tx1"/>
                        </w14:solidFill>
                      </w14:textFill>
                    </w:rPr>
                    <w:t>通过</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罐车拉运</w:t>
                  </w:r>
                  <w:r>
                    <w:rPr>
                      <w:rFonts w:hint="default" w:ascii="宋体" w:hAnsi="宋体" w:eastAsia="宋体" w:cs="宋体"/>
                      <w:color w:val="000000" w:themeColor="text1"/>
                      <w:kern w:val="0"/>
                      <w:sz w:val="21"/>
                      <w:szCs w:val="21"/>
                      <w:highlight w:val="none"/>
                      <w:lang w:val="en-US" w:eastAsia="zh-CN" w:bidi="ar"/>
                      <w14:textFill>
                        <w14:solidFill>
                          <w14:schemeClr w14:val="tx1"/>
                        </w14:solidFill>
                      </w14:textFill>
                    </w:rPr>
                    <w:t>至园区生产废水处理厂处理</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，不涉及高含盐水排放。</w:t>
                  </w:r>
                </w:p>
                <w:p w14:paraId="69207B6A">
                  <w:pPr>
                    <w:pStyle w:val="118"/>
                    <w:bidi w:val="0"/>
                    <w:jc w:val="both"/>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3.本项目所在园区建有污水处理厂。</w:t>
                  </w:r>
                </w:p>
                <w:p w14:paraId="29194023">
                  <w:pPr>
                    <w:pStyle w:val="118"/>
                    <w:bidi w:val="0"/>
                    <w:jc w:val="both"/>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4.本项目采用集中供热。</w:t>
                  </w:r>
                </w:p>
                <w:p w14:paraId="3984FDA5">
                  <w:pPr>
                    <w:pStyle w:val="118"/>
                    <w:bidi w:val="0"/>
                    <w:jc w:val="both"/>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5.本项目为固废综合利用项目。</w:t>
                  </w:r>
                </w:p>
                <w:p w14:paraId="7B4FF324">
                  <w:pPr>
                    <w:pStyle w:val="118"/>
                    <w:bidi w:val="0"/>
                    <w:jc w:val="both"/>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6.本项目所在园区污水应收尽收，全部回用。</w:t>
                  </w:r>
                </w:p>
              </w:tc>
            </w:tr>
            <w:tr w14:paraId="2B581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 w:hRule="atLeast"/>
                <w:jc w:val="center"/>
              </w:trPr>
              <w:tc>
                <w:tcPr>
                  <w:tcW w:w="559" w:type="pct"/>
                  <w:vMerge w:val="restart"/>
                  <w:noWrap w:val="0"/>
                  <w:vAlign w:val="center"/>
                </w:tcPr>
                <w:p w14:paraId="7B50773C">
                  <w:pPr>
                    <w:pStyle w:val="118"/>
                    <w:bidi w:val="0"/>
                    <w:jc w:val="cente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ZH15062</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highlight w:val="none"/>
                      <w14:textFill>
                        <w14:solidFill>
                          <w14:schemeClr w14:val="tx1"/>
                        </w14:solidFill>
                      </w14:textFill>
                    </w:rPr>
                    <w:t>2000</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3</w:t>
                  </w:r>
                </w:p>
              </w:tc>
              <w:tc>
                <w:tcPr>
                  <w:tcW w:w="553" w:type="pct"/>
                  <w:vMerge w:val="restart"/>
                  <w:noWrap w:val="0"/>
                  <w:vAlign w:val="center"/>
                </w:tcPr>
                <w:p w14:paraId="4E4AF9A4">
                  <w:pPr>
                    <w:keepNext w:val="0"/>
                    <w:keepLines w:val="0"/>
                    <w:widowControl/>
                    <w:suppressLineNumbers w:val="0"/>
                    <w:jc w:val="left"/>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内蒙古准格尔经济开发区</w:t>
                  </w:r>
                </w:p>
              </w:tc>
              <w:tc>
                <w:tcPr>
                  <w:tcW w:w="485" w:type="pct"/>
                  <w:vMerge w:val="restart"/>
                  <w:noWrap w:val="0"/>
                  <w:vAlign w:val="center"/>
                </w:tcPr>
                <w:p w14:paraId="59A6D762">
                  <w:pPr>
                    <w:pStyle w:val="118"/>
                    <w:bidi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重点管控单元</w:t>
                  </w:r>
                </w:p>
              </w:tc>
              <w:tc>
                <w:tcPr>
                  <w:tcW w:w="434" w:type="pct"/>
                  <w:noWrap w:val="0"/>
                  <w:vAlign w:val="center"/>
                </w:tcPr>
                <w:p w14:paraId="4F915632">
                  <w:pPr>
                    <w:pStyle w:val="118"/>
                    <w:bidi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空间布局约束</w:t>
                  </w:r>
                </w:p>
              </w:tc>
              <w:tc>
                <w:tcPr>
                  <w:tcW w:w="1925" w:type="pct"/>
                  <w:noWrap w:val="0"/>
                  <w:vAlign w:val="center"/>
                </w:tcPr>
                <w:p w14:paraId="1BCE7D60">
                  <w:pPr>
                    <w:pStyle w:val="118"/>
                    <w:bidi w:val="0"/>
                    <w:jc w:val="both"/>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1.严格控制煤电、煤化工、电石等产业发展规模。按照“东重西轻”原则，优化产业布局。</w:t>
                  </w:r>
                </w:p>
                <w:p w14:paraId="2C5F10FD">
                  <w:pPr>
                    <w:pStyle w:val="118"/>
                    <w:bidi w:val="0"/>
                    <w:jc w:val="both"/>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2.居住用地周边严控布局潜在污染扰民和环境风险</w:t>
                  </w:r>
                </w:p>
                <w:p w14:paraId="06D018E7">
                  <w:pPr>
                    <w:pStyle w:val="118"/>
                    <w:bidi w:val="0"/>
                    <w:jc w:val="both"/>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突出的建设项目</w:t>
                  </w:r>
                  <w:r>
                    <w:rPr>
                      <w:rFonts w:hint="eastAsia"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新（改、扩）建化工项目必须与居</w:t>
                  </w:r>
                </w:p>
                <w:p w14:paraId="07DE62A3">
                  <w:pPr>
                    <w:pStyle w:val="118"/>
                    <w:bidi w:val="0"/>
                    <w:jc w:val="both"/>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民区或城市规划的居住用地保持足够的缓冲距离。</w:t>
                  </w:r>
                </w:p>
                <w:p w14:paraId="428C724E">
                  <w:pPr>
                    <w:pStyle w:val="118"/>
                    <w:bidi w:val="0"/>
                    <w:jc w:val="both"/>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3.禁止在黄河干支流岸线管控范围内（黄河干流鄂尔多斯段和本市行政区域内黄河支流）新建、扩建化工园区和化工项目。</w:t>
                  </w:r>
                </w:p>
              </w:tc>
              <w:tc>
                <w:tcPr>
                  <w:tcW w:w="1041" w:type="pct"/>
                  <w:noWrap w:val="0"/>
                  <w:vAlign w:val="center"/>
                </w:tcPr>
                <w:p w14:paraId="21C3837F">
                  <w:pPr>
                    <w:pStyle w:val="118"/>
                    <w:bidi w:val="0"/>
                    <w:jc w:val="both"/>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1.</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本项目</w:t>
                  </w:r>
                  <w:r>
                    <w:rPr>
                      <w:rFonts w:hint="eastAsia" w:cs="Times New Roman"/>
                      <w:color w:val="000000" w:themeColor="text1"/>
                      <w:sz w:val="21"/>
                      <w:szCs w:val="21"/>
                      <w:highlight w:val="none"/>
                      <w:lang w:val="en-US" w:eastAsia="zh-CN"/>
                      <w14:textFill>
                        <w14:solidFill>
                          <w14:schemeClr w14:val="tx1"/>
                        </w14:solidFill>
                      </w14:textFill>
                    </w:rPr>
                    <w:t>不属于所列范围</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。本项目已取得项目备案文件。</w:t>
                  </w:r>
                </w:p>
                <w:p w14:paraId="5352B099">
                  <w:pPr>
                    <w:pStyle w:val="118"/>
                    <w:bidi w:val="0"/>
                    <w:jc w:val="both"/>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3.</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本项目周边500m范围内没有长期居住人群。</w:t>
                  </w:r>
                </w:p>
                <w:p w14:paraId="068F936C">
                  <w:pPr>
                    <w:pStyle w:val="118"/>
                    <w:bidi w:val="0"/>
                    <w:jc w:val="both"/>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4.</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本项目所在园区为已建成</w:t>
                  </w:r>
                  <w:r>
                    <w:rPr>
                      <w:rFonts w:hint="eastAsia" w:cs="Times New Roman"/>
                      <w:color w:val="000000" w:themeColor="text1"/>
                      <w:sz w:val="21"/>
                      <w:szCs w:val="21"/>
                      <w:highlight w:val="none"/>
                      <w:lang w:val="en-US" w:eastAsia="zh-CN"/>
                      <w14:textFill>
                        <w14:solidFill>
                          <w14:schemeClr w14:val="tx1"/>
                        </w14:solidFill>
                      </w14:textFill>
                    </w:rPr>
                    <w:t>非金属材料产业</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园区。</w:t>
                  </w:r>
                </w:p>
              </w:tc>
            </w:tr>
            <w:tr w14:paraId="6F26E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559" w:type="pct"/>
                  <w:vMerge w:val="continue"/>
                  <w:noWrap w:val="0"/>
                  <w:vAlign w:val="center"/>
                </w:tcPr>
                <w:p w14:paraId="6F924B16">
                  <w:pPr>
                    <w:pStyle w:val="118"/>
                    <w:bidi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53" w:type="pct"/>
                  <w:vMerge w:val="continue"/>
                  <w:noWrap w:val="0"/>
                  <w:vAlign w:val="center"/>
                </w:tcPr>
                <w:p w14:paraId="3EE5CAC0">
                  <w:pPr>
                    <w:pStyle w:val="118"/>
                    <w:bidi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485" w:type="pct"/>
                  <w:vMerge w:val="continue"/>
                  <w:noWrap w:val="0"/>
                  <w:vAlign w:val="center"/>
                </w:tcPr>
                <w:p w14:paraId="3179B814">
                  <w:pPr>
                    <w:pStyle w:val="118"/>
                    <w:bidi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434" w:type="pct"/>
                  <w:noWrap w:val="0"/>
                  <w:vAlign w:val="center"/>
                </w:tcPr>
                <w:p w14:paraId="0E321171">
                  <w:pPr>
                    <w:pStyle w:val="118"/>
                    <w:bidi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污染物排放管控</w:t>
                  </w:r>
                </w:p>
              </w:tc>
              <w:tc>
                <w:tcPr>
                  <w:tcW w:w="1925" w:type="pct"/>
                  <w:noWrap w:val="0"/>
                  <w:vAlign w:val="center"/>
                </w:tcPr>
                <w:p w14:paraId="74AA8B4D">
                  <w:pPr>
                    <w:pStyle w:val="118"/>
                    <w:bidi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化工等重点行业及65蒸吨/小时及以上燃煤锅炉的现役企业和新建项目一律执行大气污染物特别排放限值。强化企业大气污染物排放精细化管理、无组织废气排放控制以及高效治污设施建设。重点行业粉状物料堆场实现全封闭，块状物料安装抑尘设施。</w:t>
                  </w:r>
                </w:p>
                <w:p w14:paraId="5D7543F2">
                  <w:pPr>
                    <w:pStyle w:val="118"/>
                    <w:bidi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积极推广集中供热，禁止新建35蒸吨以下燃煤锅炉。</w:t>
                  </w:r>
                </w:p>
                <w:p w14:paraId="634E8886">
                  <w:pPr>
                    <w:pStyle w:val="118"/>
                    <w:numPr>
                      <w:ilvl w:val="0"/>
                      <w:numId w:val="0"/>
                    </w:numPr>
                    <w:bidi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2.完善园区污水集中处理设施和配套管网。实行“清污分流、雨污分流”，污水应收尽收，全部回用，区内一律不得新建晾晒池、蒸发塘。</w:t>
                  </w:r>
                </w:p>
                <w:p w14:paraId="5A440C98">
                  <w:pPr>
                    <w:pStyle w:val="118"/>
                    <w:numPr>
                      <w:ilvl w:val="0"/>
                      <w:numId w:val="0"/>
                    </w:numPr>
                    <w:bidi w:val="0"/>
                    <w:jc w:val="both"/>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3.园区应自建污水处理厂，污水应收尽收，确保中水综合利用。</w:t>
                  </w:r>
                </w:p>
                <w:p w14:paraId="4FA80B63">
                  <w:pPr>
                    <w:pStyle w:val="118"/>
                    <w:numPr>
                      <w:ilvl w:val="0"/>
                      <w:numId w:val="0"/>
                    </w:numPr>
                    <w:bidi w:val="0"/>
                    <w:jc w:val="both"/>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4.采用集中供热或因地制宜利用清洁能源实现供热，禁止新建35蒸吨以下燃煤锅炉，</w:t>
                  </w:r>
                </w:p>
                <w:p w14:paraId="6C2E418C">
                  <w:pPr>
                    <w:pStyle w:val="118"/>
                    <w:numPr>
                      <w:ilvl w:val="0"/>
                      <w:numId w:val="0"/>
                    </w:numPr>
                    <w:bidi w:val="0"/>
                    <w:jc w:val="both"/>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5.优化固废危废处置方式，积极寻求高铝粉煤灰、结晶盐等集中处置和资源化利用途径</w:t>
                  </w:r>
                  <w:r>
                    <w:rPr>
                      <w:rFonts w:hint="eastAsia" w:cs="Times New Roman"/>
                      <w:color w:val="000000" w:themeColor="text1"/>
                      <w:sz w:val="21"/>
                      <w:szCs w:val="21"/>
                      <w:highlight w:val="none"/>
                      <w:lang w:val="en-US" w:eastAsia="zh-CN"/>
                      <w14:textFill>
                        <w14:solidFill>
                          <w14:schemeClr w14:val="tx1"/>
                        </w14:solidFill>
                      </w14:textFill>
                    </w:rPr>
                    <w:t>。</w:t>
                  </w:r>
                </w:p>
                <w:p w14:paraId="24F7ACFA">
                  <w:pPr>
                    <w:pStyle w:val="118"/>
                    <w:numPr>
                      <w:ilvl w:val="0"/>
                      <w:numId w:val="0"/>
                    </w:numPr>
                    <w:bidi w:val="0"/>
                    <w:jc w:val="both"/>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6.工业园区污水应收尽收、全部回用；矿井水、中水回用率达到90%以上。实施石油石化、化工等高耗水企业废水深度处理回用工程。强化焦化废水深度处理，区域内焦化废水必须全收集、全处理、全回用。</w:t>
                  </w:r>
                </w:p>
              </w:tc>
              <w:tc>
                <w:tcPr>
                  <w:tcW w:w="1041" w:type="pct"/>
                  <w:noWrap w:val="0"/>
                  <w:vAlign w:val="center"/>
                </w:tcPr>
                <w:p w14:paraId="4DF029F6">
                  <w:pPr>
                    <w:pStyle w:val="118"/>
                    <w:bidi w:val="0"/>
                    <w:jc w:val="both"/>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1.</w:t>
                  </w:r>
                  <w:r>
                    <w:rPr>
                      <w:rFonts w:hint="eastAsia" w:cs="Times New Roman"/>
                      <w:color w:val="000000" w:themeColor="text1"/>
                      <w:sz w:val="21"/>
                      <w:szCs w:val="21"/>
                      <w:highlight w:val="none"/>
                      <w:lang w:val="en-US" w:eastAsia="zh-CN"/>
                      <w14:textFill>
                        <w14:solidFill>
                          <w14:schemeClr w14:val="tx1"/>
                        </w14:solidFill>
                      </w14:textFill>
                    </w:rPr>
                    <w:t>本项目不涉及；</w:t>
                  </w:r>
                </w:p>
                <w:p w14:paraId="54A30E0F">
                  <w:pPr>
                    <w:pStyle w:val="118"/>
                    <w:bidi w:val="0"/>
                    <w:jc w:val="both"/>
                    <w:rPr>
                      <w:rFonts w:hint="eastAsia"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2.项目生活污水通过罐车送污水处理厂；</w:t>
                  </w:r>
                  <w:r>
                    <w:rPr>
                      <w:rFonts w:hint="eastAsia" w:cs="Times New Roman"/>
                      <w:b w:val="0"/>
                      <w:bCs w:val="0"/>
                      <w:color w:val="000000" w:themeColor="text1"/>
                      <w:sz w:val="21"/>
                      <w:szCs w:val="21"/>
                      <w:highlight w:val="none"/>
                      <w:lang w:eastAsia="zh-CN"/>
                      <w14:textFill>
                        <w14:solidFill>
                          <w14:schemeClr w14:val="tx1"/>
                        </w14:solidFill>
                      </w14:textFill>
                    </w:rPr>
                    <w:t>软水</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制备废水、余热锅炉废水</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通过罐车拉运至园区污水处理厂处理</w:t>
                  </w:r>
                  <w:r>
                    <w:rPr>
                      <w:rFonts w:hint="eastAsia" w:cs="Times New Roman"/>
                      <w:b w:val="0"/>
                      <w:bCs w:val="0"/>
                      <w:color w:val="000000" w:themeColor="text1"/>
                      <w:sz w:val="21"/>
                      <w:szCs w:val="21"/>
                      <w:highlight w:val="none"/>
                      <w:lang w:val="en-US" w:eastAsia="zh-CN"/>
                      <w14:textFill>
                        <w14:solidFill>
                          <w14:schemeClr w14:val="tx1"/>
                        </w14:solidFill>
                      </w14:textFill>
                    </w:rPr>
                    <w:t>；脱硫废水</w:t>
                  </w:r>
                  <w:r>
                    <w:rPr>
                      <w:rFonts w:hint="default" w:ascii="宋体" w:hAnsi="宋体" w:eastAsia="宋体" w:cs="宋体"/>
                      <w:color w:val="000000" w:themeColor="text1"/>
                      <w:kern w:val="0"/>
                      <w:sz w:val="21"/>
                      <w:szCs w:val="21"/>
                      <w:highlight w:val="none"/>
                      <w:lang w:val="en-US" w:eastAsia="zh-CN" w:bidi="ar"/>
                      <w14:textFill>
                        <w14:solidFill>
                          <w14:schemeClr w14:val="tx1"/>
                        </w14:solidFill>
                      </w14:textFill>
                    </w:rPr>
                    <w:t>经三联箱装置处理后回用于脱硫浆液制备用水</w:t>
                  </w:r>
                  <w:r>
                    <w:rPr>
                      <w:rFonts w:hint="eastAsia" w:cs="Times New Roman"/>
                      <w:color w:val="000000" w:themeColor="text1"/>
                      <w:sz w:val="21"/>
                      <w:szCs w:val="21"/>
                      <w:highlight w:val="none"/>
                      <w:lang w:val="en-US" w:eastAsia="zh-CN"/>
                      <w14:textFill>
                        <w14:solidFill>
                          <w14:schemeClr w14:val="tx1"/>
                        </w14:solidFill>
                      </w14:textFill>
                    </w:rPr>
                    <w:t>；</w:t>
                  </w:r>
                </w:p>
                <w:p w14:paraId="3324FE02">
                  <w:pPr>
                    <w:pStyle w:val="118"/>
                    <w:numPr>
                      <w:ilvl w:val="0"/>
                      <w:numId w:val="0"/>
                    </w:numPr>
                    <w:bidi w:val="0"/>
                    <w:jc w:val="both"/>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3.园区污水处理厂</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污水应收尽收，确保中水综合利用。</w:t>
                  </w:r>
                </w:p>
                <w:p w14:paraId="3F83877C">
                  <w:pPr>
                    <w:pStyle w:val="118"/>
                    <w:bidi w:val="0"/>
                    <w:jc w:val="both"/>
                    <w:rPr>
                      <w:rFonts w:hint="eastAsia"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4.项目实现余热利用；</w:t>
                  </w:r>
                </w:p>
                <w:p w14:paraId="0F18400A">
                  <w:pPr>
                    <w:pStyle w:val="118"/>
                    <w:bidi w:val="0"/>
                    <w:jc w:val="both"/>
                    <w:rPr>
                      <w:rFonts w:hint="default"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5.项目为一般固废利用项目；</w:t>
                  </w:r>
                </w:p>
                <w:p w14:paraId="401D85FD">
                  <w:pPr>
                    <w:pStyle w:val="118"/>
                    <w:bidi w:val="0"/>
                    <w:jc w:val="both"/>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6.</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本项目按照“清污分流、雨污分流”的原则建设，本项目</w:t>
                  </w:r>
                  <w:r>
                    <w:rPr>
                      <w:rFonts w:hint="default" w:ascii="宋体" w:hAnsi="宋体" w:eastAsia="宋体" w:cs="宋体"/>
                      <w:color w:val="000000" w:themeColor="text1"/>
                      <w:kern w:val="0"/>
                      <w:sz w:val="21"/>
                      <w:szCs w:val="21"/>
                      <w:highlight w:val="none"/>
                      <w:lang w:val="en-US" w:eastAsia="zh-CN" w:bidi="ar"/>
                      <w14:textFill>
                        <w14:solidFill>
                          <w14:schemeClr w14:val="tx1"/>
                        </w14:solidFill>
                      </w14:textFill>
                    </w:rPr>
                    <w:t>经三联箱装置处理后</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脱硫</w:t>
                  </w:r>
                  <w:r>
                    <w:rPr>
                      <w:rFonts w:hint="eastAsia" w:cs="Times New Roman"/>
                      <w:color w:val="000000" w:themeColor="text1"/>
                      <w:sz w:val="21"/>
                      <w:szCs w:val="21"/>
                      <w:highlight w:val="none"/>
                      <w:lang w:val="en-US" w:eastAsia="zh-CN"/>
                      <w14:textFill>
                        <w14:solidFill>
                          <w14:schemeClr w14:val="tx1"/>
                        </w14:solidFill>
                      </w14:textFill>
                    </w:rPr>
                    <w:t>废水</w:t>
                  </w:r>
                  <w:r>
                    <w:rPr>
                      <w:rFonts w:hint="default" w:ascii="宋体" w:hAnsi="宋体" w:eastAsia="宋体" w:cs="宋体"/>
                      <w:color w:val="000000" w:themeColor="text1"/>
                      <w:kern w:val="0"/>
                      <w:sz w:val="21"/>
                      <w:szCs w:val="21"/>
                      <w:highlight w:val="none"/>
                      <w:lang w:val="en-US" w:eastAsia="zh-CN" w:bidi="ar"/>
                      <w14:textFill>
                        <w14:solidFill>
                          <w14:schemeClr w14:val="tx1"/>
                        </w14:solidFill>
                      </w14:textFill>
                    </w:rPr>
                    <w:t>后回用于脱硫浆液制备用水</w:t>
                  </w:r>
                  <w:r>
                    <w:rPr>
                      <w:rFonts w:hint="eastAsia"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软水排水、锅炉排水</w:t>
                  </w:r>
                  <w:r>
                    <w:rPr>
                      <w:rFonts w:hint="eastAsia" w:ascii="宋体" w:hAnsi="宋体" w:cs="宋体"/>
                      <w:color w:val="000000" w:themeColor="text1"/>
                      <w:kern w:val="0"/>
                      <w:sz w:val="21"/>
                      <w:szCs w:val="21"/>
                      <w:highlight w:val="none"/>
                      <w:lang w:val="en-US" w:eastAsia="zh-CN" w:bidi="ar"/>
                      <w14:textFill>
                        <w14:solidFill>
                          <w14:schemeClr w14:val="tx1"/>
                        </w14:solidFill>
                      </w14:textFill>
                    </w:rPr>
                    <w:t>通过</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罐车拉运</w:t>
                  </w:r>
                  <w:r>
                    <w:rPr>
                      <w:rFonts w:hint="default" w:ascii="宋体" w:hAnsi="宋体" w:eastAsia="宋体" w:cs="宋体"/>
                      <w:color w:val="000000" w:themeColor="text1"/>
                      <w:kern w:val="0"/>
                      <w:sz w:val="21"/>
                      <w:szCs w:val="21"/>
                      <w:highlight w:val="none"/>
                      <w:lang w:val="en-US" w:eastAsia="zh-CN" w:bidi="ar"/>
                      <w14:textFill>
                        <w14:solidFill>
                          <w14:schemeClr w14:val="tx1"/>
                        </w14:solidFill>
                      </w14:textFill>
                    </w:rPr>
                    <w:t>至园区生产废水处理厂处理</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，不涉及高含盐水排放，生活废水经开发区污水处理厂处理达标后全部回用，不外排，废气污染主要为粉尘</w:t>
                  </w:r>
                  <w:r>
                    <w:rPr>
                      <w:rFonts w:hint="eastAsia" w:cs="Times New Roman"/>
                      <w:color w:val="000000" w:themeColor="text1"/>
                      <w:sz w:val="21"/>
                      <w:szCs w:val="21"/>
                      <w:highlight w:val="none"/>
                      <w:lang w:val="en-US" w:eastAsia="zh-CN"/>
                      <w14:textFill>
                        <w14:solidFill>
                          <w14:schemeClr w14:val="tx1"/>
                        </w14:solidFill>
                      </w14:textFill>
                    </w:rPr>
                    <w:t>、氮氧化物和二氧化硫</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，无有毒有害烟尘和恶臭气体产生，本项目原料堆场采用全封闭厂房并安装抑尘设施；</w:t>
                  </w:r>
                </w:p>
              </w:tc>
            </w:tr>
            <w:tr w14:paraId="3C168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559" w:type="pct"/>
                  <w:vMerge w:val="continue"/>
                  <w:noWrap w:val="0"/>
                  <w:vAlign w:val="center"/>
                </w:tcPr>
                <w:p w14:paraId="099CC77B">
                  <w:pPr>
                    <w:pStyle w:val="118"/>
                    <w:bidi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53" w:type="pct"/>
                  <w:vMerge w:val="continue"/>
                  <w:noWrap w:val="0"/>
                  <w:vAlign w:val="center"/>
                </w:tcPr>
                <w:p w14:paraId="0545E6B9">
                  <w:pPr>
                    <w:pStyle w:val="118"/>
                    <w:bidi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485" w:type="pct"/>
                  <w:vMerge w:val="continue"/>
                  <w:noWrap w:val="0"/>
                  <w:vAlign w:val="center"/>
                </w:tcPr>
                <w:p w14:paraId="320863E2">
                  <w:pPr>
                    <w:pStyle w:val="118"/>
                    <w:bidi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434" w:type="pct"/>
                  <w:noWrap w:val="0"/>
                  <w:vAlign w:val="center"/>
                </w:tcPr>
                <w:p w14:paraId="7682E933">
                  <w:pPr>
                    <w:pStyle w:val="118"/>
                    <w:bidi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环境风险防控</w:t>
                  </w:r>
                </w:p>
              </w:tc>
              <w:tc>
                <w:tcPr>
                  <w:tcW w:w="1925" w:type="pct"/>
                  <w:noWrap w:val="0"/>
                  <w:vAlign w:val="center"/>
                </w:tcPr>
                <w:p w14:paraId="0CE9AE6D">
                  <w:pPr>
                    <w:pStyle w:val="118"/>
                    <w:bidi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1.园区应建立三级防控及应急救援体系，编制园区环境风险应急预案；园区应落实环境风险防范措施，做好风险防护距离的管理，防止发生环境污染事件。</w:t>
                  </w:r>
                </w:p>
                <w:p w14:paraId="41F3BB0F">
                  <w:pPr>
                    <w:pStyle w:val="118"/>
                    <w:bidi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建立重点风险源动态管理信息库、园区内外环境风险救援力量管理库以及应急监测小组，在发生风险环境</w:t>
                  </w:r>
                </w:p>
                <w:p w14:paraId="196A764A">
                  <w:pPr>
                    <w:pStyle w:val="118"/>
                    <w:bidi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污染事故时事故现场及周边区域实施应急监测。不断完善环境风险防范机制和应急体系，构建有效的区域</w:t>
                  </w:r>
                </w:p>
                <w:p w14:paraId="581EF56A">
                  <w:pPr>
                    <w:pStyle w:val="118"/>
                    <w:bidi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环境风险联防联控机制，最大限度降低环境风险。劳动密集型的非化工企业不得与化工企业混建在同一园区内。</w:t>
                  </w:r>
                </w:p>
                <w:p w14:paraId="0986086D">
                  <w:pPr>
                    <w:pStyle w:val="118"/>
                    <w:bidi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土壤污染重点监管单位应当严格控制有毒有害物质排放，并按年度向生态环境主管部门报告排放情况；建立土壤污染隐患排查制度，保证持续有效防止有毒有害物质渗漏、流失、扬散；制定、实施自行监测方案，并将监测数据报生态环境主管部门。</w:t>
                  </w:r>
                </w:p>
              </w:tc>
              <w:tc>
                <w:tcPr>
                  <w:tcW w:w="1041" w:type="pct"/>
                  <w:noWrap w:val="0"/>
                  <w:vAlign w:val="center"/>
                </w:tcPr>
                <w:p w14:paraId="3EEA2C57">
                  <w:pPr>
                    <w:pStyle w:val="118"/>
                    <w:bidi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1.本项目所在园区已建立三级防控及应急救援体系，本项目也按照要求编制企业应急预案。</w:t>
                  </w:r>
                </w:p>
                <w:p w14:paraId="2581D409">
                  <w:pPr>
                    <w:pStyle w:val="118"/>
                    <w:bidi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2.本项目不属于土壤污染重点监管单位。</w:t>
                  </w:r>
                </w:p>
              </w:tc>
            </w:tr>
            <w:tr w14:paraId="4B984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559" w:type="pct"/>
                  <w:vMerge w:val="continue"/>
                  <w:noWrap w:val="0"/>
                  <w:vAlign w:val="center"/>
                </w:tcPr>
                <w:p w14:paraId="6E828C0A">
                  <w:pPr>
                    <w:pStyle w:val="118"/>
                    <w:bidi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53" w:type="pct"/>
                  <w:vMerge w:val="continue"/>
                  <w:noWrap w:val="0"/>
                  <w:vAlign w:val="center"/>
                </w:tcPr>
                <w:p w14:paraId="37A706F5">
                  <w:pPr>
                    <w:pStyle w:val="118"/>
                    <w:bidi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485" w:type="pct"/>
                  <w:vMerge w:val="continue"/>
                  <w:noWrap w:val="0"/>
                  <w:vAlign w:val="center"/>
                </w:tcPr>
                <w:p w14:paraId="7000BA04">
                  <w:pPr>
                    <w:pStyle w:val="118"/>
                    <w:bidi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434" w:type="pct"/>
                  <w:noWrap w:val="0"/>
                  <w:vAlign w:val="center"/>
                </w:tcPr>
                <w:p w14:paraId="64917F36">
                  <w:pPr>
                    <w:pStyle w:val="118"/>
                    <w:bidi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资源利用效率要求</w:t>
                  </w:r>
                </w:p>
              </w:tc>
              <w:tc>
                <w:tcPr>
                  <w:tcW w:w="1925" w:type="pct"/>
                  <w:noWrap w:val="0"/>
                  <w:vAlign w:val="center"/>
                </w:tcPr>
                <w:p w14:paraId="56BCB396">
                  <w:pPr>
                    <w:pStyle w:val="118"/>
                    <w:bidi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1.坚持“以水定产业、以水定规模”，做好节水工作，按分质供水原则，合理进行水资源分配，优先使用中水。严控地下水超采。实行地下水“五控”制度。</w:t>
                  </w:r>
                </w:p>
                <w:p w14:paraId="46E895A9">
                  <w:pPr>
                    <w:pStyle w:val="118"/>
                    <w:bidi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“五控”即严格管控地下水开发利用总量、水位、用途、水质及机电井数量。</w:t>
                  </w:r>
                </w:p>
                <w:p w14:paraId="0D879977">
                  <w:pPr>
                    <w:pStyle w:val="118"/>
                    <w:bidi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2.推进能源梯级利用，提高能源利用效率，鼓励使用清洁燃料或可再生能源。</w:t>
                  </w:r>
                </w:p>
              </w:tc>
              <w:tc>
                <w:tcPr>
                  <w:tcW w:w="1041" w:type="pct"/>
                  <w:noWrap w:val="0"/>
                  <w:vAlign w:val="center"/>
                </w:tcPr>
                <w:p w14:paraId="3BB4C54D">
                  <w:pPr>
                    <w:pStyle w:val="118"/>
                    <w:bidi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1.本项目供水由园区统一供水，</w:t>
                  </w:r>
                  <w:r>
                    <w:rPr>
                      <w:rFonts w:hint="default" w:ascii="宋体" w:hAnsi="宋体" w:eastAsia="宋体" w:cs="宋体"/>
                      <w:color w:val="000000" w:themeColor="text1"/>
                      <w:kern w:val="0"/>
                      <w:sz w:val="21"/>
                      <w:szCs w:val="21"/>
                      <w:highlight w:val="none"/>
                      <w:lang w:val="en-US" w:eastAsia="zh-CN" w:bidi="ar"/>
                      <w14:textFill>
                        <w14:solidFill>
                          <w14:schemeClr w14:val="tx1"/>
                        </w14:solidFill>
                      </w14:textFill>
                    </w:rPr>
                    <w:t>经三联箱装置处理后</w:t>
                  </w:r>
                  <w:r>
                    <w:rPr>
                      <w:rFonts w:hint="eastAsia" w:ascii="宋体" w:hAnsi="宋体" w:cs="宋体"/>
                      <w:color w:val="000000" w:themeColor="text1"/>
                      <w:kern w:val="0"/>
                      <w:sz w:val="21"/>
                      <w:szCs w:val="21"/>
                      <w:highlight w:val="none"/>
                      <w:lang w:val="en-US" w:eastAsia="zh-CN" w:bidi="ar"/>
                      <w14:textFill>
                        <w14:solidFill>
                          <w14:schemeClr w14:val="tx1"/>
                        </w14:solidFill>
                      </w14:textFill>
                    </w:rPr>
                    <w:t>脱硫废水</w:t>
                  </w:r>
                  <w:r>
                    <w:rPr>
                      <w:rFonts w:hint="default" w:ascii="宋体" w:hAnsi="宋体" w:eastAsia="宋体" w:cs="宋体"/>
                      <w:color w:val="000000" w:themeColor="text1"/>
                      <w:kern w:val="0"/>
                      <w:sz w:val="21"/>
                      <w:szCs w:val="21"/>
                      <w:highlight w:val="none"/>
                      <w:lang w:val="en-US" w:eastAsia="zh-CN" w:bidi="ar"/>
                      <w14:textFill>
                        <w14:solidFill>
                          <w14:schemeClr w14:val="tx1"/>
                        </w14:solidFill>
                      </w14:textFill>
                    </w:rPr>
                    <w:t>后回用于脱硫浆液制备用水</w:t>
                  </w:r>
                  <w:r>
                    <w:rPr>
                      <w:rFonts w:hint="eastAsia" w:cs="Times New Roman"/>
                      <w:color w:val="000000" w:themeColor="text1"/>
                      <w:sz w:val="21"/>
                      <w:szCs w:val="21"/>
                      <w:highlight w:val="none"/>
                      <w:lang w:val="en-US" w:eastAsia="zh-CN"/>
                      <w14:textFill>
                        <w14:solidFill>
                          <w14:schemeClr w14:val="tx1"/>
                        </w14:solidFill>
                      </w14:textFill>
                    </w:rPr>
                    <w:t>；锅炉排水、软水排水和</w:t>
                  </w:r>
                  <w:r>
                    <w:rPr>
                      <w:rFonts w:hint="default" w:ascii="宋体" w:hAnsi="宋体" w:eastAsia="宋体" w:cs="宋体"/>
                      <w:color w:val="000000" w:themeColor="text1"/>
                      <w:kern w:val="0"/>
                      <w:sz w:val="21"/>
                      <w:szCs w:val="21"/>
                      <w:highlight w:val="none"/>
                      <w:lang w:val="en-US" w:eastAsia="zh-CN" w:bidi="ar"/>
                      <w14:textFill>
                        <w14:solidFill>
                          <w14:schemeClr w14:val="tx1"/>
                        </w14:solidFill>
                      </w14:textFill>
                    </w:rPr>
                    <w:t>，</w:t>
                  </w:r>
                  <w:r>
                    <w:rPr>
                      <w:rFonts w:hint="eastAsia" w:ascii="宋体" w:hAnsi="宋体" w:cs="宋体"/>
                      <w:color w:val="000000" w:themeColor="text1"/>
                      <w:kern w:val="0"/>
                      <w:sz w:val="21"/>
                      <w:szCs w:val="21"/>
                      <w:highlight w:val="none"/>
                      <w:lang w:val="en-US" w:eastAsia="zh-CN" w:bidi="ar"/>
                      <w14:textFill>
                        <w14:solidFill>
                          <w14:schemeClr w14:val="tx1"/>
                        </w14:solidFill>
                      </w14:textFill>
                    </w:rPr>
                    <w:t>通过</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罐车拉运</w:t>
                  </w:r>
                  <w:r>
                    <w:rPr>
                      <w:rFonts w:hint="default" w:ascii="宋体" w:hAnsi="宋体" w:eastAsia="宋体" w:cs="宋体"/>
                      <w:color w:val="000000" w:themeColor="text1"/>
                      <w:kern w:val="0"/>
                      <w:sz w:val="21"/>
                      <w:szCs w:val="21"/>
                      <w:highlight w:val="none"/>
                      <w:lang w:val="en-US" w:eastAsia="zh-CN" w:bidi="ar"/>
                      <w14:textFill>
                        <w14:solidFill>
                          <w14:schemeClr w14:val="tx1"/>
                        </w14:solidFill>
                      </w14:textFill>
                    </w:rPr>
                    <w:t>至园区生产废水处理厂处理</w:t>
                  </w:r>
                  <w:r>
                    <w:rPr>
                      <w:rFonts w:hint="eastAsia" w:cs="Times New Roman"/>
                      <w:color w:val="000000" w:themeColor="text1"/>
                      <w:sz w:val="21"/>
                      <w:szCs w:val="21"/>
                      <w:highlight w:val="none"/>
                      <w:lang w:val="en-US" w:eastAsia="zh-CN"/>
                      <w14:textFill>
                        <w14:solidFill>
                          <w14:schemeClr w14:val="tx1"/>
                        </w14:solidFill>
                      </w14:textFill>
                    </w:rPr>
                    <w:t>；生活</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污水经开发区污水处理厂处理达标后全部回用，不外排，本项目不使用地下水。</w:t>
                  </w:r>
                </w:p>
                <w:p w14:paraId="18799EC5">
                  <w:pPr>
                    <w:pStyle w:val="118"/>
                    <w:bidi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2.本项目使用</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脱硫除杂后清洁</w:t>
                  </w:r>
                  <w:r>
                    <w:rPr>
                      <w:rFonts w:hint="eastAsia" w:cs="Times New Roman"/>
                      <w:color w:val="000000" w:themeColor="text1"/>
                      <w:sz w:val="21"/>
                      <w:szCs w:val="21"/>
                      <w:highlight w:val="none"/>
                      <w:lang w:val="en-US" w:eastAsia="zh-CN"/>
                      <w14:textFill>
                        <w14:solidFill>
                          <w14:schemeClr w14:val="tx1"/>
                        </w14:solidFill>
                      </w14:textFill>
                    </w:rPr>
                    <w:t>煤气</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r>
          </w:tbl>
          <w:p w14:paraId="6F18BD17">
            <w:pPr>
              <w:pStyle w:val="103"/>
              <w:spacing w:line="360" w:lineRule="auto"/>
              <w:ind w:firstLine="480" w:firstLineChars="200"/>
              <w:jc w:val="left"/>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由以上分析可知，本项目符合国家和地方的“</w:t>
            </w:r>
            <w:r>
              <w:rPr>
                <w:rFonts w:hint="eastAsia" w:cs="Times New Roman"/>
                <w:color w:val="000000" w:themeColor="text1"/>
                <w:sz w:val="24"/>
                <w:highlight w:val="none"/>
                <w:lang w:val="en-US" w:eastAsia="zh-CN"/>
                <w14:textFill>
                  <w14:solidFill>
                    <w14:schemeClr w14:val="tx1"/>
                  </w14:solidFill>
                </w14:textFill>
              </w:rPr>
              <w:t>生态环境分区管控</w:t>
            </w:r>
            <w:r>
              <w:rPr>
                <w:rFonts w:hint="default" w:ascii="Times New Roman" w:hAnsi="Times New Roman" w:eastAsia="宋体" w:cs="Times New Roman"/>
                <w:color w:val="000000" w:themeColor="text1"/>
                <w:sz w:val="24"/>
                <w:highlight w:val="none"/>
                <w14:textFill>
                  <w14:solidFill>
                    <w14:schemeClr w14:val="tx1"/>
                  </w14:solidFill>
                </w14:textFill>
              </w:rPr>
              <w:t>”要求。</w:t>
            </w:r>
          </w:p>
          <w:p w14:paraId="2BDC481D">
            <w:pPr>
              <w:pStyle w:val="103"/>
              <w:spacing w:line="360" w:lineRule="auto"/>
              <w:ind w:firstLine="482" w:firstLineChars="200"/>
              <w:jc w:val="left"/>
              <w:rPr>
                <w:rFonts w:hint="default" w:ascii="Times New Roman" w:hAnsi="Times New Roman" w:eastAsia="宋体" w:cs="Times New Roman"/>
                <w:color w:val="000000" w:themeColor="text1"/>
                <w:szCs w:val="24"/>
                <w:highlight w:val="none"/>
                <w14:textFill>
                  <w14:solidFill>
                    <w14:schemeClr w14:val="tx1"/>
                  </w14:solidFill>
                </w14:textFill>
              </w:rPr>
            </w:pPr>
            <w:r>
              <w:rPr>
                <w:rFonts w:hint="eastAsia" w:ascii="Times New Roman" w:hAnsi="Times New Roman" w:eastAsia="宋体" w:cs="Times New Roman"/>
                <w:b/>
                <w:bCs/>
                <w:color w:val="000000" w:themeColor="text1"/>
                <w:szCs w:val="24"/>
                <w:highlight w:val="none"/>
                <w:lang w:val="en-US" w:eastAsia="zh-CN"/>
                <w14:textFill>
                  <w14:solidFill>
                    <w14:schemeClr w14:val="tx1"/>
                  </w14:solidFill>
                </w14:textFill>
              </w:rPr>
              <w:t>2.</w:t>
            </w:r>
            <w:r>
              <w:rPr>
                <w:rFonts w:hint="default" w:ascii="Times New Roman" w:hAnsi="Times New Roman" w:eastAsia="宋体" w:cs="Times New Roman"/>
                <w:b/>
                <w:bCs/>
                <w:color w:val="000000" w:themeColor="text1"/>
                <w:szCs w:val="24"/>
                <w:highlight w:val="none"/>
                <w14:textFill>
                  <w14:solidFill>
                    <w14:schemeClr w14:val="tx1"/>
                  </w14:solidFill>
                </w14:textFill>
              </w:rPr>
              <w:t>产业政策的符合性分析</w:t>
            </w:r>
          </w:p>
          <w:p w14:paraId="0945740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本项目</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所属行业类别为《国民经济行业</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分类</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》（GB/T4754-2017）（</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2019修订版</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）中的N7723固体废物治理、C4430热力生产和供应。本项目工艺</w:t>
            </w:r>
            <w:r>
              <w:rPr>
                <w:rFonts w:hint="default" w:ascii="Times New Roman" w:hAnsi="Times New Roman" w:eastAsia="宋体" w:cs="Times New Roman"/>
                <w:color w:val="000000" w:themeColor="text1"/>
                <w:sz w:val="24"/>
                <w:szCs w:val="24"/>
                <w:highlight w:val="none"/>
                <w14:textFill>
                  <w14:solidFill>
                    <w14:schemeClr w14:val="tx1"/>
                  </w14:solidFill>
                </w14:textFill>
              </w:rPr>
              <w:t>属于《产业结构调整指导目录</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2024年本</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》中</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第一类、鼓励类</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十二、建材1.悬浮沸腾煅烧熟料工艺技术的研发与应用”“第一类、鼓励类</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－第</w:t>
            </w:r>
            <w:r>
              <w:rPr>
                <w:rFonts w:hint="eastAsia" w:cs="Times New Roman"/>
                <w:color w:val="000000" w:themeColor="text1"/>
                <w:sz w:val="24"/>
                <w:szCs w:val="24"/>
                <w:highlight w:val="none"/>
                <w:lang w:val="en-US" w:eastAsia="zh-CN"/>
                <w14:textFill>
                  <w14:solidFill>
                    <w14:schemeClr w14:val="tx1"/>
                  </w14:solidFill>
                </w14:textFill>
              </w:rPr>
              <w:t>四</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十二类</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、环境保护与资源节约综合利用8.废弃物循环利用</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煤矸石、粉煤灰、尾矿（共伴生矿）、冶炼渣、工业副产石膏、赤泥、建筑垃圾等工业废弃物循环利用”“第一类、鼓励类</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四十二、环境保护与资源节约综合利用11.节能技术开发应用</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节能、节水、节材环保及资源综合利用等技术开发、应用及设备制造”</w:t>
            </w:r>
            <w:r>
              <w:rPr>
                <w:rFonts w:hint="eastAsia"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pacing w:val="1"/>
                <w:sz w:val="24"/>
                <w:szCs w:val="24"/>
                <w:highlight w:val="none"/>
                <w14:textFill>
                  <w14:solidFill>
                    <w14:schemeClr w14:val="tx1"/>
                  </w14:solidFill>
                </w14:textFill>
              </w:rPr>
              <w:t>本项目</w:t>
            </w:r>
            <w:r>
              <w:rPr>
                <w:rFonts w:hint="default" w:ascii="Times New Roman" w:hAnsi="Times New Roman" w:eastAsia="宋体" w:cs="Times New Roman"/>
                <w:color w:val="000000" w:themeColor="text1"/>
                <w:spacing w:val="1"/>
                <w:sz w:val="24"/>
                <w:szCs w:val="24"/>
                <w:highlight w:val="none"/>
                <w:lang w:val="en-US" w:eastAsia="zh-CN"/>
                <w14:textFill>
                  <w14:solidFill>
                    <w14:schemeClr w14:val="tx1"/>
                  </w14:solidFill>
                </w14:textFill>
              </w:rPr>
              <w:t>所用设备</w:t>
            </w:r>
            <w:r>
              <w:rPr>
                <w:rFonts w:hint="eastAsia" w:cs="Times New Roman"/>
                <w:color w:val="000000" w:themeColor="text1"/>
                <w:spacing w:val="1"/>
                <w:sz w:val="24"/>
                <w:szCs w:val="24"/>
                <w:highlight w:val="none"/>
                <w:lang w:val="en-US" w:eastAsia="zh-CN"/>
                <w14:textFill>
                  <w14:solidFill>
                    <w14:schemeClr w14:val="tx1"/>
                  </w14:solidFill>
                </w14:textFill>
              </w:rPr>
              <w:t>不</w:t>
            </w:r>
            <w:r>
              <w:rPr>
                <w:rFonts w:hint="default" w:ascii="Times New Roman" w:hAnsi="Times New Roman" w:eastAsia="宋体" w:cs="Times New Roman"/>
                <w:color w:val="000000" w:themeColor="text1"/>
                <w:spacing w:val="1"/>
                <w:sz w:val="24"/>
                <w:szCs w:val="24"/>
                <w:highlight w:val="none"/>
                <w:lang w:val="en-US" w:eastAsia="zh-CN"/>
                <w14:textFill>
                  <w14:solidFill>
                    <w14:schemeClr w14:val="tx1"/>
                  </w14:solidFill>
                </w14:textFill>
              </w:rPr>
              <w:t>属于</w:t>
            </w:r>
            <w:r>
              <w:rPr>
                <w:rFonts w:hint="default" w:ascii="Times New Roman" w:hAnsi="Times New Roman" w:eastAsia="宋体" w:cs="Times New Roman"/>
                <w:color w:val="000000" w:themeColor="text1"/>
                <w:spacing w:val="1"/>
                <w:sz w:val="24"/>
                <w:szCs w:val="24"/>
                <w:highlight w:val="none"/>
                <w14:textFill>
                  <w14:solidFill>
                    <w14:schemeClr w14:val="tx1"/>
                  </w14:solidFill>
                </w14:textFill>
              </w:rPr>
              <w:t>《产业结构调整指导目录</w:t>
            </w:r>
            <w:r>
              <w:rPr>
                <w:rFonts w:hint="default" w:ascii="Times New Roman" w:hAnsi="Times New Roman" w:eastAsia="宋体" w:cs="Times New Roman"/>
                <w:color w:val="000000" w:themeColor="text1"/>
                <w:spacing w:val="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1"/>
                <w:sz w:val="24"/>
                <w:szCs w:val="24"/>
                <w:highlight w:val="none"/>
                <w14:textFill>
                  <w14:solidFill>
                    <w14:schemeClr w14:val="tx1"/>
                  </w14:solidFill>
                </w14:textFill>
              </w:rPr>
              <w:t>2024年本</w:t>
            </w:r>
            <w:r>
              <w:rPr>
                <w:rFonts w:hint="default" w:ascii="Times New Roman" w:hAnsi="Times New Roman" w:eastAsia="宋体" w:cs="Times New Roman"/>
                <w:color w:val="000000" w:themeColor="text1"/>
                <w:spacing w:val="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1"/>
                <w:sz w:val="24"/>
                <w:szCs w:val="24"/>
                <w:highlight w:val="none"/>
                <w14:textFill>
                  <w14:solidFill>
                    <w14:schemeClr w14:val="tx1"/>
                  </w14:solidFill>
                </w14:textFill>
              </w:rPr>
              <w:t>》</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中第三类淘汰类</w:t>
            </w:r>
            <w:r>
              <w:rPr>
                <w:rFonts w:hint="eastAsia" w:ascii="宋体" w:hAnsi="宋体" w:cs="宋体"/>
                <w:color w:val="000000" w:themeColor="text1"/>
                <w:kern w:val="0"/>
                <w:sz w:val="24"/>
                <w:szCs w:val="24"/>
                <w:highlight w:val="none"/>
                <w:lang w:val="en-US" w:eastAsia="zh-CN" w:bidi="ar"/>
                <w14:textFill>
                  <w14:solidFill>
                    <w14:schemeClr w14:val="tx1"/>
                  </w14:solidFill>
                </w14:textFill>
              </w:rPr>
              <w:t>和限值类设备</w:t>
            </w:r>
            <w:r>
              <w:rPr>
                <w:rFonts w:hint="default" w:ascii="Times New Roman" w:hAnsi="Times New Roman" w:eastAsia="宋体" w:cs="Times New Roman"/>
                <w:color w:val="000000" w:themeColor="text1"/>
                <w:spacing w:val="1"/>
                <w:sz w:val="24"/>
                <w:szCs w:val="24"/>
                <w:highlight w:val="none"/>
                <w14:textFill>
                  <w14:solidFill>
                    <w14:schemeClr w14:val="tx1"/>
                  </w14:solidFill>
                </w14:textFill>
              </w:rPr>
              <w:t>；2025年</w:t>
            </w:r>
            <w:r>
              <w:rPr>
                <w:rFonts w:hint="default" w:ascii="Times New Roman" w:hAnsi="Times New Roman" w:eastAsia="宋体" w:cs="Times New Roman"/>
                <w:color w:val="000000" w:themeColor="text1"/>
                <w:spacing w:val="1"/>
                <w:sz w:val="24"/>
                <w:szCs w:val="24"/>
                <w:highlight w:val="none"/>
                <w:lang w:val="en-US" w:eastAsia="zh-CN"/>
                <w14:textFill>
                  <w14:solidFill>
                    <w14:schemeClr w14:val="tx1"/>
                  </w14:solidFill>
                </w14:textFill>
              </w:rPr>
              <w:t>9</w:t>
            </w:r>
            <w:r>
              <w:rPr>
                <w:rFonts w:hint="default" w:ascii="Times New Roman" w:hAnsi="Times New Roman" w:eastAsia="宋体" w:cs="Times New Roman"/>
                <w:color w:val="000000" w:themeColor="text1"/>
                <w:spacing w:val="1"/>
                <w:sz w:val="24"/>
                <w:szCs w:val="24"/>
                <w:highlight w:val="none"/>
                <w14:textFill>
                  <w14:solidFill>
                    <w14:schemeClr w14:val="tx1"/>
                  </w14:solidFill>
                </w14:textFill>
              </w:rPr>
              <w:t>月</w:t>
            </w:r>
            <w:r>
              <w:rPr>
                <w:rFonts w:hint="default" w:ascii="Times New Roman" w:hAnsi="Times New Roman" w:eastAsia="宋体" w:cs="Times New Roman"/>
                <w:color w:val="000000" w:themeColor="text1"/>
                <w:spacing w:val="1"/>
                <w:sz w:val="24"/>
                <w:szCs w:val="24"/>
                <w:highlight w:val="none"/>
                <w:lang w:val="en-US" w:eastAsia="zh-CN"/>
                <w14:textFill>
                  <w14:solidFill>
                    <w14:schemeClr w14:val="tx1"/>
                  </w14:solidFill>
                </w14:textFill>
              </w:rPr>
              <w:t>18</w:t>
            </w:r>
            <w:r>
              <w:rPr>
                <w:rFonts w:hint="default" w:ascii="Times New Roman" w:hAnsi="Times New Roman" w:eastAsia="宋体" w:cs="Times New Roman"/>
                <w:color w:val="000000" w:themeColor="text1"/>
                <w:spacing w:val="1"/>
                <w:sz w:val="24"/>
                <w:szCs w:val="24"/>
                <w:highlight w:val="none"/>
                <w14:textFill>
                  <w14:solidFill>
                    <w14:schemeClr w14:val="tx1"/>
                  </w14:solidFill>
                </w14:textFill>
              </w:rPr>
              <w:t>日，</w:t>
            </w:r>
            <w:r>
              <w:rPr>
                <w:rFonts w:hint="default" w:ascii="Times New Roman" w:hAnsi="Times New Roman" w:eastAsia="宋体" w:cs="Times New Roman"/>
                <w:color w:val="000000" w:themeColor="text1"/>
                <w:spacing w:val="-1"/>
                <w:sz w:val="24"/>
                <w:szCs w:val="24"/>
                <w:highlight w:val="none"/>
                <w:lang w:val="en-US" w:eastAsia="zh-CN"/>
                <w14:textFill>
                  <w14:solidFill>
                    <w14:schemeClr w14:val="tx1"/>
                  </w14:solidFill>
                </w14:textFill>
              </w:rPr>
              <w:t>准格尔旗</w:t>
            </w:r>
            <w:r>
              <w:rPr>
                <w:rFonts w:hint="default" w:ascii="Times New Roman" w:hAnsi="Times New Roman" w:eastAsia="宋体" w:cs="Times New Roman"/>
                <w:color w:val="000000" w:themeColor="text1"/>
                <w:spacing w:val="1"/>
                <w:sz w:val="24"/>
                <w:szCs w:val="24"/>
                <w:highlight w:val="none"/>
                <w14:textFill>
                  <w14:solidFill>
                    <w14:schemeClr w14:val="tx1"/>
                  </w14:solidFill>
                </w14:textFill>
              </w:rPr>
              <w:t>发展和改革委员会出</w:t>
            </w:r>
            <w:r>
              <w:rPr>
                <w:rFonts w:hint="default" w:ascii="Times New Roman" w:hAnsi="Times New Roman" w:eastAsia="宋体" w:cs="Times New Roman"/>
                <w:color w:val="000000" w:themeColor="text1"/>
                <w:sz w:val="24"/>
                <w:szCs w:val="24"/>
                <w:highlight w:val="none"/>
                <w14:textFill>
                  <w14:solidFill>
                    <w14:schemeClr w14:val="tx1"/>
                  </w14:solidFill>
                </w14:textFill>
              </w:rPr>
              <w:t>具了《项目备案告知书》</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项目代码：</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2509-150622-04-05-154090</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准予本项目备案；</w:t>
            </w:r>
          </w:p>
          <w:p w14:paraId="371F6F6E">
            <w:pPr>
              <w:snapToGrid w:val="0"/>
              <w:spacing w:line="360" w:lineRule="auto"/>
              <w:ind w:firstLine="480" w:firstLineChars="200"/>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2005年10月，国家发展改革委、科技部及</w:t>
            </w:r>
            <w:r>
              <w:rPr>
                <w:rFonts w:hint="eastAsia" w:cs="Times New Roman"/>
                <w:color w:val="000000" w:themeColor="text1"/>
                <w:sz w:val="24"/>
                <w:highlight w:val="none"/>
                <w:lang w:val="en-US" w:eastAsia="zh-CN"/>
                <w14:textFill>
                  <w14:solidFill>
                    <w14:schemeClr w14:val="tx1"/>
                  </w14:solidFill>
                </w14:textFill>
              </w:rPr>
              <w:t>原</w:t>
            </w:r>
            <w:r>
              <w:rPr>
                <w:rFonts w:hint="default" w:ascii="Times New Roman" w:hAnsi="Times New Roman" w:cs="Times New Roman"/>
                <w:color w:val="000000" w:themeColor="text1"/>
                <w:sz w:val="24"/>
                <w:highlight w:val="none"/>
                <w14:textFill>
                  <w14:solidFill>
                    <w14:schemeClr w14:val="tx1"/>
                  </w14:solidFill>
                </w14:textFill>
              </w:rPr>
              <w:t>国家环保总局将《国家鼓励发展的资源节约综合利用和环境保护技术》260项技术予以公布。其中对煅烧高岭土项目相关规定为“超微细煅烧高岭土技术采用先超细研磨后利用多支撑间接加热，分段煅烧工艺，对煤矸石进行加工。生产具有高科技含量、高附加值的超细高岭土产品。具有原料低廉、易购，产品成本低等特点。实施</w:t>
            </w:r>
            <w:r>
              <w:rPr>
                <w:rFonts w:hint="eastAsia" w:cs="Times New Roman"/>
                <w:color w:val="000000" w:themeColor="text1"/>
                <w:sz w:val="24"/>
                <w:highlight w:val="none"/>
                <w:lang w:eastAsia="zh-CN"/>
                <w14:textFill>
                  <w14:solidFill>
                    <w14:schemeClr w14:val="tx1"/>
                  </w14:solidFill>
                </w14:textFill>
              </w:rPr>
              <w:t>后将</w:t>
            </w:r>
            <w:r>
              <w:rPr>
                <w:rFonts w:hint="default" w:ascii="Times New Roman" w:hAnsi="Times New Roman" w:cs="Times New Roman"/>
                <w:color w:val="000000" w:themeColor="text1"/>
                <w:sz w:val="24"/>
                <w:highlight w:val="none"/>
                <w14:textFill>
                  <w14:solidFill>
                    <w14:schemeClr w14:val="tx1"/>
                  </w14:solidFill>
                </w14:textFill>
              </w:rPr>
              <w:t>减少粉尘、煤矸石污染，减少占地。该技术适用于高岭土的综合利用”。本项目为超细煅烧高岭土项目，采用先进技术，符合《国家鼓励发展的资源节约综合利用和环境保护技术》相关内容。</w:t>
            </w:r>
          </w:p>
          <w:p w14:paraId="7006703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本项目建设符合《工业炉窑大气污染综合治理方案》《内蒙古自治区工业炉窑大气污染综合治理实施方案》</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《鄂尔多斯市环境保护条例》（2021年9月修正版）、《鄂尔多斯市大气污染防治条例》（2021年9月29日起施行）、《鄂尔多斯市空气质量持续改善行动实施方案》（鄂府发〔2024〕61号）</w:t>
            </w:r>
            <w:r>
              <w:rPr>
                <w:rFonts w:hint="default" w:ascii="Times New Roman" w:hAnsi="Times New Roman" w:eastAsia="宋体" w:cs="Times New Roman"/>
                <w:color w:val="000000" w:themeColor="text1"/>
                <w:sz w:val="24"/>
                <w:szCs w:val="24"/>
                <w:highlight w:val="none"/>
                <w14:textFill>
                  <w14:solidFill>
                    <w14:schemeClr w14:val="tx1"/>
                  </w14:solidFill>
                </w14:textFill>
              </w:rPr>
              <w:t>中的相关要求，综上，项目建设符合国家及地方产业政策。</w:t>
            </w:r>
          </w:p>
          <w:p w14:paraId="77FD2A7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本项目建设与《工业炉窑大气污染综合治理方案》《内蒙古自治区工业炉窑大气污染综合治理实施方案》</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《内蒙古自治区空气质量持续改善行动实施方案》（内政发〔2024〕17号）、《鄂尔多斯市空气质量持续改善行动实施方案》（鄂府发〔2024〕61号）等</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的符</w:t>
            </w:r>
            <w:r>
              <w:rPr>
                <w:rFonts w:hint="default" w:ascii="Times New Roman" w:hAnsi="Times New Roman" w:eastAsia="宋体" w:cs="Times New Roman"/>
                <w:color w:val="000000" w:themeColor="text1"/>
                <w:sz w:val="24"/>
                <w:highlight w:val="none"/>
                <w14:textFill>
                  <w14:solidFill>
                    <w14:schemeClr w14:val="tx1"/>
                  </w14:solidFill>
                </w14:textFill>
              </w:rPr>
              <w:t>合性分析见</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下</w:t>
            </w:r>
            <w:r>
              <w:rPr>
                <w:rFonts w:hint="default" w:ascii="Times New Roman" w:hAnsi="Times New Roman" w:eastAsia="宋体" w:cs="Times New Roman"/>
                <w:color w:val="000000" w:themeColor="text1"/>
                <w:sz w:val="24"/>
                <w:highlight w:val="none"/>
                <w14:textFill>
                  <w14:solidFill>
                    <w14:schemeClr w14:val="tx1"/>
                  </w14:solidFill>
                </w14:textFill>
              </w:rPr>
              <w:t>表。</w:t>
            </w:r>
          </w:p>
          <w:p w14:paraId="5688214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因此，本项目建设符合国家产业政策。</w:t>
            </w:r>
          </w:p>
          <w:p w14:paraId="1CAA3B7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000000" w:themeColor="text1"/>
                <w:spacing w:val="-3"/>
                <w:highlight w:val="none"/>
                <w14:textFill>
                  <w14:solidFill>
                    <w14:schemeClr w14:val="tx1"/>
                  </w14:solidFill>
                </w14:textFill>
              </w:rPr>
            </w:pPr>
            <w:r>
              <w:rPr>
                <w:rFonts w:hint="default" w:ascii="Times New Roman" w:hAnsi="Times New Roman" w:eastAsia="宋体" w:cs="Times New Roman"/>
                <w:b/>
                <w:bCs/>
                <w:color w:val="000000" w:themeColor="text1"/>
                <w:spacing w:val="-2"/>
                <w:highlight w:val="none"/>
                <w14:textFill>
                  <w14:solidFill>
                    <w14:schemeClr w14:val="tx1"/>
                  </w14:solidFill>
                </w14:textFill>
              </w:rPr>
              <w:t>表</w:t>
            </w:r>
            <w:r>
              <w:rPr>
                <w:rFonts w:hint="default" w:ascii="Times New Roman" w:hAnsi="Times New Roman" w:eastAsia="宋体" w:cs="Times New Roman"/>
                <w:b/>
                <w:bCs/>
                <w:color w:val="000000" w:themeColor="text1"/>
                <w:spacing w:val="-2"/>
                <w:highlight w:val="none"/>
                <w:lang w:val="en-US" w:eastAsia="zh-CN"/>
                <w14:textFill>
                  <w14:solidFill>
                    <w14:schemeClr w14:val="tx1"/>
                  </w14:solidFill>
                </w14:textFill>
              </w:rPr>
              <w:t>1-2</w:t>
            </w:r>
            <w:r>
              <w:rPr>
                <w:rFonts w:hint="default" w:ascii="Times New Roman" w:hAnsi="Times New Roman" w:eastAsia="宋体" w:cs="Times New Roman"/>
                <w:b/>
                <w:bCs/>
                <w:color w:val="000000" w:themeColor="text1"/>
                <w:spacing w:val="-2"/>
                <w:highlight w:val="none"/>
                <w14:textFill>
                  <w14:solidFill>
                    <w14:schemeClr w14:val="tx1"/>
                  </w14:solidFill>
                </w14:textFill>
              </w:rPr>
              <w:t>本项目与《工业炉窑大气污染综合</w:t>
            </w:r>
            <w:r>
              <w:rPr>
                <w:rFonts w:hint="default" w:ascii="Times New Roman" w:hAnsi="Times New Roman" w:eastAsia="宋体" w:cs="Times New Roman"/>
                <w:b/>
                <w:bCs/>
                <w:color w:val="000000" w:themeColor="text1"/>
                <w:spacing w:val="-3"/>
                <w:highlight w:val="none"/>
                <w14:textFill>
                  <w14:solidFill>
                    <w14:schemeClr w14:val="tx1"/>
                  </w14:solidFill>
                </w14:textFill>
              </w:rPr>
              <w:t>治理方案》符合性分析</w:t>
            </w:r>
          </w:p>
          <w:tbl>
            <w:tblPr>
              <w:tblStyle w:val="2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1"/>
              <w:gridCol w:w="886"/>
              <w:gridCol w:w="3485"/>
              <w:gridCol w:w="2216"/>
              <w:gridCol w:w="710"/>
            </w:tblGrid>
            <w:tr w14:paraId="51F77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1" w:type="pct"/>
                  <w:noWrap w:val="0"/>
                  <w:vAlign w:val="center"/>
                </w:tcPr>
                <w:p w14:paraId="64B491AF">
                  <w:pPr>
                    <w:pStyle w:val="116"/>
                    <w:keepNext w:val="0"/>
                    <w:keepLines w:val="0"/>
                    <w:pageBreakBefore w:val="0"/>
                    <w:widowControl w:val="0"/>
                    <w:kinsoku/>
                    <w:wordWrap/>
                    <w:overflowPunct/>
                    <w:topLinePunct w:val="0"/>
                    <w:autoSpaceDE/>
                    <w:autoSpaceDN/>
                    <w:bidi w:val="0"/>
                    <w:adjustRightInd/>
                    <w:snapToGrid/>
                    <w:spacing w:line="240" w:lineRule="auto"/>
                    <w:ind w:left="0" w:leftChars="0" w:right="0"/>
                    <w:jc w:val="center"/>
                    <w:textAlignment w:val="auto"/>
                    <w:rPr>
                      <w:rFonts w:hint="default" w:ascii="Times New Roman" w:hAnsi="Times New Roman" w:eastAsia="宋体" w:cs="Times New Roman"/>
                      <w:b/>
                      <w:bCs/>
                      <w:color w:val="000000" w:themeColor="text1"/>
                      <w:spacing w:val="-3"/>
                      <w:sz w:val="21"/>
                      <w:szCs w:val="21"/>
                      <w:highlight w:val="none"/>
                      <w:vertAlign w:val="baseline"/>
                      <w14:textFill>
                        <w14:solidFill>
                          <w14:schemeClr w14:val="tx1"/>
                        </w14:solidFill>
                      </w14:textFill>
                    </w:rPr>
                  </w:pPr>
                  <w:r>
                    <w:rPr>
                      <w:rFonts w:hint="default" w:ascii="Times New Roman" w:hAnsi="Times New Roman" w:eastAsia="宋体" w:cs="Times New Roman"/>
                      <w:color w:val="000000" w:themeColor="text1"/>
                      <w:spacing w:val="6"/>
                      <w:sz w:val="21"/>
                      <w:szCs w:val="21"/>
                      <w:highlight w:val="none"/>
                      <w14:textFill>
                        <w14:solidFill>
                          <w14:schemeClr w14:val="tx1"/>
                        </w14:solidFill>
                      </w14:textFill>
                    </w:rPr>
                    <w:t>序号</w:t>
                  </w:r>
                </w:p>
              </w:tc>
              <w:tc>
                <w:tcPr>
                  <w:tcW w:w="568" w:type="pct"/>
                  <w:noWrap w:val="0"/>
                  <w:vAlign w:val="center"/>
                </w:tcPr>
                <w:p w14:paraId="0531242D">
                  <w:pPr>
                    <w:pStyle w:val="116"/>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default" w:ascii="Times New Roman" w:hAnsi="Times New Roman" w:eastAsia="宋体" w:cs="Times New Roman"/>
                      <w:b/>
                      <w:bCs/>
                      <w:color w:val="000000" w:themeColor="text1"/>
                      <w:spacing w:val="-3"/>
                      <w:sz w:val="21"/>
                      <w:szCs w:val="21"/>
                      <w:highlight w:val="none"/>
                      <w:vertAlign w:val="baseline"/>
                      <w14:textFill>
                        <w14:solidFill>
                          <w14:schemeClr w14:val="tx1"/>
                        </w14:solidFill>
                      </w14:textFill>
                    </w:rPr>
                  </w:pPr>
                  <w:r>
                    <w:rPr>
                      <w:rFonts w:hint="default" w:ascii="Times New Roman" w:hAnsi="Times New Roman" w:eastAsia="宋体" w:cs="Times New Roman"/>
                      <w:color w:val="000000" w:themeColor="text1"/>
                      <w:spacing w:val="-6"/>
                      <w:sz w:val="21"/>
                      <w:szCs w:val="21"/>
                      <w:highlight w:val="none"/>
                      <w14:textFill>
                        <w14:solidFill>
                          <w14:schemeClr w14:val="tx1"/>
                        </w14:solidFill>
                      </w14:textFill>
                    </w:rPr>
                    <w:t>分析</w:t>
                  </w:r>
                  <w:r>
                    <w:rPr>
                      <w:rFonts w:hint="default" w:ascii="Times New Roman" w:hAnsi="Times New Roman" w:eastAsia="宋体" w:cs="Times New Roman"/>
                      <w:color w:val="000000" w:themeColor="text1"/>
                      <w:spacing w:val="5"/>
                      <w:sz w:val="21"/>
                      <w:szCs w:val="21"/>
                      <w:highlight w:val="none"/>
                      <w14:textFill>
                        <w14:solidFill>
                          <w14:schemeClr w14:val="tx1"/>
                        </w14:solidFill>
                      </w14:textFill>
                    </w:rPr>
                    <w:t>内容</w:t>
                  </w:r>
                </w:p>
              </w:tc>
              <w:tc>
                <w:tcPr>
                  <w:tcW w:w="2234" w:type="pct"/>
                  <w:noWrap w:val="0"/>
                  <w:vAlign w:val="center"/>
                </w:tcPr>
                <w:p w14:paraId="76C6D001">
                  <w:pPr>
                    <w:pStyle w:val="116"/>
                    <w:keepNext w:val="0"/>
                    <w:keepLines w:val="0"/>
                    <w:pageBreakBefore w:val="0"/>
                    <w:widowControl w:val="0"/>
                    <w:kinsoku/>
                    <w:wordWrap/>
                    <w:overflowPunct/>
                    <w:topLinePunct w:val="0"/>
                    <w:autoSpaceDE/>
                    <w:autoSpaceDN/>
                    <w:bidi w:val="0"/>
                    <w:adjustRightInd/>
                    <w:snapToGrid/>
                    <w:spacing w:line="240" w:lineRule="auto"/>
                    <w:ind w:left="0" w:leftChars="0" w:right="0"/>
                    <w:jc w:val="center"/>
                    <w:textAlignment w:val="auto"/>
                    <w:rPr>
                      <w:rFonts w:hint="default" w:ascii="Times New Roman" w:hAnsi="Times New Roman" w:eastAsia="宋体" w:cs="Times New Roman"/>
                      <w:b/>
                      <w:bCs/>
                      <w:color w:val="000000" w:themeColor="text1"/>
                      <w:spacing w:val="-3"/>
                      <w:sz w:val="21"/>
                      <w:szCs w:val="21"/>
                      <w:highlight w:val="none"/>
                      <w:vertAlign w:val="baseline"/>
                      <w14:textFill>
                        <w14:solidFill>
                          <w14:schemeClr w14:val="tx1"/>
                        </w14:solidFill>
                      </w14:textFill>
                    </w:rPr>
                  </w:pPr>
                  <w:r>
                    <w:rPr>
                      <w:rFonts w:hint="default" w:ascii="Times New Roman" w:hAnsi="Times New Roman" w:eastAsia="宋体" w:cs="Times New Roman"/>
                      <w:color w:val="000000" w:themeColor="text1"/>
                      <w:spacing w:val="-2"/>
                      <w:sz w:val="21"/>
                      <w:szCs w:val="21"/>
                      <w:highlight w:val="none"/>
                      <w14:textFill>
                        <w14:solidFill>
                          <w14:schemeClr w14:val="tx1"/>
                        </w14:solidFill>
                      </w14:textFill>
                    </w:rPr>
                    <w:t>相关条件要求</w:t>
                  </w:r>
                </w:p>
              </w:tc>
              <w:tc>
                <w:tcPr>
                  <w:tcW w:w="1420" w:type="pct"/>
                  <w:noWrap w:val="0"/>
                  <w:vAlign w:val="center"/>
                </w:tcPr>
                <w:p w14:paraId="443D38D0">
                  <w:pPr>
                    <w:pStyle w:val="116"/>
                    <w:keepNext w:val="0"/>
                    <w:keepLines w:val="0"/>
                    <w:pageBreakBefore w:val="0"/>
                    <w:widowControl w:val="0"/>
                    <w:kinsoku/>
                    <w:wordWrap/>
                    <w:overflowPunct/>
                    <w:topLinePunct w:val="0"/>
                    <w:autoSpaceDE/>
                    <w:autoSpaceDN/>
                    <w:bidi w:val="0"/>
                    <w:adjustRightInd/>
                    <w:snapToGrid/>
                    <w:spacing w:line="240" w:lineRule="auto"/>
                    <w:ind w:left="0" w:leftChars="0" w:right="0"/>
                    <w:jc w:val="center"/>
                    <w:textAlignment w:val="auto"/>
                    <w:rPr>
                      <w:rFonts w:hint="default" w:ascii="Times New Roman" w:hAnsi="Times New Roman" w:eastAsia="宋体" w:cs="Times New Roman"/>
                      <w:b/>
                      <w:bCs/>
                      <w:color w:val="000000" w:themeColor="text1"/>
                      <w:spacing w:val="-3"/>
                      <w:sz w:val="21"/>
                      <w:szCs w:val="21"/>
                      <w:highlight w:val="none"/>
                      <w:vertAlign w:val="baseline"/>
                      <w14:textFill>
                        <w14:solidFill>
                          <w14:schemeClr w14:val="tx1"/>
                        </w14:solidFill>
                      </w14:textFill>
                    </w:rPr>
                  </w:pPr>
                  <w:r>
                    <w:rPr>
                      <w:rFonts w:hint="default" w:ascii="Times New Roman" w:hAnsi="Times New Roman" w:eastAsia="宋体" w:cs="Times New Roman"/>
                      <w:color w:val="000000" w:themeColor="text1"/>
                      <w:spacing w:val="-2"/>
                      <w:sz w:val="21"/>
                      <w:szCs w:val="21"/>
                      <w:highlight w:val="none"/>
                      <w14:textFill>
                        <w14:solidFill>
                          <w14:schemeClr w14:val="tx1"/>
                        </w14:solidFill>
                      </w14:textFill>
                    </w:rPr>
                    <w:t>本项目情况</w:t>
                  </w:r>
                </w:p>
              </w:tc>
              <w:tc>
                <w:tcPr>
                  <w:tcW w:w="455" w:type="pct"/>
                  <w:noWrap w:val="0"/>
                  <w:vAlign w:val="center"/>
                </w:tcPr>
                <w:p w14:paraId="52F4F6C1">
                  <w:pPr>
                    <w:pStyle w:val="116"/>
                    <w:keepNext w:val="0"/>
                    <w:keepLines w:val="0"/>
                    <w:pageBreakBefore w:val="0"/>
                    <w:widowControl w:val="0"/>
                    <w:kinsoku/>
                    <w:wordWrap/>
                    <w:overflowPunct/>
                    <w:topLinePunct w:val="0"/>
                    <w:autoSpaceDE/>
                    <w:autoSpaceDN/>
                    <w:bidi w:val="0"/>
                    <w:adjustRightInd/>
                    <w:snapToGrid/>
                    <w:spacing w:line="240" w:lineRule="auto"/>
                    <w:ind w:left="0" w:leftChars="0" w:right="0"/>
                    <w:jc w:val="center"/>
                    <w:textAlignment w:val="auto"/>
                    <w:rPr>
                      <w:rFonts w:hint="default" w:ascii="Times New Roman" w:hAnsi="Times New Roman" w:eastAsia="宋体" w:cs="Times New Roman"/>
                      <w:b/>
                      <w:bCs/>
                      <w:color w:val="000000" w:themeColor="text1"/>
                      <w:spacing w:val="-3"/>
                      <w:sz w:val="21"/>
                      <w:szCs w:val="21"/>
                      <w:highlight w:val="none"/>
                      <w:vertAlign w:val="baseline"/>
                      <w14:textFill>
                        <w14:solidFill>
                          <w14:schemeClr w14:val="tx1"/>
                        </w14:solidFill>
                      </w14:textFill>
                    </w:rPr>
                  </w:pPr>
                  <w:r>
                    <w:rPr>
                      <w:rFonts w:hint="default" w:ascii="Times New Roman" w:hAnsi="Times New Roman" w:eastAsia="宋体" w:cs="Times New Roman"/>
                      <w:color w:val="000000" w:themeColor="text1"/>
                      <w:spacing w:val="-3"/>
                      <w:sz w:val="21"/>
                      <w:szCs w:val="21"/>
                      <w:highlight w:val="none"/>
                      <w14:textFill>
                        <w14:solidFill>
                          <w14:schemeClr w14:val="tx1"/>
                        </w14:solidFill>
                      </w14:textFill>
                    </w:rPr>
                    <w:t>符合性</w:t>
                  </w:r>
                </w:p>
              </w:tc>
            </w:tr>
            <w:tr w14:paraId="3DF4B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1" w:type="pct"/>
                  <w:noWrap w:val="0"/>
                  <w:vAlign w:val="center"/>
                </w:tcPr>
                <w:p w14:paraId="2CD2D4B6">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p w14:paraId="59E3A77C">
                  <w:pPr>
                    <w:pStyle w:val="116"/>
                    <w:keepNext w:val="0"/>
                    <w:keepLines w:val="0"/>
                    <w:pageBreakBefore w:val="0"/>
                    <w:widowControl w:val="0"/>
                    <w:kinsoku/>
                    <w:wordWrap/>
                    <w:overflowPunct/>
                    <w:topLinePunct w:val="0"/>
                    <w:autoSpaceDE/>
                    <w:autoSpaceDN/>
                    <w:bidi w:val="0"/>
                    <w:adjustRightInd/>
                    <w:snapToGrid/>
                    <w:spacing w:line="240" w:lineRule="auto"/>
                    <w:ind w:left="0" w:leftChars="0" w:right="0"/>
                    <w:jc w:val="center"/>
                    <w:textAlignment w:val="auto"/>
                    <w:rPr>
                      <w:rFonts w:hint="default" w:ascii="Times New Roman" w:hAnsi="Times New Roman" w:eastAsia="宋体" w:cs="Times New Roman"/>
                      <w:b/>
                      <w:bCs/>
                      <w:color w:val="000000" w:themeColor="text1"/>
                      <w:spacing w:val="-3"/>
                      <w:sz w:val="21"/>
                      <w:szCs w:val="21"/>
                      <w:highlight w:val="none"/>
                      <w:vertAlign w:val="baseli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w:t>
                  </w:r>
                </w:p>
              </w:tc>
              <w:tc>
                <w:tcPr>
                  <w:tcW w:w="568" w:type="pct"/>
                  <w:noWrap w:val="0"/>
                  <w:vAlign w:val="center"/>
                </w:tcPr>
                <w:p w14:paraId="0CF9AFD2">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p w14:paraId="2EF0B357">
                  <w:pPr>
                    <w:pStyle w:val="116"/>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eastAsia="宋体" w:cs="Times New Roman"/>
                      <w:b/>
                      <w:bCs/>
                      <w:color w:val="000000" w:themeColor="text1"/>
                      <w:spacing w:val="-3"/>
                      <w:sz w:val="21"/>
                      <w:szCs w:val="21"/>
                      <w:highlight w:val="none"/>
                      <w:vertAlign w:val="baseline"/>
                      <w14:textFill>
                        <w14:solidFill>
                          <w14:schemeClr w14:val="tx1"/>
                        </w14:solidFill>
                      </w14:textFill>
                    </w:rPr>
                  </w:pPr>
                  <w:r>
                    <w:rPr>
                      <w:rFonts w:hint="default" w:ascii="Times New Roman" w:hAnsi="Times New Roman" w:eastAsia="宋体" w:cs="Times New Roman"/>
                      <w:color w:val="000000" w:themeColor="text1"/>
                      <w:spacing w:val="-5"/>
                      <w:sz w:val="21"/>
                      <w:szCs w:val="21"/>
                      <w:highlight w:val="none"/>
                      <w14:textFill>
                        <w14:solidFill>
                          <w14:schemeClr w14:val="tx1"/>
                        </w14:solidFill>
                      </w14:textFill>
                    </w:rPr>
                    <w:t>加大产业</w:t>
                  </w:r>
                  <w:r>
                    <w:rPr>
                      <w:rFonts w:hint="default" w:ascii="Times New Roman" w:hAnsi="Times New Roman" w:eastAsia="宋体" w:cs="Times New Roman"/>
                      <w:color w:val="000000" w:themeColor="text1"/>
                      <w:spacing w:val="6"/>
                      <w:sz w:val="21"/>
                      <w:szCs w:val="21"/>
                      <w:highlight w:val="none"/>
                      <w14:textFill>
                        <w14:solidFill>
                          <w14:schemeClr w14:val="tx1"/>
                        </w14:solidFill>
                      </w14:textFill>
                    </w:rPr>
                    <w:t>结构</w:t>
                  </w:r>
                  <w:r>
                    <w:rPr>
                      <w:rFonts w:hint="default" w:ascii="Times New Roman" w:hAnsi="Times New Roman" w:eastAsia="宋体" w:cs="Times New Roman"/>
                      <w:color w:val="000000" w:themeColor="text1"/>
                      <w:spacing w:val="5"/>
                      <w:sz w:val="21"/>
                      <w:szCs w:val="21"/>
                      <w:highlight w:val="none"/>
                      <w14:textFill>
                        <w14:solidFill>
                          <w14:schemeClr w14:val="tx1"/>
                        </w14:solidFill>
                      </w14:textFill>
                    </w:rPr>
                    <w:t>调整</w:t>
                  </w:r>
                  <w:r>
                    <w:rPr>
                      <w:rFonts w:hint="default" w:ascii="Times New Roman" w:hAnsi="Times New Roman" w:eastAsia="宋体" w:cs="Times New Roman"/>
                      <w:color w:val="000000" w:themeColor="text1"/>
                      <w:spacing w:val="6"/>
                      <w:sz w:val="21"/>
                      <w:szCs w:val="21"/>
                      <w:highlight w:val="none"/>
                      <w14:textFill>
                        <w14:solidFill>
                          <w14:schemeClr w14:val="tx1"/>
                        </w14:solidFill>
                      </w14:textFill>
                    </w:rPr>
                    <w:t>力度</w:t>
                  </w:r>
                </w:p>
              </w:tc>
              <w:tc>
                <w:tcPr>
                  <w:tcW w:w="2234" w:type="pct"/>
                  <w:noWrap w:val="0"/>
                  <w:vAlign w:val="center"/>
                </w:tcPr>
                <w:p w14:paraId="2C73B84A">
                  <w:pPr>
                    <w:pStyle w:val="115"/>
                    <w:keepNext w:val="0"/>
                    <w:keepLines w:val="0"/>
                    <w:pageBreakBefore w:val="0"/>
                    <w:widowControl w:val="0"/>
                    <w:kinsoku/>
                    <w:wordWrap/>
                    <w:overflowPunct/>
                    <w:topLinePunct w:val="0"/>
                    <w:autoSpaceDE/>
                    <w:autoSpaceDN/>
                    <w:bidi w:val="0"/>
                    <w:adjustRightInd w:val="0"/>
                    <w:snapToGrid w:val="0"/>
                    <w:spacing w:before="157" w:beforeLines="50" w:line="240" w:lineRule="auto"/>
                    <w:jc w:val="both"/>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严格建设项目环境准入。新建涉工业炉窑的建设项目，原则上要入园区，配套建设高效</w:t>
                  </w:r>
                  <w:r>
                    <w:rPr>
                      <w:rFonts w:hint="eastAsia" w:cs="Times New Roman"/>
                      <w:color w:val="000000" w:themeColor="text1"/>
                      <w:sz w:val="21"/>
                      <w:szCs w:val="21"/>
                      <w:highlight w:val="none"/>
                      <w:lang w:eastAsia="zh-CN"/>
                      <w14:textFill>
                        <w14:solidFill>
                          <w14:schemeClr w14:val="tx1"/>
                        </w14:solidFill>
                      </w14:textFill>
                    </w:rPr>
                    <w:t>环境治理</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设施。重点区域严格控制涉工业炉窑建设项目，严禁新增钢铁、焦化、电解铝、铸造、水泥和平板玻璃等产能；严格执行钢铁、水泥、平板玻璃等行业产能置换实施办法；原则上禁止新建燃料类煤气发生炉。</w:t>
                  </w:r>
                </w:p>
              </w:tc>
              <w:tc>
                <w:tcPr>
                  <w:tcW w:w="1420" w:type="pct"/>
                  <w:noWrap w:val="0"/>
                  <w:vAlign w:val="center"/>
                </w:tcPr>
                <w:p w14:paraId="0ACB454B">
                  <w:pPr>
                    <w:pStyle w:val="115"/>
                    <w:keepNext w:val="0"/>
                    <w:keepLines w:val="0"/>
                    <w:pageBreakBefore w:val="0"/>
                    <w:widowControl w:val="0"/>
                    <w:kinsoku/>
                    <w:wordWrap/>
                    <w:overflowPunct/>
                    <w:topLinePunct w:val="0"/>
                    <w:autoSpaceDE/>
                    <w:autoSpaceDN/>
                    <w:bidi w:val="0"/>
                    <w:adjustRightInd w:val="0"/>
                    <w:snapToGrid w:val="0"/>
                    <w:spacing w:before="157" w:beforeLines="50" w:line="240" w:lineRule="auto"/>
                    <w:jc w:val="both"/>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本项目位于</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内蒙古鄂尔多斯市准格尔经济开发区</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，项目符合园区产业定位，符合土地利用总体规划，符合主体功能区规划。</w:t>
                  </w:r>
                </w:p>
              </w:tc>
              <w:tc>
                <w:tcPr>
                  <w:tcW w:w="455" w:type="pct"/>
                  <w:noWrap w:val="0"/>
                  <w:vAlign w:val="center"/>
                </w:tcPr>
                <w:p w14:paraId="01C66F3C">
                  <w:pPr>
                    <w:pStyle w:val="116"/>
                    <w:keepNext w:val="0"/>
                    <w:keepLines w:val="0"/>
                    <w:pageBreakBefore w:val="0"/>
                    <w:widowControl w:val="0"/>
                    <w:kinsoku/>
                    <w:wordWrap/>
                    <w:overflowPunct/>
                    <w:topLinePunct w:val="0"/>
                    <w:autoSpaceDE/>
                    <w:autoSpaceDN/>
                    <w:bidi w:val="0"/>
                    <w:adjustRightInd/>
                    <w:snapToGrid/>
                    <w:spacing w:line="240" w:lineRule="auto"/>
                    <w:ind w:left="0" w:leftChars="0" w:right="0"/>
                    <w:jc w:val="center"/>
                    <w:textAlignment w:val="auto"/>
                    <w:rPr>
                      <w:rFonts w:hint="default" w:ascii="Times New Roman" w:hAnsi="Times New Roman" w:eastAsia="宋体" w:cs="Times New Roman"/>
                      <w:b/>
                      <w:bCs/>
                      <w:color w:val="000000" w:themeColor="text1"/>
                      <w:spacing w:val="-3"/>
                      <w:sz w:val="21"/>
                      <w:szCs w:val="21"/>
                      <w:highlight w:val="none"/>
                      <w:vertAlign w:val="baseline"/>
                      <w14:textFill>
                        <w14:solidFill>
                          <w14:schemeClr w14:val="tx1"/>
                        </w14:solidFill>
                      </w14:textFill>
                    </w:rPr>
                  </w:pPr>
                  <w:r>
                    <w:rPr>
                      <w:rFonts w:hint="default" w:ascii="Times New Roman" w:hAnsi="Times New Roman" w:eastAsia="宋体" w:cs="Times New Roman"/>
                      <w:color w:val="000000" w:themeColor="text1"/>
                      <w:spacing w:val="-3"/>
                      <w:sz w:val="21"/>
                      <w:szCs w:val="21"/>
                      <w:highlight w:val="none"/>
                      <w14:textFill>
                        <w14:solidFill>
                          <w14:schemeClr w14:val="tx1"/>
                        </w14:solidFill>
                      </w14:textFill>
                    </w:rPr>
                    <w:t>符合</w:t>
                  </w:r>
                </w:p>
              </w:tc>
            </w:tr>
            <w:tr w14:paraId="050A2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1" w:type="pct"/>
                  <w:noWrap w:val="0"/>
                  <w:vAlign w:val="center"/>
                </w:tcPr>
                <w:p w14:paraId="6C27162D">
                  <w:pPr>
                    <w:pStyle w:val="116"/>
                    <w:keepNext w:val="0"/>
                    <w:keepLines w:val="0"/>
                    <w:pageBreakBefore w:val="0"/>
                    <w:widowControl w:val="0"/>
                    <w:kinsoku/>
                    <w:wordWrap/>
                    <w:overflowPunct/>
                    <w:topLinePunct w:val="0"/>
                    <w:autoSpaceDE/>
                    <w:autoSpaceDN/>
                    <w:bidi w:val="0"/>
                    <w:adjustRightInd/>
                    <w:snapToGrid/>
                    <w:spacing w:line="240" w:lineRule="auto"/>
                    <w:ind w:left="0" w:leftChars="0" w:right="0"/>
                    <w:jc w:val="center"/>
                    <w:textAlignment w:val="auto"/>
                    <w:rPr>
                      <w:rFonts w:hint="default" w:ascii="Times New Roman" w:hAnsi="Times New Roman" w:eastAsia="宋体" w:cs="Times New Roman"/>
                      <w:b/>
                      <w:bCs/>
                      <w:color w:val="000000" w:themeColor="text1"/>
                      <w:spacing w:val="-3"/>
                      <w:sz w:val="21"/>
                      <w:szCs w:val="21"/>
                      <w:highlight w:val="none"/>
                      <w:vertAlign w:val="baseli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w:t>
                  </w:r>
                </w:p>
              </w:tc>
              <w:tc>
                <w:tcPr>
                  <w:tcW w:w="568" w:type="pct"/>
                  <w:noWrap w:val="0"/>
                  <w:vAlign w:val="center"/>
                </w:tcPr>
                <w:p w14:paraId="075EAE76">
                  <w:pPr>
                    <w:pStyle w:val="116"/>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default" w:ascii="Times New Roman" w:hAnsi="Times New Roman" w:eastAsia="宋体" w:cs="Times New Roman"/>
                      <w:b/>
                      <w:bCs/>
                      <w:color w:val="000000" w:themeColor="text1"/>
                      <w:spacing w:val="-3"/>
                      <w:sz w:val="21"/>
                      <w:szCs w:val="21"/>
                      <w:highlight w:val="none"/>
                      <w:vertAlign w:val="baseline"/>
                      <w14:textFill>
                        <w14:solidFill>
                          <w14:schemeClr w14:val="tx1"/>
                        </w14:solidFill>
                      </w14:textFill>
                    </w:rPr>
                  </w:pPr>
                  <w:r>
                    <w:rPr>
                      <w:rFonts w:hint="default" w:ascii="Times New Roman" w:hAnsi="Times New Roman" w:eastAsia="宋体" w:cs="Times New Roman"/>
                      <w:color w:val="000000" w:themeColor="text1"/>
                      <w:spacing w:val="-5"/>
                      <w:sz w:val="21"/>
                      <w:szCs w:val="21"/>
                      <w:highlight w:val="none"/>
                      <w14:textFill>
                        <w14:solidFill>
                          <w14:schemeClr w14:val="tx1"/>
                        </w14:solidFill>
                      </w14:textFill>
                    </w:rPr>
                    <w:t>加快燃料清洁</w:t>
                  </w:r>
                  <w:r>
                    <w:rPr>
                      <w:rFonts w:hint="default" w:ascii="Times New Roman" w:hAnsi="Times New Roman" w:eastAsia="宋体" w:cs="Times New Roman"/>
                      <w:color w:val="000000" w:themeColor="text1"/>
                      <w:spacing w:val="-4"/>
                      <w:sz w:val="21"/>
                      <w:szCs w:val="21"/>
                      <w:highlight w:val="none"/>
                      <w14:textFill>
                        <w14:solidFill>
                          <w14:schemeClr w14:val="tx1"/>
                        </w14:solidFill>
                      </w14:textFill>
                    </w:rPr>
                    <w:t>低碳</w:t>
                  </w:r>
                  <w:r>
                    <w:rPr>
                      <w:rFonts w:hint="default" w:ascii="Times New Roman" w:hAnsi="Times New Roman" w:eastAsia="宋体" w:cs="Times New Roman"/>
                      <w:color w:val="000000" w:themeColor="text1"/>
                      <w:spacing w:val="8"/>
                      <w:sz w:val="21"/>
                      <w:szCs w:val="21"/>
                      <w:highlight w:val="none"/>
                      <w14:textFill>
                        <w14:solidFill>
                          <w14:schemeClr w14:val="tx1"/>
                        </w14:solidFill>
                      </w14:textFill>
                    </w:rPr>
                    <w:t>化替</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代</w:t>
                  </w:r>
                </w:p>
              </w:tc>
              <w:tc>
                <w:tcPr>
                  <w:tcW w:w="2234" w:type="pct"/>
                  <w:noWrap w:val="0"/>
                  <w:vAlign w:val="center"/>
                </w:tcPr>
                <w:p w14:paraId="5A56C376">
                  <w:pPr>
                    <w:pStyle w:val="115"/>
                    <w:keepNext w:val="0"/>
                    <w:keepLines w:val="0"/>
                    <w:pageBreakBefore w:val="0"/>
                    <w:widowControl w:val="0"/>
                    <w:kinsoku/>
                    <w:wordWrap/>
                    <w:overflowPunct/>
                    <w:topLinePunct w:val="0"/>
                    <w:autoSpaceDE/>
                    <w:autoSpaceDN/>
                    <w:bidi w:val="0"/>
                    <w:adjustRightInd w:val="0"/>
                    <w:snapToGrid w:val="0"/>
                    <w:spacing w:before="157" w:beforeLines="50" w:line="240" w:lineRule="auto"/>
                    <w:jc w:val="both"/>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对以煤、石油焦、渣油、重油等为燃料的工业炉窑，加快使用清洁低碳能源以及利用工厂余热、电厂热力等进行替代。</w:t>
                  </w:r>
                </w:p>
              </w:tc>
              <w:tc>
                <w:tcPr>
                  <w:tcW w:w="1420" w:type="pct"/>
                  <w:noWrap w:val="0"/>
                  <w:vAlign w:val="center"/>
                </w:tcPr>
                <w:p w14:paraId="306127AB">
                  <w:pPr>
                    <w:pStyle w:val="115"/>
                    <w:keepNext w:val="0"/>
                    <w:keepLines w:val="0"/>
                    <w:pageBreakBefore w:val="0"/>
                    <w:widowControl w:val="0"/>
                    <w:kinsoku/>
                    <w:wordWrap/>
                    <w:overflowPunct/>
                    <w:topLinePunct w:val="0"/>
                    <w:autoSpaceDE/>
                    <w:autoSpaceDN/>
                    <w:bidi w:val="0"/>
                    <w:adjustRightInd w:val="0"/>
                    <w:snapToGrid w:val="0"/>
                    <w:spacing w:before="157" w:beforeLines="50" w:line="240" w:lineRule="auto"/>
                    <w:jc w:val="both"/>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本项目燃料</w:t>
                  </w:r>
                  <w:r>
                    <w:rPr>
                      <w:rFonts w:hint="eastAsia" w:cs="Times New Roman"/>
                      <w:color w:val="000000" w:themeColor="text1"/>
                      <w:sz w:val="21"/>
                      <w:szCs w:val="21"/>
                      <w:highlight w:val="none"/>
                      <w:lang w:val="en-US" w:eastAsia="zh-CN"/>
                      <w14:textFill>
                        <w14:solidFill>
                          <w14:schemeClr w14:val="tx1"/>
                        </w14:solidFill>
                      </w14:textFill>
                    </w:rPr>
                    <w:t>为</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煤气，煤气</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来自园区内蒙古伊东东方能源公司</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w:t>
                  </w:r>
                </w:p>
              </w:tc>
              <w:tc>
                <w:tcPr>
                  <w:tcW w:w="455" w:type="pct"/>
                  <w:noWrap w:val="0"/>
                  <w:vAlign w:val="center"/>
                </w:tcPr>
                <w:p w14:paraId="768E5174">
                  <w:pPr>
                    <w:pStyle w:val="116"/>
                    <w:keepNext w:val="0"/>
                    <w:keepLines w:val="0"/>
                    <w:pageBreakBefore w:val="0"/>
                    <w:widowControl w:val="0"/>
                    <w:kinsoku/>
                    <w:wordWrap/>
                    <w:overflowPunct/>
                    <w:topLinePunct w:val="0"/>
                    <w:autoSpaceDE/>
                    <w:autoSpaceDN/>
                    <w:bidi w:val="0"/>
                    <w:adjustRightInd/>
                    <w:snapToGrid/>
                    <w:spacing w:line="240" w:lineRule="auto"/>
                    <w:ind w:left="0" w:leftChars="0" w:right="0"/>
                    <w:jc w:val="center"/>
                    <w:textAlignment w:val="auto"/>
                    <w:rPr>
                      <w:rFonts w:hint="default" w:ascii="Times New Roman" w:hAnsi="Times New Roman" w:eastAsia="宋体" w:cs="Times New Roman"/>
                      <w:b/>
                      <w:bCs/>
                      <w:color w:val="000000" w:themeColor="text1"/>
                      <w:spacing w:val="-3"/>
                      <w:sz w:val="21"/>
                      <w:szCs w:val="21"/>
                      <w:highlight w:val="none"/>
                      <w:vertAlign w:val="baseline"/>
                      <w14:textFill>
                        <w14:solidFill>
                          <w14:schemeClr w14:val="tx1"/>
                        </w14:solidFill>
                      </w14:textFill>
                    </w:rPr>
                  </w:pPr>
                  <w:r>
                    <w:rPr>
                      <w:rFonts w:hint="default" w:ascii="Times New Roman" w:hAnsi="Times New Roman" w:eastAsia="宋体" w:cs="Times New Roman"/>
                      <w:color w:val="000000" w:themeColor="text1"/>
                      <w:spacing w:val="-3"/>
                      <w:sz w:val="21"/>
                      <w:szCs w:val="21"/>
                      <w:highlight w:val="none"/>
                      <w14:textFill>
                        <w14:solidFill>
                          <w14:schemeClr w14:val="tx1"/>
                        </w14:solidFill>
                      </w14:textFill>
                    </w:rPr>
                    <w:t>符合</w:t>
                  </w:r>
                </w:p>
              </w:tc>
            </w:tr>
            <w:tr w14:paraId="77EDC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1" w:type="pct"/>
                  <w:vMerge w:val="restart"/>
                  <w:noWrap w:val="0"/>
                  <w:vAlign w:val="center"/>
                </w:tcPr>
                <w:p w14:paraId="214BCE30">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eastAsia="宋体" w:cs="Times New Roman"/>
                      <w:b/>
                      <w:bCs/>
                      <w:color w:val="000000" w:themeColor="text1"/>
                      <w:spacing w:val="-3"/>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pacing w:val="-3"/>
                      <w:sz w:val="21"/>
                      <w:szCs w:val="21"/>
                      <w:highlight w:val="none"/>
                      <w:vertAlign w:val="baseline"/>
                      <w:lang w:val="en-US" w:eastAsia="zh-CN"/>
                      <w14:textFill>
                        <w14:solidFill>
                          <w14:schemeClr w14:val="tx1"/>
                        </w14:solidFill>
                      </w14:textFill>
                    </w:rPr>
                    <w:t>3</w:t>
                  </w:r>
                </w:p>
              </w:tc>
              <w:tc>
                <w:tcPr>
                  <w:tcW w:w="568" w:type="pct"/>
                  <w:vMerge w:val="restart"/>
                  <w:noWrap w:val="0"/>
                  <w:vAlign w:val="center"/>
                </w:tcPr>
                <w:p w14:paraId="2D183A7A">
                  <w:pPr>
                    <w:pStyle w:val="116"/>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eastAsia="宋体" w:cs="Times New Roman"/>
                      <w:b/>
                      <w:bCs/>
                      <w:color w:val="000000" w:themeColor="text1"/>
                      <w:spacing w:val="-3"/>
                      <w:sz w:val="21"/>
                      <w:szCs w:val="21"/>
                      <w:highlight w:val="none"/>
                      <w:vertAlign w:val="baseline"/>
                      <w14:textFill>
                        <w14:solidFill>
                          <w14:schemeClr w14:val="tx1"/>
                        </w14:solidFill>
                      </w14:textFill>
                    </w:rPr>
                  </w:pPr>
                  <w:r>
                    <w:rPr>
                      <w:rFonts w:hint="default" w:ascii="Times New Roman" w:hAnsi="Times New Roman" w:eastAsia="宋体" w:cs="Times New Roman"/>
                      <w:color w:val="000000" w:themeColor="text1"/>
                      <w:spacing w:val="4"/>
                      <w:sz w:val="21"/>
                      <w:szCs w:val="21"/>
                      <w:highlight w:val="none"/>
                      <w14:textFill>
                        <w14:solidFill>
                          <w14:schemeClr w14:val="tx1"/>
                        </w14:solidFill>
                      </w14:textFill>
                    </w:rPr>
                    <w:t>实施</w:t>
                  </w:r>
                  <w:r>
                    <w:rPr>
                      <w:rFonts w:hint="default" w:ascii="Times New Roman" w:hAnsi="Times New Roman" w:eastAsia="宋体" w:cs="Times New Roman"/>
                      <w:color w:val="000000" w:themeColor="text1"/>
                      <w:spacing w:val="-5"/>
                      <w:sz w:val="21"/>
                      <w:szCs w:val="21"/>
                      <w:highlight w:val="none"/>
                      <w14:textFill>
                        <w14:solidFill>
                          <w14:schemeClr w14:val="tx1"/>
                        </w14:solidFill>
                      </w14:textFill>
                    </w:rPr>
                    <w:t>污染</w:t>
                  </w:r>
                  <w:r>
                    <w:rPr>
                      <w:rFonts w:hint="default" w:ascii="Times New Roman" w:hAnsi="Times New Roman" w:eastAsia="宋体" w:cs="Times New Roman"/>
                      <w:color w:val="000000" w:themeColor="text1"/>
                      <w:spacing w:val="6"/>
                      <w:sz w:val="21"/>
                      <w:szCs w:val="21"/>
                      <w:highlight w:val="none"/>
                      <w14:textFill>
                        <w14:solidFill>
                          <w14:schemeClr w14:val="tx1"/>
                        </w14:solidFill>
                      </w14:textFill>
                    </w:rPr>
                    <w:t>深度</w:t>
                  </w:r>
                  <w:r>
                    <w:rPr>
                      <w:rFonts w:hint="default" w:ascii="Times New Roman" w:hAnsi="Times New Roman" w:eastAsia="宋体" w:cs="Times New Roman"/>
                      <w:color w:val="000000" w:themeColor="text1"/>
                      <w:spacing w:val="3"/>
                      <w:sz w:val="21"/>
                      <w:szCs w:val="21"/>
                      <w:highlight w:val="none"/>
                      <w14:textFill>
                        <w14:solidFill>
                          <w14:schemeClr w14:val="tx1"/>
                        </w14:solidFill>
                      </w14:textFill>
                    </w:rPr>
                    <w:t>治理</w:t>
                  </w:r>
                </w:p>
              </w:tc>
              <w:tc>
                <w:tcPr>
                  <w:tcW w:w="2234" w:type="pct"/>
                  <w:noWrap w:val="0"/>
                  <w:vAlign w:val="center"/>
                </w:tcPr>
                <w:p w14:paraId="2A2C7337">
                  <w:pPr>
                    <w:pStyle w:val="115"/>
                    <w:keepNext w:val="0"/>
                    <w:keepLines w:val="0"/>
                    <w:pageBreakBefore w:val="0"/>
                    <w:widowControl w:val="0"/>
                    <w:kinsoku/>
                    <w:wordWrap/>
                    <w:overflowPunct/>
                    <w:topLinePunct w:val="0"/>
                    <w:autoSpaceDE/>
                    <w:autoSpaceDN/>
                    <w:bidi w:val="0"/>
                    <w:adjustRightInd w:val="0"/>
                    <w:snapToGrid w:val="0"/>
                    <w:spacing w:before="157" w:beforeLines="50" w:line="240" w:lineRule="auto"/>
                    <w:jc w:val="both"/>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推进工业炉窑全面达标排放。已有行业排放标准的工业炉窑，严格执行行业排放标准相关规定，配套建设高效脱硫脱硝除尘设施，确保稳定达标排放。</w:t>
                  </w:r>
                </w:p>
              </w:tc>
              <w:tc>
                <w:tcPr>
                  <w:tcW w:w="1420" w:type="pct"/>
                  <w:noWrap w:val="0"/>
                  <w:vAlign w:val="center"/>
                </w:tcPr>
                <w:p w14:paraId="40C4538F">
                  <w:pPr>
                    <w:pStyle w:val="115"/>
                    <w:keepNext w:val="0"/>
                    <w:keepLines w:val="0"/>
                    <w:pageBreakBefore w:val="0"/>
                    <w:widowControl w:val="0"/>
                    <w:kinsoku/>
                    <w:wordWrap/>
                    <w:overflowPunct/>
                    <w:topLinePunct w:val="0"/>
                    <w:autoSpaceDE/>
                    <w:autoSpaceDN/>
                    <w:bidi w:val="0"/>
                    <w:adjustRightInd w:val="0"/>
                    <w:snapToGrid w:val="0"/>
                    <w:spacing w:before="157" w:beforeLines="50" w:line="240" w:lineRule="auto"/>
                    <w:jc w:val="both"/>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本项目原料转运及车间所有产生粉尘的部分均配备除尘措施。</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采用“分</w:t>
                  </w:r>
                  <w:r>
                    <w:rPr>
                      <w:rFonts w:hint="eastAsia" w:cs="Times New Roman"/>
                      <w:b w:val="0"/>
                      <w:bCs w:val="0"/>
                      <w:color w:val="000000" w:themeColor="text1"/>
                      <w:sz w:val="21"/>
                      <w:szCs w:val="21"/>
                      <w:highlight w:val="none"/>
                      <w:lang w:val="en-US" w:eastAsia="zh-CN"/>
                      <w14:textFill>
                        <w14:solidFill>
                          <w14:schemeClr w14:val="tx1"/>
                        </w14:solidFill>
                      </w14:textFill>
                    </w:rPr>
                    <w:t>级燃烧+缺氧燃烧+烟气再循环（FGR”组合）</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”组合低氮燃烧煅烧后产生的</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废气采用</w:t>
                  </w:r>
                  <w:r>
                    <w:rPr>
                      <w:rFonts w:hint="eastAsia" w:cs="Times New Roman"/>
                      <w:color w:val="000000" w:themeColor="text1"/>
                      <w:sz w:val="21"/>
                      <w:szCs w:val="21"/>
                      <w:highlight w:val="none"/>
                      <w:lang w:val="en-US" w:eastAsia="zh-CN"/>
                      <w14:textFill>
                        <w14:solidFill>
                          <w14:schemeClr w14:val="tx1"/>
                        </w14:solidFill>
                      </w14:textFill>
                    </w:rPr>
                    <w:t>余热锅炉+</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脱硝</w:t>
                  </w:r>
                  <w:r>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S</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NCR</w:t>
                  </w:r>
                  <w:r>
                    <w:rPr>
                      <w:rFonts w:hint="eastAsia"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+布袋除尘器</w:t>
                  </w:r>
                  <w:r>
                    <w:rPr>
                      <w:rFonts w:hint="eastAsia" w:cs="Times New Roman"/>
                      <w:color w:val="000000" w:themeColor="text1"/>
                      <w:sz w:val="21"/>
                      <w:szCs w:val="2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覆膜袋式</w:t>
                  </w:r>
                  <w:r>
                    <w:rPr>
                      <w:rFonts w:hint="eastAsia"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+石灰石-石膏脱硫装置进行处理，达标排放。</w:t>
                  </w:r>
                </w:p>
              </w:tc>
              <w:tc>
                <w:tcPr>
                  <w:tcW w:w="455" w:type="pct"/>
                  <w:noWrap w:val="0"/>
                  <w:vAlign w:val="center"/>
                </w:tcPr>
                <w:p w14:paraId="72A47947">
                  <w:pPr>
                    <w:pStyle w:val="116"/>
                    <w:keepNext w:val="0"/>
                    <w:keepLines w:val="0"/>
                    <w:pageBreakBefore w:val="0"/>
                    <w:widowControl w:val="0"/>
                    <w:kinsoku/>
                    <w:wordWrap/>
                    <w:overflowPunct/>
                    <w:topLinePunct w:val="0"/>
                    <w:autoSpaceDE/>
                    <w:autoSpaceDN/>
                    <w:bidi w:val="0"/>
                    <w:adjustRightInd/>
                    <w:snapToGrid/>
                    <w:spacing w:line="240" w:lineRule="auto"/>
                    <w:ind w:left="0" w:leftChars="0" w:right="0"/>
                    <w:jc w:val="center"/>
                    <w:textAlignment w:val="auto"/>
                    <w:rPr>
                      <w:rFonts w:hint="default" w:ascii="Times New Roman" w:hAnsi="Times New Roman" w:eastAsia="宋体" w:cs="Times New Roman"/>
                      <w:b/>
                      <w:bCs/>
                      <w:color w:val="000000" w:themeColor="text1"/>
                      <w:spacing w:val="-3"/>
                      <w:sz w:val="21"/>
                      <w:szCs w:val="21"/>
                      <w:highlight w:val="none"/>
                      <w:vertAlign w:val="baseline"/>
                      <w14:textFill>
                        <w14:solidFill>
                          <w14:schemeClr w14:val="tx1"/>
                        </w14:solidFill>
                      </w14:textFill>
                    </w:rPr>
                  </w:pPr>
                  <w:r>
                    <w:rPr>
                      <w:rFonts w:hint="default" w:ascii="Times New Roman" w:hAnsi="Times New Roman" w:eastAsia="宋体" w:cs="Times New Roman"/>
                      <w:color w:val="000000" w:themeColor="text1"/>
                      <w:spacing w:val="-3"/>
                      <w:sz w:val="21"/>
                      <w:szCs w:val="21"/>
                      <w:highlight w:val="none"/>
                      <w14:textFill>
                        <w14:solidFill>
                          <w14:schemeClr w14:val="tx1"/>
                        </w14:solidFill>
                      </w14:textFill>
                    </w:rPr>
                    <w:t>符合</w:t>
                  </w:r>
                </w:p>
              </w:tc>
            </w:tr>
            <w:tr w14:paraId="15D6F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1" w:type="pct"/>
                  <w:vMerge w:val="continue"/>
                  <w:noWrap w:val="0"/>
                  <w:vAlign w:val="center"/>
                </w:tcPr>
                <w:p w14:paraId="2D9A4118">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eastAsia="宋体" w:cs="Times New Roman"/>
                      <w:b/>
                      <w:bCs/>
                      <w:color w:val="000000" w:themeColor="text1"/>
                      <w:spacing w:val="-3"/>
                      <w:sz w:val="21"/>
                      <w:szCs w:val="21"/>
                      <w:highlight w:val="none"/>
                      <w:vertAlign w:val="baseline"/>
                      <w14:textFill>
                        <w14:solidFill>
                          <w14:schemeClr w14:val="tx1"/>
                        </w14:solidFill>
                      </w14:textFill>
                    </w:rPr>
                  </w:pPr>
                </w:p>
              </w:tc>
              <w:tc>
                <w:tcPr>
                  <w:tcW w:w="568" w:type="pct"/>
                  <w:vMerge w:val="continue"/>
                  <w:noWrap w:val="0"/>
                  <w:vAlign w:val="center"/>
                </w:tcPr>
                <w:p w14:paraId="583EC47B">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eastAsia="宋体" w:cs="Times New Roman"/>
                      <w:b/>
                      <w:bCs/>
                      <w:color w:val="000000" w:themeColor="text1"/>
                      <w:spacing w:val="-3"/>
                      <w:sz w:val="21"/>
                      <w:szCs w:val="21"/>
                      <w:highlight w:val="none"/>
                      <w:vertAlign w:val="baseline"/>
                      <w14:textFill>
                        <w14:solidFill>
                          <w14:schemeClr w14:val="tx1"/>
                        </w14:solidFill>
                      </w14:textFill>
                    </w:rPr>
                  </w:pPr>
                </w:p>
              </w:tc>
              <w:tc>
                <w:tcPr>
                  <w:tcW w:w="2234" w:type="pct"/>
                  <w:noWrap w:val="0"/>
                  <w:vAlign w:val="center"/>
                </w:tcPr>
                <w:p w14:paraId="13ED000C">
                  <w:pPr>
                    <w:pStyle w:val="115"/>
                    <w:keepNext w:val="0"/>
                    <w:keepLines w:val="0"/>
                    <w:pageBreakBefore w:val="0"/>
                    <w:widowControl w:val="0"/>
                    <w:kinsoku/>
                    <w:wordWrap/>
                    <w:overflowPunct/>
                    <w:topLinePunct w:val="0"/>
                    <w:autoSpaceDE/>
                    <w:autoSpaceDN/>
                    <w:bidi w:val="0"/>
                    <w:adjustRightInd w:val="0"/>
                    <w:snapToGrid w:val="0"/>
                    <w:spacing w:before="157" w:beforeLines="50" w:line="240" w:lineRule="auto"/>
                    <w:jc w:val="both"/>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全面加强无组织排放管理。严格控制工业炉窑生产工艺过程及相关物料储存、输送等无组织排放，在保障生产安全的前</w:t>
                  </w:r>
                  <w:r>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t>提</w:t>
                  </w:r>
                  <w:r>
                    <w:rPr>
                      <w:rFonts w:hint="eastAsia" w:cs="Times New Roman"/>
                      <w:color w:val="000000" w:themeColor="text1"/>
                      <w:sz w:val="21"/>
                      <w:szCs w:val="21"/>
                      <w:highlight w:val="none"/>
                      <w:lang w:eastAsia="zh-CN"/>
                      <w14:textFill>
                        <w14:solidFill>
                          <w14:schemeClr w14:val="tx1"/>
                        </w14:solidFill>
                      </w14:textFill>
                    </w:rPr>
                    <w:t>下</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，采取密闭、封闭等有效措施，有效提高废气收集率，产尘点及车间不得有可见烟粉尘</w:t>
                  </w:r>
                  <w:r>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t>外溢</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生产工艺产尘点（装置）应采取密闭、封闭或设置集气罩等措施。煤粉、粉煤灰、石灰、除尘灰、脱硫灰等粉状物料应密闭或封闭储存，采用密闭皮带、封闭通廊、管状带式输送机或密闭车厢、真空罐车、气力输送等方式输送。粒状、块状物料应采用入棚入仓或建设防风抑尘网等方式进行储存，粒状物料采用密闭、封闭等方式输送。物料输送过程中产尘点应采取有效抑尘措施。</w:t>
                  </w:r>
                </w:p>
              </w:tc>
              <w:tc>
                <w:tcPr>
                  <w:tcW w:w="1420" w:type="pct"/>
                  <w:noWrap w:val="0"/>
                  <w:vAlign w:val="center"/>
                </w:tcPr>
                <w:p w14:paraId="7C2E361A">
                  <w:pPr>
                    <w:pStyle w:val="115"/>
                    <w:keepNext w:val="0"/>
                    <w:keepLines w:val="0"/>
                    <w:pageBreakBefore w:val="0"/>
                    <w:widowControl w:val="0"/>
                    <w:kinsoku/>
                    <w:wordWrap/>
                    <w:overflowPunct/>
                    <w:topLinePunct w:val="0"/>
                    <w:autoSpaceDE/>
                    <w:autoSpaceDN/>
                    <w:bidi w:val="0"/>
                    <w:adjustRightInd w:val="0"/>
                    <w:snapToGrid w:val="0"/>
                    <w:spacing w:before="157" w:beforeLines="50" w:line="240" w:lineRule="auto"/>
                    <w:jc w:val="both"/>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本项目物料储存、输送应在保证安全的前</w:t>
                  </w:r>
                  <w:r>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t>提</w:t>
                  </w:r>
                  <w:r>
                    <w:rPr>
                      <w:rFonts w:hint="eastAsia" w:cs="Times New Roman"/>
                      <w:color w:val="000000" w:themeColor="text1"/>
                      <w:sz w:val="21"/>
                      <w:szCs w:val="21"/>
                      <w:highlight w:val="none"/>
                      <w:lang w:eastAsia="zh-CN"/>
                      <w14:textFill>
                        <w14:solidFill>
                          <w14:schemeClr w14:val="tx1"/>
                        </w14:solidFill>
                      </w14:textFill>
                    </w:rPr>
                    <w:t>下</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在全封闭状态下进行；各废气污染物均设置有效的废气收集处理措施，经处理后达标排放。本项目振动筛分、装料、煅烧、出料等工序均设置集气罩及废气处理设施处理。本项目原料均在封闭车间堆放，装料、出料工序均在全封闭过程中进行。原料主要为煤系高岭土，煤系高岭土运至厂内后放置于全封闭车间内。物料输送过程产生的粉尘通过洒水及远程雾炮喷雾形式进行抑尘。</w:t>
                  </w:r>
                </w:p>
              </w:tc>
              <w:tc>
                <w:tcPr>
                  <w:tcW w:w="455" w:type="pct"/>
                  <w:noWrap w:val="0"/>
                  <w:vAlign w:val="center"/>
                </w:tcPr>
                <w:p w14:paraId="0E96FEBF">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p w14:paraId="73F6CF12">
                  <w:pPr>
                    <w:pStyle w:val="116"/>
                    <w:keepNext w:val="0"/>
                    <w:keepLines w:val="0"/>
                    <w:pageBreakBefore w:val="0"/>
                    <w:widowControl w:val="0"/>
                    <w:kinsoku/>
                    <w:wordWrap/>
                    <w:overflowPunct/>
                    <w:topLinePunct w:val="0"/>
                    <w:autoSpaceDE/>
                    <w:autoSpaceDN/>
                    <w:bidi w:val="0"/>
                    <w:adjustRightInd/>
                    <w:snapToGrid/>
                    <w:spacing w:line="240" w:lineRule="auto"/>
                    <w:ind w:left="0" w:leftChars="0" w:right="0"/>
                    <w:jc w:val="center"/>
                    <w:textAlignment w:val="auto"/>
                    <w:rPr>
                      <w:rFonts w:hint="default" w:ascii="Times New Roman" w:hAnsi="Times New Roman" w:eastAsia="宋体" w:cs="Times New Roman"/>
                      <w:b/>
                      <w:bCs/>
                      <w:color w:val="000000" w:themeColor="text1"/>
                      <w:spacing w:val="-3"/>
                      <w:sz w:val="21"/>
                      <w:szCs w:val="21"/>
                      <w:highlight w:val="none"/>
                      <w:vertAlign w:val="baseline"/>
                      <w14:textFill>
                        <w14:solidFill>
                          <w14:schemeClr w14:val="tx1"/>
                        </w14:solidFill>
                      </w14:textFill>
                    </w:rPr>
                  </w:pPr>
                  <w:r>
                    <w:rPr>
                      <w:rFonts w:hint="default" w:ascii="Times New Roman" w:hAnsi="Times New Roman" w:eastAsia="宋体" w:cs="Times New Roman"/>
                      <w:color w:val="000000" w:themeColor="text1"/>
                      <w:spacing w:val="-3"/>
                      <w:sz w:val="21"/>
                      <w:szCs w:val="21"/>
                      <w:highlight w:val="none"/>
                      <w14:textFill>
                        <w14:solidFill>
                          <w14:schemeClr w14:val="tx1"/>
                        </w14:solidFill>
                      </w14:textFill>
                    </w:rPr>
                    <w:t>符合</w:t>
                  </w:r>
                </w:p>
              </w:tc>
            </w:tr>
          </w:tbl>
          <w:p w14:paraId="2F6BFC12">
            <w:pPr>
              <w:spacing w:line="240" w:lineRule="auto"/>
              <w:jc w:val="center"/>
              <w:rPr>
                <w:rFonts w:hint="default" w:ascii="Times New Roman" w:hAnsi="Times New Roman" w:eastAsia="宋体" w:cs="Times New Roman"/>
                <w:b/>
                <w:bCs/>
                <w:color w:val="000000" w:themeColor="text1"/>
                <w:spacing w:val="-3"/>
                <w:highlight w:val="none"/>
                <w14:textFill>
                  <w14:solidFill>
                    <w14:schemeClr w14:val="tx1"/>
                  </w14:solidFill>
                </w14:textFill>
              </w:rPr>
            </w:pPr>
            <w:r>
              <w:rPr>
                <w:rFonts w:hint="default" w:ascii="Times New Roman" w:hAnsi="Times New Roman" w:eastAsia="宋体" w:cs="Times New Roman"/>
                <w:b/>
                <w:bCs/>
                <w:color w:val="000000" w:themeColor="text1"/>
                <w:spacing w:val="-3"/>
                <w:highlight w:val="none"/>
                <w14:textFill>
                  <w14:solidFill>
                    <w14:schemeClr w14:val="tx1"/>
                  </w14:solidFill>
                </w14:textFill>
              </w:rPr>
              <w:t>表</w:t>
            </w:r>
            <w:r>
              <w:rPr>
                <w:rFonts w:hint="default" w:ascii="Times New Roman" w:hAnsi="Times New Roman" w:eastAsia="宋体" w:cs="Times New Roman"/>
                <w:b/>
                <w:bCs/>
                <w:color w:val="000000" w:themeColor="text1"/>
                <w:spacing w:val="-3"/>
                <w:highlight w:val="none"/>
                <w:lang w:val="en-US" w:eastAsia="zh-CN"/>
                <w14:textFill>
                  <w14:solidFill>
                    <w14:schemeClr w14:val="tx1"/>
                  </w14:solidFill>
                </w14:textFill>
              </w:rPr>
              <w:t>1-3</w:t>
            </w:r>
            <w:r>
              <w:rPr>
                <w:rFonts w:hint="default" w:ascii="Times New Roman" w:hAnsi="Times New Roman" w:eastAsia="宋体" w:cs="Times New Roman"/>
                <w:b/>
                <w:bCs/>
                <w:color w:val="000000" w:themeColor="text1"/>
                <w:spacing w:val="-3"/>
                <w:highlight w:val="none"/>
                <w14:textFill>
                  <w14:solidFill>
                    <w14:schemeClr w14:val="tx1"/>
                  </w14:solidFill>
                </w14:textFill>
              </w:rPr>
              <w:t>项目与《内蒙古自治区工业炉窑大气污染综合治理实施方案》</w:t>
            </w:r>
            <w:r>
              <w:rPr>
                <w:rFonts w:hint="default" w:ascii="Times New Roman" w:hAnsi="Times New Roman" w:eastAsia="宋体" w:cs="Times New Roman"/>
                <w:b/>
                <w:bCs/>
                <w:color w:val="000000" w:themeColor="text1"/>
                <w:spacing w:val="-4"/>
                <w:highlight w:val="none"/>
                <w14:textFill>
                  <w14:solidFill>
                    <w14:schemeClr w14:val="tx1"/>
                  </w14:solidFill>
                </w14:textFill>
              </w:rPr>
              <w:t>符合性分析</w:t>
            </w:r>
          </w:p>
          <w:tbl>
            <w:tblPr>
              <w:tblStyle w:val="2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
              <w:gridCol w:w="866"/>
              <w:gridCol w:w="3510"/>
              <w:gridCol w:w="2166"/>
              <w:gridCol w:w="769"/>
            </w:tblGrid>
            <w:tr w14:paraId="332E0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 w:type="pct"/>
                  <w:noWrap w:val="0"/>
                  <w:vAlign w:val="center"/>
                </w:tcPr>
                <w:p w14:paraId="460E513F">
                  <w:pPr>
                    <w:pStyle w:val="115"/>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序号</w:t>
                  </w:r>
                </w:p>
              </w:tc>
              <w:tc>
                <w:tcPr>
                  <w:tcW w:w="555" w:type="pct"/>
                  <w:noWrap w:val="0"/>
                  <w:vAlign w:val="center"/>
                </w:tcPr>
                <w:p w14:paraId="50D4AEED">
                  <w:pPr>
                    <w:pStyle w:val="115"/>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分析</w:t>
                  </w:r>
                </w:p>
                <w:p w14:paraId="577108A5">
                  <w:pPr>
                    <w:pStyle w:val="115"/>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内容</w:t>
                  </w:r>
                </w:p>
              </w:tc>
              <w:tc>
                <w:tcPr>
                  <w:tcW w:w="2249" w:type="pct"/>
                  <w:noWrap w:val="0"/>
                  <w:vAlign w:val="center"/>
                </w:tcPr>
                <w:p w14:paraId="2B12B774">
                  <w:pPr>
                    <w:pStyle w:val="115"/>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相关条件要求</w:t>
                  </w:r>
                </w:p>
              </w:tc>
              <w:tc>
                <w:tcPr>
                  <w:tcW w:w="1388" w:type="pct"/>
                  <w:noWrap w:val="0"/>
                  <w:vAlign w:val="center"/>
                </w:tcPr>
                <w:p w14:paraId="3A0DDB42">
                  <w:pPr>
                    <w:pStyle w:val="115"/>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本项目情况</w:t>
                  </w:r>
                </w:p>
              </w:tc>
              <w:tc>
                <w:tcPr>
                  <w:tcW w:w="493" w:type="pct"/>
                  <w:noWrap w:val="0"/>
                  <w:vAlign w:val="center"/>
                </w:tcPr>
                <w:p w14:paraId="67C8FE95">
                  <w:pPr>
                    <w:pStyle w:val="115"/>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符合性</w:t>
                  </w:r>
                </w:p>
              </w:tc>
            </w:tr>
            <w:tr w14:paraId="680C6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 w:type="pct"/>
                  <w:noWrap w:val="0"/>
                  <w:vAlign w:val="center"/>
                </w:tcPr>
                <w:p w14:paraId="00DDFFB7">
                  <w:pPr>
                    <w:pStyle w:val="116"/>
                    <w:keepNext w:val="0"/>
                    <w:keepLines w:val="0"/>
                    <w:pageBreakBefore w:val="0"/>
                    <w:widowControl w:val="0"/>
                    <w:kinsoku/>
                    <w:wordWrap/>
                    <w:overflowPunct/>
                    <w:topLinePunct w:val="0"/>
                    <w:autoSpaceDE/>
                    <w:autoSpaceDN/>
                    <w:bidi w:val="0"/>
                    <w:adjustRightInd/>
                    <w:snapToGrid/>
                    <w:spacing w:line="240" w:lineRule="auto"/>
                    <w:ind w:left="0" w:leftChars="0" w:right="0"/>
                    <w:jc w:val="center"/>
                    <w:textAlignment w:val="auto"/>
                    <w:rPr>
                      <w:rFonts w:hint="default" w:ascii="Times New Roman" w:hAnsi="Times New Roman" w:eastAsia="宋体" w:cs="Times New Roman"/>
                      <w:b/>
                      <w:bCs/>
                      <w:color w:val="000000" w:themeColor="text1"/>
                      <w:spacing w:val="-3"/>
                      <w:sz w:val="21"/>
                      <w:szCs w:val="21"/>
                      <w:highlight w:val="none"/>
                      <w:vertAlign w:val="baseli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w:t>
                  </w:r>
                </w:p>
              </w:tc>
              <w:tc>
                <w:tcPr>
                  <w:tcW w:w="555" w:type="pct"/>
                  <w:noWrap w:val="0"/>
                  <w:vAlign w:val="center"/>
                </w:tcPr>
                <w:p w14:paraId="115AECEA">
                  <w:pPr>
                    <w:pStyle w:val="115"/>
                    <w:keepNext w:val="0"/>
                    <w:keepLines w:val="0"/>
                    <w:pageBreakBefore w:val="0"/>
                    <w:widowControl w:val="0"/>
                    <w:kinsoku/>
                    <w:wordWrap/>
                    <w:overflowPunct/>
                    <w:topLinePunct w:val="0"/>
                    <w:autoSpaceDE/>
                    <w:autoSpaceDN/>
                    <w:bidi w:val="0"/>
                    <w:adjustRightInd w:val="0"/>
                    <w:snapToGrid w:val="0"/>
                    <w:spacing w:before="157" w:beforeLines="50" w:line="240" w:lineRule="auto"/>
                    <w:jc w:val="center"/>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加大产业结构调整力度</w:t>
                  </w:r>
                </w:p>
              </w:tc>
              <w:tc>
                <w:tcPr>
                  <w:tcW w:w="2249" w:type="pct"/>
                  <w:noWrap w:val="0"/>
                  <w:vAlign w:val="center"/>
                </w:tcPr>
                <w:p w14:paraId="543B9509">
                  <w:pPr>
                    <w:pStyle w:val="115"/>
                    <w:keepNext w:val="0"/>
                    <w:keepLines w:val="0"/>
                    <w:pageBreakBefore w:val="0"/>
                    <w:widowControl w:val="0"/>
                    <w:kinsoku/>
                    <w:wordWrap/>
                    <w:overflowPunct/>
                    <w:topLinePunct w:val="0"/>
                    <w:autoSpaceDE/>
                    <w:autoSpaceDN/>
                    <w:bidi w:val="0"/>
                    <w:adjustRightInd w:val="0"/>
                    <w:snapToGrid w:val="0"/>
                    <w:spacing w:before="157" w:beforeLines="50" w:line="240" w:lineRule="auto"/>
                    <w:jc w:val="both"/>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严格建设项目环境准入。新建涉工业炉窑的建设项目，原则上要入园区，配套建设高效</w:t>
                  </w:r>
                  <w:r>
                    <w:rPr>
                      <w:rFonts w:hint="eastAsia" w:cs="Times New Roman"/>
                      <w:color w:val="000000" w:themeColor="text1"/>
                      <w:sz w:val="21"/>
                      <w:szCs w:val="21"/>
                      <w:highlight w:val="none"/>
                      <w:lang w:eastAsia="zh-CN"/>
                      <w14:textFill>
                        <w14:solidFill>
                          <w14:schemeClr w14:val="tx1"/>
                        </w14:solidFill>
                      </w14:textFill>
                    </w:rPr>
                    <w:t>环境治理</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设施。禁止在自然保护区、饮用水水源保护区、风景名胜区等敏感区域内新建、扩建、改建工业炉窑。</w:t>
                  </w:r>
                </w:p>
              </w:tc>
              <w:tc>
                <w:tcPr>
                  <w:tcW w:w="1388" w:type="pct"/>
                  <w:noWrap w:val="0"/>
                  <w:vAlign w:val="center"/>
                </w:tcPr>
                <w:p w14:paraId="3A9A6C58">
                  <w:pPr>
                    <w:pStyle w:val="115"/>
                    <w:keepNext w:val="0"/>
                    <w:keepLines w:val="0"/>
                    <w:pageBreakBefore w:val="0"/>
                    <w:widowControl w:val="0"/>
                    <w:kinsoku/>
                    <w:wordWrap/>
                    <w:overflowPunct/>
                    <w:topLinePunct w:val="0"/>
                    <w:autoSpaceDE/>
                    <w:autoSpaceDN/>
                    <w:bidi w:val="0"/>
                    <w:adjustRightInd w:val="0"/>
                    <w:snapToGrid w:val="0"/>
                    <w:spacing w:before="157" w:beforeLines="50" w:line="240" w:lineRule="auto"/>
                    <w:jc w:val="both"/>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本项目位于</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内蒙古鄂尔多斯市准格尔经济开发区内</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，项目符合园区产业定位，符合土地利用总体规划，符合主体功能区规划。</w:t>
                  </w:r>
                </w:p>
              </w:tc>
              <w:tc>
                <w:tcPr>
                  <w:tcW w:w="493" w:type="pct"/>
                  <w:noWrap w:val="0"/>
                  <w:vAlign w:val="center"/>
                </w:tcPr>
                <w:p w14:paraId="6E09354A">
                  <w:pPr>
                    <w:pStyle w:val="116"/>
                    <w:keepNext w:val="0"/>
                    <w:keepLines w:val="0"/>
                    <w:pageBreakBefore w:val="0"/>
                    <w:widowControl w:val="0"/>
                    <w:kinsoku/>
                    <w:wordWrap/>
                    <w:overflowPunct/>
                    <w:topLinePunct w:val="0"/>
                    <w:autoSpaceDE/>
                    <w:autoSpaceDN/>
                    <w:bidi w:val="0"/>
                    <w:adjustRightInd/>
                    <w:snapToGrid/>
                    <w:spacing w:line="240" w:lineRule="auto"/>
                    <w:ind w:left="0" w:leftChars="0" w:right="0"/>
                    <w:jc w:val="center"/>
                    <w:textAlignment w:val="auto"/>
                    <w:rPr>
                      <w:rFonts w:hint="default" w:ascii="Times New Roman" w:hAnsi="Times New Roman" w:eastAsia="宋体" w:cs="Times New Roman"/>
                      <w:b/>
                      <w:bCs/>
                      <w:color w:val="000000" w:themeColor="text1"/>
                      <w:spacing w:val="-3"/>
                      <w:sz w:val="21"/>
                      <w:szCs w:val="21"/>
                      <w:highlight w:val="none"/>
                      <w:vertAlign w:val="baseline"/>
                      <w14:textFill>
                        <w14:solidFill>
                          <w14:schemeClr w14:val="tx1"/>
                        </w14:solidFill>
                      </w14:textFill>
                    </w:rPr>
                  </w:pPr>
                  <w:r>
                    <w:rPr>
                      <w:rFonts w:hint="default" w:ascii="Times New Roman" w:hAnsi="Times New Roman" w:eastAsia="宋体" w:cs="Times New Roman"/>
                      <w:color w:val="000000" w:themeColor="text1"/>
                      <w:spacing w:val="-3"/>
                      <w:sz w:val="21"/>
                      <w:szCs w:val="21"/>
                      <w:highlight w:val="none"/>
                      <w14:textFill>
                        <w14:solidFill>
                          <w14:schemeClr w14:val="tx1"/>
                        </w14:solidFill>
                      </w14:textFill>
                    </w:rPr>
                    <w:t>符合</w:t>
                  </w:r>
                </w:p>
              </w:tc>
            </w:tr>
            <w:tr w14:paraId="2DC57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 w:type="pct"/>
                  <w:noWrap w:val="0"/>
                  <w:vAlign w:val="center"/>
                </w:tcPr>
                <w:p w14:paraId="7E554B27">
                  <w:pPr>
                    <w:pStyle w:val="116"/>
                    <w:keepNext w:val="0"/>
                    <w:keepLines w:val="0"/>
                    <w:pageBreakBefore w:val="0"/>
                    <w:widowControl w:val="0"/>
                    <w:kinsoku/>
                    <w:wordWrap/>
                    <w:overflowPunct/>
                    <w:topLinePunct w:val="0"/>
                    <w:autoSpaceDE/>
                    <w:autoSpaceDN/>
                    <w:bidi w:val="0"/>
                    <w:adjustRightInd/>
                    <w:snapToGrid/>
                    <w:spacing w:line="240" w:lineRule="auto"/>
                    <w:ind w:left="0" w:leftChars="0" w:right="0"/>
                    <w:jc w:val="center"/>
                    <w:textAlignment w:val="auto"/>
                    <w:rPr>
                      <w:rFonts w:hint="default" w:ascii="Times New Roman" w:hAnsi="Times New Roman" w:eastAsia="宋体" w:cs="Times New Roman"/>
                      <w:b/>
                      <w:bCs/>
                      <w:color w:val="000000" w:themeColor="text1"/>
                      <w:spacing w:val="-3"/>
                      <w:sz w:val="21"/>
                      <w:szCs w:val="21"/>
                      <w:highlight w:val="none"/>
                      <w:vertAlign w:val="baseli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w:t>
                  </w:r>
                </w:p>
              </w:tc>
              <w:tc>
                <w:tcPr>
                  <w:tcW w:w="555" w:type="pct"/>
                  <w:noWrap w:val="0"/>
                  <w:vAlign w:val="center"/>
                </w:tcPr>
                <w:p w14:paraId="19C0DC0C">
                  <w:pPr>
                    <w:pStyle w:val="115"/>
                    <w:keepNext w:val="0"/>
                    <w:keepLines w:val="0"/>
                    <w:pageBreakBefore w:val="0"/>
                    <w:widowControl w:val="0"/>
                    <w:kinsoku/>
                    <w:wordWrap/>
                    <w:overflowPunct/>
                    <w:topLinePunct w:val="0"/>
                    <w:autoSpaceDE/>
                    <w:autoSpaceDN/>
                    <w:bidi w:val="0"/>
                    <w:adjustRightInd w:val="0"/>
                    <w:snapToGrid w:val="0"/>
                    <w:spacing w:before="157" w:beforeLines="50" w:line="240" w:lineRule="auto"/>
                    <w:jc w:val="center"/>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加快燃料清洁低碳化替代</w:t>
                  </w:r>
                </w:p>
              </w:tc>
              <w:tc>
                <w:tcPr>
                  <w:tcW w:w="2249" w:type="pct"/>
                  <w:noWrap w:val="0"/>
                  <w:vAlign w:val="center"/>
                </w:tcPr>
                <w:p w14:paraId="49418273">
                  <w:pPr>
                    <w:pStyle w:val="115"/>
                    <w:keepNext w:val="0"/>
                    <w:keepLines w:val="0"/>
                    <w:pageBreakBefore w:val="0"/>
                    <w:widowControl w:val="0"/>
                    <w:kinsoku/>
                    <w:wordWrap/>
                    <w:overflowPunct/>
                    <w:topLinePunct w:val="0"/>
                    <w:autoSpaceDE/>
                    <w:autoSpaceDN/>
                    <w:bidi w:val="0"/>
                    <w:adjustRightInd w:val="0"/>
                    <w:snapToGrid w:val="0"/>
                    <w:spacing w:before="157" w:beforeLines="50" w:line="240" w:lineRule="auto"/>
                    <w:jc w:val="both"/>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推进燃料清洁化替代，重点区域禁止掺烧高硫石油焦（硫含量大于3%）。</w:t>
                  </w:r>
                </w:p>
              </w:tc>
              <w:tc>
                <w:tcPr>
                  <w:tcW w:w="1388" w:type="pct"/>
                  <w:noWrap w:val="0"/>
                  <w:vAlign w:val="center"/>
                </w:tcPr>
                <w:p w14:paraId="1EF4017C">
                  <w:pPr>
                    <w:pStyle w:val="115"/>
                    <w:keepNext w:val="0"/>
                    <w:keepLines w:val="0"/>
                    <w:pageBreakBefore w:val="0"/>
                    <w:widowControl w:val="0"/>
                    <w:kinsoku/>
                    <w:wordWrap/>
                    <w:overflowPunct/>
                    <w:topLinePunct w:val="0"/>
                    <w:autoSpaceDE/>
                    <w:autoSpaceDN/>
                    <w:bidi w:val="0"/>
                    <w:adjustRightInd w:val="0"/>
                    <w:snapToGrid w:val="0"/>
                    <w:spacing w:before="157" w:beforeLines="50" w:line="240" w:lineRule="auto"/>
                    <w:jc w:val="both"/>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本项目燃料</w:t>
                  </w:r>
                  <w:r>
                    <w:rPr>
                      <w:rFonts w:hint="eastAsia" w:cs="Times New Roman"/>
                      <w:color w:val="000000" w:themeColor="text1"/>
                      <w:sz w:val="21"/>
                      <w:szCs w:val="21"/>
                      <w:highlight w:val="none"/>
                      <w:lang w:val="en-US" w:eastAsia="zh-CN"/>
                      <w14:textFill>
                        <w14:solidFill>
                          <w14:schemeClr w14:val="tx1"/>
                        </w14:solidFill>
                      </w14:textFill>
                    </w:rPr>
                    <w:t>为</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煤气，煤气</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来自园区内蒙古伊东东方能源公司</w:t>
                  </w:r>
                  <w:r>
                    <w:rPr>
                      <w:rFonts w:hint="eastAsia" w:cs="Times New Roman"/>
                      <w:color w:val="000000" w:themeColor="text1"/>
                      <w:sz w:val="21"/>
                      <w:szCs w:val="21"/>
                      <w:highlight w:val="none"/>
                      <w:lang w:val="en-US" w:eastAsia="zh-CN"/>
                      <w14:textFill>
                        <w14:solidFill>
                          <w14:schemeClr w14:val="tx1"/>
                        </w14:solidFill>
                      </w14:textFill>
                    </w:rPr>
                    <w:t>。</w:t>
                  </w:r>
                </w:p>
              </w:tc>
              <w:tc>
                <w:tcPr>
                  <w:tcW w:w="493" w:type="pct"/>
                  <w:noWrap w:val="0"/>
                  <w:vAlign w:val="center"/>
                </w:tcPr>
                <w:p w14:paraId="6FC0C691">
                  <w:pPr>
                    <w:pStyle w:val="116"/>
                    <w:keepNext w:val="0"/>
                    <w:keepLines w:val="0"/>
                    <w:pageBreakBefore w:val="0"/>
                    <w:widowControl w:val="0"/>
                    <w:kinsoku/>
                    <w:wordWrap/>
                    <w:overflowPunct/>
                    <w:topLinePunct w:val="0"/>
                    <w:autoSpaceDE/>
                    <w:autoSpaceDN/>
                    <w:bidi w:val="0"/>
                    <w:adjustRightInd/>
                    <w:snapToGrid/>
                    <w:spacing w:line="240" w:lineRule="auto"/>
                    <w:ind w:left="0" w:leftChars="0" w:right="0"/>
                    <w:jc w:val="center"/>
                    <w:textAlignment w:val="auto"/>
                    <w:rPr>
                      <w:rFonts w:hint="default" w:ascii="Times New Roman" w:hAnsi="Times New Roman" w:eastAsia="宋体" w:cs="Times New Roman"/>
                      <w:b/>
                      <w:bCs/>
                      <w:color w:val="000000" w:themeColor="text1"/>
                      <w:spacing w:val="-3"/>
                      <w:sz w:val="21"/>
                      <w:szCs w:val="21"/>
                      <w:highlight w:val="none"/>
                      <w:vertAlign w:val="baseline"/>
                      <w14:textFill>
                        <w14:solidFill>
                          <w14:schemeClr w14:val="tx1"/>
                        </w14:solidFill>
                      </w14:textFill>
                    </w:rPr>
                  </w:pPr>
                  <w:r>
                    <w:rPr>
                      <w:rFonts w:hint="default" w:ascii="Times New Roman" w:hAnsi="Times New Roman" w:eastAsia="宋体" w:cs="Times New Roman"/>
                      <w:color w:val="000000" w:themeColor="text1"/>
                      <w:spacing w:val="-3"/>
                      <w:sz w:val="21"/>
                      <w:szCs w:val="21"/>
                      <w:highlight w:val="none"/>
                      <w14:textFill>
                        <w14:solidFill>
                          <w14:schemeClr w14:val="tx1"/>
                        </w14:solidFill>
                      </w14:textFill>
                    </w:rPr>
                    <w:t>符合</w:t>
                  </w:r>
                </w:p>
              </w:tc>
            </w:tr>
            <w:tr w14:paraId="073DC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 w:type="pct"/>
                  <w:vMerge w:val="restart"/>
                  <w:noWrap w:val="0"/>
                  <w:vAlign w:val="center"/>
                </w:tcPr>
                <w:p w14:paraId="535EA07C">
                  <w:pPr>
                    <w:pStyle w:val="115"/>
                    <w:keepNext w:val="0"/>
                    <w:keepLines w:val="0"/>
                    <w:pageBreakBefore w:val="0"/>
                    <w:widowControl w:val="0"/>
                    <w:kinsoku/>
                    <w:wordWrap/>
                    <w:overflowPunct/>
                    <w:topLinePunct w:val="0"/>
                    <w:autoSpaceDE/>
                    <w:autoSpaceDN/>
                    <w:bidi w:val="0"/>
                    <w:adjustRightInd w:val="0"/>
                    <w:snapToGrid w:val="0"/>
                    <w:spacing w:before="157" w:beforeLines="50" w:line="240" w:lineRule="auto"/>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3</w:t>
                  </w:r>
                </w:p>
              </w:tc>
              <w:tc>
                <w:tcPr>
                  <w:tcW w:w="555" w:type="pct"/>
                  <w:vMerge w:val="restart"/>
                  <w:noWrap w:val="0"/>
                  <w:vAlign w:val="center"/>
                </w:tcPr>
                <w:p w14:paraId="62FE06C2">
                  <w:pPr>
                    <w:pStyle w:val="115"/>
                    <w:keepNext w:val="0"/>
                    <w:keepLines w:val="0"/>
                    <w:pageBreakBefore w:val="0"/>
                    <w:widowControl w:val="0"/>
                    <w:kinsoku/>
                    <w:wordWrap/>
                    <w:overflowPunct/>
                    <w:topLinePunct w:val="0"/>
                    <w:autoSpaceDE/>
                    <w:autoSpaceDN/>
                    <w:bidi w:val="0"/>
                    <w:adjustRightInd w:val="0"/>
                    <w:snapToGrid w:val="0"/>
                    <w:spacing w:before="157" w:beforeLines="50" w:line="240" w:lineRule="auto"/>
                    <w:jc w:val="center"/>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实施污染深度治理</w:t>
                  </w:r>
                </w:p>
              </w:tc>
              <w:tc>
                <w:tcPr>
                  <w:tcW w:w="2249" w:type="pct"/>
                  <w:noWrap w:val="0"/>
                  <w:vAlign w:val="center"/>
                </w:tcPr>
                <w:p w14:paraId="5F359814">
                  <w:pPr>
                    <w:pStyle w:val="115"/>
                    <w:keepNext w:val="0"/>
                    <w:keepLines w:val="0"/>
                    <w:pageBreakBefore w:val="0"/>
                    <w:widowControl w:val="0"/>
                    <w:kinsoku/>
                    <w:wordWrap/>
                    <w:overflowPunct/>
                    <w:topLinePunct w:val="0"/>
                    <w:autoSpaceDE/>
                    <w:autoSpaceDN/>
                    <w:bidi w:val="0"/>
                    <w:adjustRightInd w:val="0"/>
                    <w:snapToGrid w:val="0"/>
                    <w:spacing w:before="157" w:beforeLines="50" w:line="240" w:lineRule="auto"/>
                    <w:jc w:val="both"/>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推进工业炉窑全面达标排放。根据国家已颁布的行业排放标准，配套建设高效脱硫脱硝除尘设施，实施工业炉窑深度治理，推进我区工业炉窑全面达标排放。</w:t>
                  </w:r>
                </w:p>
              </w:tc>
              <w:tc>
                <w:tcPr>
                  <w:tcW w:w="1388" w:type="pct"/>
                  <w:noWrap w:val="0"/>
                  <w:vAlign w:val="center"/>
                </w:tcPr>
                <w:p w14:paraId="74E35EA4">
                  <w:pPr>
                    <w:pStyle w:val="115"/>
                    <w:keepNext w:val="0"/>
                    <w:keepLines w:val="0"/>
                    <w:pageBreakBefore w:val="0"/>
                    <w:widowControl w:val="0"/>
                    <w:kinsoku/>
                    <w:wordWrap/>
                    <w:overflowPunct/>
                    <w:topLinePunct w:val="0"/>
                    <w:autoSpaceDE/>
                    <w:autoSpaceDN/>
                    <w:bidi w:val="0"/>
                    <w:adjustRightInd w:val="0"/>
                    <w:snapToGrid w:val="0"/>
                    <w:spacing w:before="157" w:beforeLines="50" w:line="240" w:lineRule="auto"/>
                    <w:jc w:val="both"/>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本项目原料转运及车间所有产生粉尘的部分均配备除尘措施。</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采用“分级燃烧+缺氧燃烧+烟气再循环（FGR）”组合低氮燃烧脱硝煅烧</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废气采用</w:t>
                  </w:r>
                  <w:r>
                    <w:rPr>
                      <w:rFonts w:hint="eastAsia" w:cs="Times New Roman"/>
                      <w:color w:val="000000" w:themeColor="text1"/>
                      <w:sz w:val="21"/>
                      <w:szCs w:val="21"/>
                      <w:highlight w:val="none"/>
                      <w:lang w:val="en-US" w:eastAsia="zh-CN"/>
                      <w14:textFill>
                        <w14:solidFill>
                          <w14:schemeClr w14:val="tx1"/>
                        </w14:solidFill>
                      </w14:textFill>
                    </w:rPr>
                    <w:t>余热锅炉+</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脱硝</w:t>
                  </w:r>
                  <w:r>
                    <w:rPr>
                      <w:rFonts w:hint="eastAsia" w:cs="Times New Roman"/>
                      <w:color w:val="000000" w:themeColor="text1"/>
                      <w:sz w:val="21"/>
                      <w:szCs w:val="21"/>
                      <w:highlight w:val="none"/>
                      <w:lang w:val="en-US" w:eastAsia="zh-CN"/>
                      <w14:textFill>
                        <w14:solidFill>
                          <w14:schemeClr w14:val="tx1"/>
                        </w14:solidFill>
                      </w14:textFill>
                    </w:rPr>
                    <w:t>装置（</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SNCR</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w:t>
                  </w:r>
                  <w:r>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t>布袋除尘器（覆</w:t>
                  </w:r>
                  <w:r>
                    <w:rPr>
                      <w:rFonts w:hint="eastAsia" w:cs="Times New Roman"/>
                      <w:color w:val="000000" w:themeColor="text1"/>
                      <w:sz w:val="21"/>
                      <w:szCs w:val="21"/>
                      <w:highlight w:val="none"/>
                      <w:lang w:eastAsia="zh-CN"/>
                      <w14:textFill>
                        <w14:solidFill>
                          <w14:schemeClr w14:val="tx1"/>
                        </w14:solidFill>
                      </w14:textFill>
                    </w:rPr>
                    <w:t>膜袋式）</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+石灰石-石膏脱硫装置进行处理，达标排放。</w:t>
                  </w:r>
                </w:p>
              </w:tc>
              <w:tc>
                <w:tcPr>
                  <w:tcW w:w="493" w:type="pct"/>
                  <w:noWrap w:val="0"/>
                  <w:vAlign w:val="center"/>
                </w:tcPr>
                <w:p w14:paraId="53D53D75">
                  <w:pPr>
                    <w:pStyle w:val="115"/>
                    <w:keepNext w:val="0"/>
                    <w:keepLines w:val="0"/>
                    <w:pageBreakBefore w:val="0"/>
                    <w:widowControl w:val="0"/>
                    <w:kinsoku/>
                    <w:wordWrap/>
                    <w:overflowPunct/>
                    <w:topLinePunct w:val="0"/>
                    <w:autoSpaceDE/>
                    <w:autoSpaceDN/>
                    <w:bidi w:val="0"/>
                    <w:adjustRightInd w:val="0"/>
                    <w:snapToGrid w:val="0"/>
                    <w:spacing w:before="157" w:beforeLines="50" w:line="240" w:lineRule="auto"/>
                    <w:jc w:val="both"/>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符合</w:t>
                  </w:r>
                </w:p>
              </w:tc>
            </w:tr>
            <w:tr w14:paraId="1502C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 w:type="pct"/>
                  <w:vMerge w:val="continue"/>
                  <w:noWrap w:val="0"/>
                  <w:vAlign w:val="center"/>
                </w:tcPr>
                <w:p w14:paraId="5C6E2B30">
                  <w:pPr>
                    <w:pStyle w:val="115"/>
                    <w:keepNext w:val="0"/>
                    <w:keepLines w:val="0"/>
                    <w:pageBreakBefore w:val="0"/>
                    <w:widowControl w:val="0"/>
                    <w:kinsoku/>
                    <w:wordWrap/>
                    <w:overflowPunct/>
                    <w:topLinePunct w:val="0"/>
                    <w:autoSpaceDE/>
                    <w:autoSpaceDN/>
                    <w:bidi w:val="0"/>
                    <w:adjustRightInd w:val="0"/>
                    <w:snapToGrid w:val="0"/>
                    <w:spacing w:before="157" w:beforeLines="50" w:line="240" w:lineRule="auto"/>
                    <w:jc w:val="both"/>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p>
              </w:tc>
              <w:tc>
                <w:tcPr>
                  <w:tcW w:w="555" w:type="pct"/>
                  <w:vMerge w:val="continue"/>
                  <w:noWrap w:val="0"/>
                  <w:vAlign w:val="center"/>
                </w:tcPr>
                <w:p w14:paraId="00D5E496">
                  <w:pPr>
                    <w:pStyle w:val="115"/>
                    <w:keepNext w:val="0"/>
                    <w:keepLines w:val="0"/>
                    <w:pageBreakBefore w:val="0"/>
                    <w:widowControl w:val="0"/>
                    <w:kinsoku/>
                    <w:wordWrap/>
                    <w:overflowPunct/>
                    <w:topLinePunct w:val="0"/>
                    <w:autoSpaceDE/>
                    <w:autoSpaceDN/>
                    <w:bidi w:val="0"/>
                    <w:adjustRightInd w:val="0"/>
                    <w:snapToGrid w:val="0"/>
                    <w:spacing w:before="157" w:beforeLines="50" w:line="240" w:lineRule="auto"/>
                    <w:jc w:val="both"/>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p>
              </w:tc>
              <w:tc>
                <w:tcPr>
                  <w:tcW w:w="2249" w:type="pct"/>
                  <w:noWrap w:val="0"/>
                  <w:vAlign w:val="center"/>
                </w:tcPr>
                <w:p w14:paraId="334C75C7">
                  <w:pPr>
                    <w:pStyle w:val="115"/>
                    <w:keepNext w:val="0"/>
                    <w:keepLines w:val="0"/>
                    <w:pageBreakBefore w:val="0"/>
                    <w:widowControl w:val="0"/>
                    <w:kinsoku/>
                    <w:wordWrap/>
                    <w:overflowPunct/>
                    <w:topLinePunct w:val="0"/>
                    <w:autoSpaceDE/>
                    <w:autoSpaceDN/>
                    <w:bidi w:val="0"/>
                    <w:adjustRightInd w:val="0"/>
                    <w:snapToGrid w:val="0"/>
                    <w:spacing w:before="157" w:beforeLines="50" w:line="240" w:lineRule="auto"/>
                    <w:jc w:val="both"/>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全面加强无组织排放管理。严格控制工业炉窑生产工艺过程及相关物料储存、输送等无组织排放。在保障生产安全的前</w:t>
                  </w:r>
                  <w:r>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t>提</w:t>
                  </w:r>
                  <w:r>
                    <w:rPr>
                      <w:rFonts w:hint="eastAsia" w:cs="Times New Roman"/>
                      <w:color w:val="000000" w:themeColor="text1"/>
                      <w:sz w:val="21"/>
                      <w:szCs w:val="21"/>
                      <w:highlight w:val="none"/>
                      <w:lang w:eastAsia="zh-CN"/>
                      <w14:textFill>
                        <w14:solidFill>
                          <w14:schemeClr w14:val="tx1"/>
                        </w14:solidFill>
                      </w14:textFill>
                    </w:rPr>
                    <w:t>下</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采取密闭、封闭等有效措施，有效提高废气收集率，产尘点及车间不得有可见烟粉尘外溢。生产工艺产尘点（装置）应采取密闭、封闭或设置集气罩等措施。煤粉、粉煤灰、石灰、除尘灰、脱硫灰等粉状物料应密闭或封闭储存、输送。粒状、块状物料应采用入棚入仓或建设防风抑尘网等封闭措施进行储存；粒状物料采用密闭、封闭等方式输送，块状物料应当采取有效抑尘措施进行输送。物料输送过程中产尘点应采取有效抑尘措施。</w:t>
                  </w:r>
                </w:p>
              </w:tc>
              <w:tc>
                <w:tcPr>
                  <w:tcW w:w="1388" w:type="pct"/>
                  <w:noWrap w:val="0"/>
                  <w:vAlign w:val="center"/>
                </w:tcPr>
                <w:p w14:paraId="442B391C">
                  <w:pPr>
                    <w:pStyle w:val="115"/>
                    <w:keepNext w:val="0"/>
                    <w:keepLines w:val="0"/>
                    <w:pageBreakBefore w:val="0"/>
                    <w:widowControl w:val="0"/>
                    <w:kinsoku/>
                    <w:wordWrap/>
                    <w:overflowPunct/>
                    <w:topLinePunct w:val="0"/>
                    <w:autoSpaceDE/>
                    <w:autoSpaceDN/>
                    <w:bidi w:val="0"/>
                    <w:adjustRightInd w:val="0"/>
                    <w:snapToGrid w:val="0"/>
                    <w:spacing w:before="157" w:beforeLines="50" w:line="240" w:lineRule="auto"/>
                    <w:jc w:val="both"/>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项目原料</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气力输送至原料仓密闭，且设置除尘装置</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，预处理后进入</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均化装置</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密闭料仓，同时在配料系统各</w:t>
                  </w:r>
                  <w:r>
                    <w:rPr>
                      <w:rFonts w:hint="eastAsia" w:cs="Times New Roman"/>
                      <w:color w:val="000000" w:themeColor="text1"/>
                      <w:sz w:val="21"/>
                      <w:szCs w:val="21"/>
                      <w:highlight w:val="none"/>
                      <w:lang w:val="en-US" w:eastAsia="zh-CN"/>
                      <w14:textFill>
                        <w14:solidFill>
                          <w14:schemeClr w14:val="tx1"/>
                        </w14:solidFill>
                      </w14:textFill>
                    </w:rPr>
                    <w:t>原料</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仓</w:t>
                  </w:r>
                  <w:r>
                    <w:rPr>
                      <w:rFonts w:hint="eastAsia" w:cs="Times New Roman"/>
                      <w:color w:val="000000" w:themeColor="text1"/>
                      <w:sz w:val="21"/>
                      <w:szCs w:val="21"/>
                      <w:highlight w:val="none"/>
                      <w:lang w:eastAsia="zh-CN"/>
                      <w14:textFill>
                        <w14:solidFill>
                          <w14:schemeClr w14:val="tx1"/>
                        </w14:solidFill>
                      </w14:textFill>
                    </w:rPr>
                    <w:t>、</w:t>
                  </w:r>
                  <w:r>
                    <w:rPr>
                      <w:rFonts w:hint="eastAsia" w:cs="Times New Roman"/>
                      <w:color w:val="000000" w:themeColor="text1"/>
                      <w:sz w:val="21"/>
                      <w:szCs w:val="21"/>
                      <w:highlight w:val="none"/>
                      <w:lang w:val="en-US" w:eastAsia="zh-CN"/>
                      <w14:textFill>
                        <w14:solidFill>
                          <w14:schemeClr w14:val="tx1"/>
                        </w14:solidFill>
                      </w14:textFill>
                    </w:rPr>
                    <w:t>转运</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点、设置了除尘装置。</w:t>
                  </w:r>
                </w:p>
              </w:tc>
              <w:tc>
                <w:tcPr>
                  <w:tcW w:w="493" w:type="pct"/>
                  <w:noWrap w:val="0"/>
                  <w:vAlign w:val="center"/>
                </w:tcPr>
                <w:p w14:paraId="16B900C5">
                  <w:pPr>
                    <w:pStyle w:val="115"/>
                    <w:keepNext w:val="0"/>
                    <w:keepLines w:val="0"/>
                    <w:pageBreakBefore w:val="0"/>
                    <w:widowControl w:val="0"/>
                    <w:kinsoku/>
                    <w:wordWrap/>
                    <w:overflowPunct/>
                    <w:topLinePunct w:val="0"/>
                    <w:autoSpaceDE/>
                    <w:autoSpaceDN/>
                    <w:bidi w:val="0"/>
                    <w:adjustRightInd w:val="0"/>
                    <w:snapToGrid w:val="0"/>
                    <w:spacing w:before="157" w:beforeLines="50" w:line="240" w:lineRule="auto"/>
                    <w:jc w:val="both"/>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p>
                <w:p w14:paraId="4E3A326D">
                  <w:pPr>
                    <w:pStyle w:val="115"/>
                    <w:keepNext w:val="0"/>
                    <w:keepLines w:val="0"/>
                    <w:pageBreakBefore w:val="0"/>
                    <w:widowControl w:val="0"/>
                    <w:kinsoku/>
                    <w:wordWrap/>
                    <w:overflowPunct/>
                    <w:topLinePunct w:val="0"/>
                    <w:autoSpaceDE/>
                    <w:autoSpaceDN/>
                    <w:bidi w:val="0"/>
                    <w:adjustRightInd w:val="0"/>
                    <w:snapToGrid w:val="0"/>
                    <w:spacing w:before="157" w:beforeLines="50" w:line="240" w:lineRule="auto"/>
                    <w:jc w:val="both"/>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符合</w:t>
                  </w:r>
                </w:p>
              </w:tc>
            </w:tr>
          </w:tbl>
          <w:p w14:paraId="33B95DFF">
            <w:pPr>
              <w:spacing w:line="240" w:lineRule="auto"/>
              <w:jc w:val="center"/>
              <w:rPr>
                <w:rFonts w:hint="default" w:ascii="Times New Roman" w:hAnsi="Times New Roman" w:eastAsia="宋体" w:cs="Times New Roman"/>
                <w:b/>
                <w:bCs/>
                <w:color w:val="000000" w:themeColor="text1"/>
                <w:spacing w:val="-3"/>
                <w:highlight w:val="none"/>
                <w14:textFill>
                  <w14:solidFill>
                    <w14:schemeClr w14:val="tx1"/>
                  </w14:solidFill>
                </w14:textFill>
              </w:rPr>
            </w:pPr>
            <w:r>
              <w:rPr>
                <w:rFonts w:hint="default" w:ascii="Times New Roman" w:hAnsi="Times New Roman" w:eastAsia="宋体" w:cs="Times New Roman"/>
                <w:b/>
                <w:bCs/>
                <w:color w:val="000000" w:themeColor="text1"/>
                <w:spacing w:val="-3"/>
                <w:highlight w:val="none"/>
                <w14:textFill>
                  <w14:solidFill>
                    <w14:schemeClr w14:val="tx1"/>
                  </w14:solidFill>
                </w14:textFill>
              </w:rPr>
              <w:t>表</w:t>
            </w:r>
            <w:r>
              <w:rPr>
                <w:rFonts w:hint="default" w:ascii="Times New Roman" w:hAnsi="Times New Roman" w:eastAsia="宋体" w:cs="Times New Roman"/>
                <w:b/>
                <w:bCs/>
                <w:color w:val="000000" w:themeColor="text1"/>
                <w:spacing w:val="-3"/>
                <w:highlight w:val="none"/>
                <w:lang w:val="en-US" w:eastAsia="zh-CN"/>
                <w14:textFill>
                  <w14:solidFill>
                    <w14:schemeClr w14:val="tx1"/>
                  </w14:solidFill>
                </w14:textFill>
              </w:rPr>
              <w:t>1-</w:t>
            </w:r>
            <w:r>
              <w:rPr>
                <w:rFonts w:hint="eastAsia" w:cs="Times New Roman"/>
                <w:b/>
                <w:bCs/>
                <w:color w:val="000000" w:themeColor="text1"/>
                <w:spacing w:val="-3"/>
                <w:highlight w:val="none"/>
                <w:lang w:val="en-US" w:eastAsia="zh-CN"/>
                <w14:textFill>
                  <w14:solidFill>
                    <w14:schemeClr w14:val="tx1"/>
                  </w14:solidFill>
                </w14:textFill>
              </w:rPr>
              <w:t>4</w:t>
            </w:r>
            <w:r>
              <w:rPr>
                <w:rFonts w:hint="default" w:ascii="Times New Roman" w:hAnsi="Times New Roman" w:eastAsia="宋体" w:cs="Times New Roman"/>
                <w:b/>
                <w:bCs/>
                <w:color w:val="000000" w:themeColor="text1"/>
                <w:spacing w:val="-3"/>
                <w:highlight w:val="none"/>
                <w14:textFill>
                  <w14:solidFill>
                    <w14:schemeClr w14:val="tx1"/>
                  </w14:solidFill>
                </w14:textFill>
              </w:rPr>
              <w:t>项目与《</w:t>
            </w:r>
            <w:r>
              <w:rPr>
                <w:rFonts w:hint="default" w:ascii="Times New Roman" w:hAnsi="Times New Roman" w:eastAsia="宋体" w:cs="Times New Roman"/>
                <w:b/>
                <w:bCs/>
                <w:color w:val="000000" w:themeColor="text1"/>
                <w:spacing w:val="-3"/>
                <w:highlight w:val="none"/>
                <w:lang w:val="en-US" w:eastAsia="zh-CN"/>
                <w14:textFill>
                  <w14:solidFill>
                    <w14:schemeClr w14:val="tx1"/>
                  </w14:solidFill>
                </w14:textFill>
              </w:rPr>
              <w:t>内蒙古自治区空气质量持续改善行动实施方案》</w:t>
            </w:r>
            <w:r>
              <w:rPr>
                <w:rFonts w:hint="default" w:ascii="Times New Roman" w:hAnsi="Times New Roman" w:eastAsia="宋体" w:cs="Times New Roman"/>
                <w:b/>
                <w:bCs/>
                <w:color w:val="000000" w:themeColor="text1"/>
                <w:spacing w:val="-4"/>
                <w:highlight w:val="none"/>
                <w14:textFill>
                  <w14:solidFill>
                    <w14:schemeClr w14:val="tx1"/>
                  </w14:solidFill>
                </w14:textFill>
              </w:rPr>
              <w:t>符合性分析</w:t>
            </w:r>
          </w:p>
          <w:tbl>
            <w:tblPr>
              <w:tblStyle w:val="25"/>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8"/>
              <w:gridCol w:w="3364"/>
              <w:gridCol w:w="3022"/>
              <w:gridCol w:w="865"/>
            </w:tblGrid>
            <w:tr w14:paraId="249A7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1" w:type="pct"/>
                  <w:noWrap w:val="0"/>
                  <w:vAlign w:val="center"/>
                </w:tcPr>
                <w:p w14:paraId="2335EA81">
                  <w:pPr>
                    <w:pStyle w:val="115"/>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序号</w:t>
                  </w:r>
                </w:p>
              </w:tc>
              <w:tc>
                <w:tcPr>
                  <w:tcW w:w="2156" w:type="pct"/>
                  <w:noWrap w:val="0"/>
                  <w:vAlign w:val="center"/>
                </w:tcPr>
                <w:p w14:paraId="4B1EFD73">
                  <w:pPr>
                    <w:pStyle w:val="115"/>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相关条件要求</w:t>
                  </w:r>
                </w:p>
              </w:tc>
              <w:tc>
                <w:tcPr>
                  <w:tcW w:w="1937" w:type="pct"/>
                  <w:noWrap w:val="0"/>
                  <w:vAlign w:val="center"/>
                </w:tcPr>
                <w:p w14:paraId="0570CAF1">
                  <w:pPr>
                    <w:pStyle w:val="115"/>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本项目情况</w:t>
                  </w:r>
                </w:p>
              </w:tc>
              <w:tc>
                <w:tcPr>
                  <w:tcW w:w="554" w:type="pct"/>
                  <w:noWrap w:val="0"/>
                  <w:vAlign w:val="center"/>
                </w:tcPr>
                <w:p w14:paraId="1E4FD71D">
                  <w:pPr>
                    <w:pStyle w:val="115"/>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符合性</w:t>
                  </w:r>
                </w:p>
              </w:tc>
            </w:tr>
            <w:tr w14:paraId="33710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1" w:type="pct"/>
                  <w:noWrap w:val="0"/>
                  <w:vAlign w:val="center"/>
                </w:tcPr>
                <w:p w14:paraId="10F7C272">
                  <w:pPr>
                    <w:pStyle w:val="116"/>
                    <w:keepNext w:val="0"/>
                    <w:keepLines w:val="0"/>
                    <w:pageBreakBefore w:val="0"/>
                    <w:widowControl w:val="0"/>
                    <w:kinsoku/>
                    <w:wordWrap/>
                    <w:overflowPunct/>
                    <w:topLinePunct w:val="0"/>
                    <w:autoSpaceDE/>
                    <w:autoSpaceDN/>
                    <w:bidi w:val="0"/>
                    <w:adjustRightInd/>
                    <w:snapToGrid/>
                    <w:spacing w:line="240" w:lineRule="auto"/>
                    <w:ind w:left="0" w:leftChars="0" w:right="0"/>
                    <w:jc w:val="center"/>
                    <w:textAlignment w:val="auto"/>
                    <w:rPr>
                      <w:rFonts w:hint="default" w:ascii="Times New Roman" w:hAnsi="Times New Roman" w:eastAsia="宋体" w:cs="Times New Roman"/>
                      <w:b/>
                      <w:bCs/>
                      <w:color w:val="000000" w:themeColor="text1"/>
                      <w:spacing w:val="-3"/>
                      <w:sz w:val="21"/>
                      <w:szCs w:val="21"/>
                      <w:highlight w:val="none"/>
                      <w:vertAlign w:val="baseli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w:t>
                  </w:r>
                </w:p>
              </w:tc>
              <w:tc>
                <w:tcPr>
                  <w:tcW w:w="2156" w:type="pct"/>
                  <w:noWrap w:val="0"/>
                  <w:vAlign w:val="center"/>
                </w:tcPr>
                <w:p w14:paraId="6D529DAC">
                  <w:pPr>
                    <w:keepNext w:val="0"/>
                    <w:keepLines w:val="0"/>
                    <w:widowControl/>
                    <w:suppressLineNumbers w:val="0"/>
                    <w:jc w:val="both"/>
                    <w:rPr>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三）优化产业结构和布局。新改扩建项目原则上采用清洁运输方式。除电力和热力生产供应行业以外，其他涉及产能置换的项目，被置换产能及配套设施关停后，新建项目方可投产。严禁新增钢铁产能，推行钢铁、焦化、烧结一体化布局，推动焦化产业链向下游高附加值精细化工产品延伸。</w:t>
                  </w:r>
                </w:p>
                <w:p w14:paraId="0F9B5ADA">
                  <w:pPr>
                    <w:keepNext w:val="0"/>
                    <w:keepLines w:val="0"/>
                    <w:widowControl/>
                    <w:suppressLineNumbers w:val="0"/>
                    <w:jc w:val="both"/>
                    <w:rPr>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依法依规退出不符合产业政策和环保要求的落后产能。落实水泥常态化错峰生产。（自治区发展改革委、工业和信息化厅、生态环境厅、能源局等部门按职责分工负责，各盟行政公署、市人民政府落实。以下均需各盟行政公署、市人民政府落实，不再列出）</w:t>
                  </w:r>
                  <w:r>
                    <w:rPr>
                      <w:rFonts w:hint="eastAsia" w:ascii="宋体" w:hAnsi="宋体" w:cs="宋体"/>
                      <w:color w:val="000000" w:themeColor="text1"/>
                      <w:kern w:val="0"/>
                      <w:sz w:val="21"/>
                      <w:szCs w:val="21"/>
                      <w:highlight w:val="none"/>
                      <w:lang w:val="en-US" w:eastAsia="zh-CN" w:bidi="ar"/>
                      <w14:textFill>
                        <w14:solidFill>
                          <w14:schemeClr w14:val="tx1"/>
                        </w14:solidFill>
                      </w14:textFill>
                    </w:rPr>
                    <w:t>。</w:t>
                  </w:r>
                </w:p>
                <w:p w14:paraId="46E3AE92">
                  <w:pPr>
                    <w:keepNext w:val="0"/>
                    <w:keepLines w:val="0"/>
                    <w:widowControl/>
                    <w:suppressLineNumbers w:val="0"/>
                    <w:jc w:val="both"/>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（八）实施工业炉窑清洁能源替代。淘汰并禁止新建不</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符合产业政策的燃料类煤气发生炉，推进加热炉、热处理炉、干燥炉、熔化炉采用清洁低碳能源。安全稳妥推进使用高污染燃料的工业炉窑改用工业余热、电能、天然气等。推进燃料类煤气发生炉采用清洁能源替代，或者因地制宜推行园区（集群）集中供气、分散使用。（自治区工业和信息化厅、发展改革委、生态环境厅、能源局等部门按职责分工负责）</w:t>
                  </w:r>
                </w:p>
              </w:tc>
              <w:tc>
                <w:tcPr>
                  <w:tcW w:w="1937" w:type="pct"/>
                  <w:noWrap w:val="0"/>
                  <w:vAlign w:val="center"/>
                </w:tcPr>
                <w:p w14:paraId="440E9638">
                  <w:pPr>
                    <w:keepNext w:val="0"/>
                    <w:keepLines w:val="0"/>
                    <w:widowControl/>
                    <w:suppressLineNumbers w:val="0"/>
                    <w:jc w:val="both"/>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eastAsia" w:cs="Times New Roman"/>
                      <w:color w:val="000000" w:themeColor="text1"/>
                      <w:sz w:val="21"/>
                      <w:szCs w:val="21"/>
                      <w:highlight w:val="none"/>
                      <w:lang w:eastAsia="zh-CN"/>
                      <w14:textFill>
                        <w14:solidFill>
                          <w14:schemeClr w14:val="tx1"/>
                        </w14:solidFill>
                      </w14:textFill>
                    </w:rPr>
                    <w:t>本项</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目以325目</w:t>
                  </w:r>
                  <w:r>
                    <w:rPr>
                      <w:rFonts w:hint="eastAsia" w:ascii="宋体" w:hAnsi="宋体" w:cs="宋体"/>
                      <w:color w:val="000000" w:themeColor="text1"/>
                      <w:kern w:val="0"/>
                      <w:sz w:val="21"/>
                      <w:szCs w:val="21"/>
                      <w:highlight w:val="none"/>
                      <w:lang w:val="en-US" w:eastAsia="zh-CN" w:bidi="ar"/>
                      <w14:textFill>
                        <w14:solidFill>
                          <w14:schemeClr w14:val="tx1"/>
                        </w14:solidFill>
                      </w14:textFill>
                    </w:rPr>
                    <w:t>煤系</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高岭土</w:t>
                  </w:r>
                  <w:r>
                    <w:rPr>
                      <w:rFonts w:hint="eastAsia" w:ascii="宋体" w:hAnsi="宋体" w:cs="宋体"/>
                      <w:color w:val="000000" w:themeColor="text1"/>
                      <w:kern w:val="0"/>
                      <w:sz w:val="21"/>
                      <w:szCs w:val="21"/>
                      <w:highlight w:val="none"/>
                      <w:lang w:val="en-US" w:eastAsia="zh-CN" w:bidi="ar"/>
                      <w14:textFill>
                        <w14:solidFill>
                          <w14:schemeClr w14:val="tx1"/>
                        </w14:solidFill>
                      </w14:textFill>
                    </w:rPr>
                    <w:t>（煤矸石）</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为原料，对照《产业结构调整指导目录（</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2024</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年本）》，</w:t>
                  </w:r>
                  <w:r>
                    <w:rPr>
                      <w:rFonts w:hint="eastAsia" w:ascii="宋体" w:hAnsi="宋体" w:cs="宋体"/>
                      <w:color w:val="000000" w:themeColor="text1"/>
                      <w:kern w:val="0"/>
                      <w:sz w:val="21"/>
                      <w:szCs w:val="21"/>
                      <w:highlight w:val="none"/>
                      <w:lang w:val="en-US" w:eastAsia="zh-CN" w:bidi="ar"/>
                      <w14:textFill>
                        <w14:solidFill>
                          <w14:schemeClr w14:val="tx1"/>
                        </w14:solidFill>
                      </w14:textFill>
                    </w:rPr>
                    <w:t>本项目</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不属于所列行业，采用生产工艺属于鼓励类，不属于不符合产业政策和环保要求的落后产能。</w:t>
                  </w:r>
                </w:p>
              </w:tc>
              <w:tc>
                <w:tcPr>
                  <w:tcW w:w="554" w:type="pct"/>
                  <w:noWrap w:val="0"/>
                  <w:vAlign w:val="center"/>
                </w:tcPr>
                <w:p w14:paraId="575A6276">
                  <w:pPr>
                    <w:pStyle w:val="116"/>
                    <w:keepNext w:val="0"/>
                    <w:keepLines w:val="0"/>
                    <w:pageBreakBefore w:val="0"/>
                    <w:widowControl w:val="0"/>
                    <w:kinsoku/>
                    <w:wordWrap/>
                    <w:overflowPunct/>
                    <w:topLinePunct w:val="0"/>
                    <w:autoSpaceDE/>
                    <w:autoSpaceDN/>
                    <w:bidi w:val="0"/>
                    <w:adjustRightInd/>
                    <w:snapToGrid/>
                    <w:spacing w:line="240" w:lineRule="auto"/>
                    <w:ind w:left="0" w:leftChars="0" w:right="0"/>
                    <w:jc w:val="center"/>
                    <w:textAlignment w:val="auto"/>
                    <w:rPr>
                      <w:rFonts w:hint="default" w:ascii="Times New Roman" w:hAnsi="Times New Roman" w:eastAsia="宋体" w:cs="Times New Roman"/>
                      <w:b/>
                      <w:bCs/>
                      <w:color w:val="000000" w:themeColor="text1"/>
                      <w:spacing w:val="-3"/>
                      <w:sz w:val="21"/>
                      <w:szCs w:val="21"/>
                      <w:highlight w:val="none"/>
                      <w:vertAlign w:val="baseline"/>
                      <w14:textFill>
                        <w14:solidFill>
                          <w14:schemeClr w14:val="tx1"/>
                        </w14:solidFill>
                      </w14:textFill>
                    </w:rPr>
                  </w:pPr>
                  <w:r>
                    <w:rPr>
                      <w:rFonts w:hint="default" w:ascii="Times New Roman" w:hAnsi="Times New Roman" w:eastAsia="宋体" w:cs="Times New Roman"/>
                      <w:color w:val="000000" w:themeColor="text1"/>
                      <w:spacing w:val="-3"/>
                      <w:sz w:val="21"/>
                      <w:szCs w:val="21"/>
                      <w:highlight w:val="none"/>
                      <w14:textFill>
                        <w14:solidFill>
                          <w14:schemeClr w14:val="tx1"/>
                        </w14:solidFill>
                      </w14:textFill>
                    </w:rPr>
                    <w:t>符合</w:t>
                  </w:r>
                </w:p>
              </w:tc>
            </w:tr>
          </w:tbl>
          <w:p w14:paraId="2BEC99D5">
            <w:pPr>
              <w:spacing w:line="240" w:lineRule="auto"/>
              <w:jc w:val="center"/>
              <w:rPr>
                <w:rFonts w:hint="default" w:ascii="Times New Roman" w:hAnsi="Times New Roman" w:eastAsia="宋体" w:cs="Times New Roman"/>
                <w:b/>
                <w:bCs/>
                <w:color w:val="000000" w:themeColor="text1"/>
                <w:spacing w:val="-3"/>
                <w:highlight w:val="none"/>
                <w14:textFill>
                  <w14:solidFill>
                    <w14:schemeClr w14:val="tx1"/>
                  </w14:solidFill>
                </w14:textFill>
              </w:rPr>
            </w:pPr>
            <w:r>
              <w:rPr>
                <w:rFonts w:hint="default" w:ascii="Times New Roman" w:hAnsi="Times New Roman" w:eastAsia="宋体" w:cs="Times New Roman"/>
                <w:b/>
                <w:bCs/>
                <w:color w:val="000000" w:themeColor="text1"/>
                <w:spacing w:val="-3"/>
                <w:highlight w:val="none"/>
                <w14:textFill>
                  <w14:solidFill>
                    <w14:schemeClr w14:val="tx1"/>
                  </w14:solidFill>
                </w14:textFill>
              </w:rPr>
              <w:t>表</w:t>
            </w:r>
            <w:r>
              <w:rPr>
                <w:rFonts w:hint="default" w:ascii="Times New Roman" w:hAnsi="Times New Roman" w:eastAsia="宋体" w:cs="Times New Roman"/>
                <w:b/>
                <w:bCs/>
                <w:color w:val="000000" w:themeColor="text1"/>
                <w:spacing w:val="-3"/>
                <w:highlight w:val="none"/>
                <w:lang w:val="en-US" w:eastAsia="zh-CN"/>
                <w14:textFill>
                  <w14:solidFill>
                    <w14:schemeClr w14:val="tx1"/>
                  </w14:solidFill>
                </w14:textFill>
              </w:rPr>
              <w:t>1-</w:t>
            </w:r>
            <w:r>
              <w:rPr>
                <w:rFonts w:hint="eastAsia" w:cs="Times New Roman"/>
                <w:b/>
                <w:bCs/>
                <w:color w:val="000000" w:themeColor="text1"/>
                <w:spacing w:val="-3"/>
                <w:highlight w:val="none"/>
                <w:lang w:val="en-US" w:eastAsia="zh-CN"/>
                <w14:textFill>
                  <w14:solidFill>
                    <w14:schemeClr w14:val="tx1"/>
                  </w14:solidFill>
                </w14:textFill>
              </w:rPr>
              <w:t>5</w:t>
            </w:r>
            <w:r>
              <w:rPr>
                <w:rFonts w:hint="default" w:ascii="Times New Roman" w:hAnsi="Times New Roman" w:eastAsia="宋体" w:cs="Times New Roman"/>
                <w:b/>
                <w:bCs/>
                <w:color w:val="000000" w:themeColor="text1"/>
                <w:spacing w:val="-3"/>
                <w:highlight w:val="none"/>
                <w14:textFill>
                  <w14:solidFill>
                    <w14:schemeClr w14:val="tx1"/>
                  </w14:solidFill>
                </w14:textFill>
              </w:rPr>
              <w:t>项目与《</w:t>
            </w:r>
            <w:r>
              <w:rPr>
                <w:rFonts w:hint="default" w:ascii="Times New Roman" w:hAnsi="Times New Roman" w:eastAsia="宋体" w:cs="Times New Roman"/>
                <w:b/>
                <w:bCs/>
                <w:color w:val="000000" w:themeColor="text1"/>
                <w:spacing w:val="-3"/>
                <w:highlight w:val="none"/>
                <w:lang w:val="en-US" w:eastAsia="zh-CN"/>
                <w14:textFill>
                  <w14:solidFill>
                    <w14:schemeClr w14:val="tx1"/>
                  </w14:solidFill>
                </w14:textFill>
              </w:rPr>
              <w:t>鄂尔多斯市空气质量持续改善行动实施方案</w:t>
            </w:r>
            <w:r>
              <w:rPr>
                <w:rFonts w:hint="default" w:ascii="Times New Roman" w:hAnsi="Times New Roman" w:eastAsia="宋体" w:cs="Times New Roman"/>
                <w:b/>
                <w:bCs/>
                <w:color w:val="000000" w:themeColor="text1"/>
                <w:spacing w:val="-3"/>
                <w:highlight w:val="none"/>
                <w14:textFill>
                  <w14:solidFill>
                    <w14:schemeClr w14:val="tx1"/>
                  </w14:solidFill>
                </w14:textFill>
              </w:rPr>
              <w:t>》</w:t>
            </w:r>
            <w:r>
              <w:rPr>
                <w:rFonts w:hint="default" w:ascii="Times New Roman" w:hAnsi="Times New Roman" w:eastAsia="宋体" w:cs="Times New Roman"/>
                <w:b/>
                <w:bCs/>
                <w:color w:val="000000" w:themeColor="text1"/>
                <w:spacing w:val="-4"/>
                <w:highlight w:val="none"/>
                <w14:textFill>
                  <w14:solidFill>
                    <w14:schemeClr w14:val="tx1"/>
                  </w14:solidFill>
                </w14:textFill>
              </w:rPr>
              <w:t>符合性分析</w:t>
            </w:r>
          </w:p>
          <w:tbl>
            <w:tblPr>
              <w:tblStyle w:val="2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4"/>
              <w:gridCol w:w="5686"/>
              <w:gridCol w:w="917"/>
              <w:gridCol w:w="651"/>
            </w:tblGrid>
            <w:tr w14:paraId="0874C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9" w:type="pct"/>
                  <w:noWrap w:val="0"/>
                  <w:vAlign w:val="center"/>
                </w:tcPr>
                <w:p w14:paraId="55C34614">
                  <w:pPr>
                    <w:pStyle w:val="115"/>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序号</w:t>
                  </w:r>
                </w:p>
              </w:tc>
              <w:tc>
                <w:tcPr>
                  <w:tcW w:w="3645" w:type="pct"/>
                  <w:noWrap w:val="0"/>
                  <w:vAlign w:val="center"/>
                </w:tcPr>
                <w:p w14:paraId="4DC71EE9">
                  <w:pPr>
                    <w:pStyle w:val="115"/>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相关条件要求</w:t>
                  </w:r>
                </w:p>
              </w:tc>
              <w:tc>
                <w:tcPr>
                  <w:tcW w:w="588" w:type="pct"/>
                  <w:noWrap w:val="0"/>
                  <w:vAlign w:val="center"/>
                </w:tcPr>
                <w:p w14:paraId="5BCADA64">
                  <w:pPr>
                    <w:pStyle w:val="115"/>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本项目情况</w:t>
                  </w:r>
                </w:p>
              </w:tc>
              <w:tc>
                <w:tcPr>
                  <w:tcW w:w="417" w:type="pct"/>
                  <w:noWrap w:val="0"/>
                  <w:vAlign w:val="center"/>
                </w:tcPr>
                <w:p w14:paraId="33FD5C07">
                  <w:pPr>
                    <w:pStyle w:val="115"/>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符合性</w:t>
                  </w:r>
                </w:p>
              </w:tc>
            </w:tr>
            <w:tr w14:paraId="53D8A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9" w:type="pct"/>
                  <w:noWrap w:val="0"/>
                  <w:vAlign w:val="center"/>
                </w:tcPr>
                <w:p w14:paraId="2AF97D4A">
                  <w:pPr>
                    <w:pStyle w:val="115"/>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1</w:t>
                  </w:r>
                </w:p>
              </w:tc>
              <w:tc>
                <w:tcPr>
                  <w:tcW w:w="3645" w:type="pct"/>
                  <w:noWrap w:val="0"/>
                  <w:vAlign w:val="center"/>
                </w:tcPr>
                <w:p w14:paraId="3DE752F6">
                  <w:pPr>
                    <w:keepNext w:val="0"/>
                    <w:keepLines w:val="0"/>
                    <w:widowControl/>
                    <w:suppressLineNumbers w:val="0"/>
                    <w:jc w:val="left"/>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kern w:val="0"/>
                      <w:sz w:val="20"/>
                      <w:szCs w:val="20"/>
                      <w:highlight w:val="none"/>
                      <w:lang w:val="en-US" w:eastAsia="zh-CN" w:bidi="ar"/>
                      <w14:textFill>
                        <w14:solidFill>
                          <w14:schemeClr w14:val="tx1"/>
                        </w14:solidFill>
                      </w14:textFill>
                    </w:rPr>
                    <w:t>（三）实施工业炉窑清洁能源替代。围绕钢铁、化工、有色冶金、建材等重点领域，加大余热、余压、余气回收利用，能源管控中心、能量系统梯级优化等高效节能技术改造力度。淘汰并禁止新建不符合产业政策的燃料类煤气发生炉，推进燃料类煤气发生炉充分利用工业余热、电厂热力、可再生能源、天然气、煤层气、脱硫后</w:t>
                  </w:r>
                  <w:r>
                    <w:rPr>
                      <w:rFonts w:hint="eastAsia" w:ascii="宋体" w:hAnsi="宋体" w:cs="宋体"/>
                      <w:color w:val="000000" w:themeColor="text1"/>
                      <w:kern w:val="0"/>
                      <w:sz w:val="20"/>
                      <w:szCs w:val="20"/>
                      <w:highlight w:val="none"/>
                      <w:lang w:val="en-US" w:eastAsia="zh-CN" w:bidi="ar"/>
                      <w14:textFill>
                        <w14:solidFill>
                          <w14:schemeClr w14:val="tx1"/>
                        </w14:solidFill>
                      </w14:textFill>
                    </w:rPr>
                    <w:t>煤气</w:t>
                  </w:r>
                  <w:r>
                    <w:rPr>
                      <w:rFonts w:hint="eastAsia" w:ascii="宋体" w:hAnsi="宋体" w:eastAsia="宋体" w:cs="宋体"/>
                      <w:color w:val="000000" w:themeColor="text1"/>
                      <w:kern w:val="0"/>
                      <w:sz w:val="20"/>
                      <w:szCs w:val="20"/>
                      <w:highlight w:val="none"/>
                      <w:lang w:val="en-US" w:eastAsia="zh-CN" w:bidi="ar"/>
                      <w14:textFill>
                        <w14:solidFill>
                          <w14:schemeClr w14:val="tx1"/>
                        </w14:solidFill>
                      </w14:textFill>
                    </w:rPr>
                    <w:t>等清洁低碳能源替代。开展多层次多领域减污降碳协同创新试点工作，推进减污降碳协同创新试点城市和鄂托克高新技术产业开发区、苏里格经济开发区减污降碳协同创新试点园区建设。鼓励园区、企业、矿区绿电替代燃煤，开展煤化工与绿电制氢、制氧深度耦合示范，加大工业余热利用。</w:t>
                  </w:r>
                </w:p>
              </w:tc>
              <w:tc>
                <w:tcPr>
                  <w:tcW w:w="588" w:type="pct"/>
                  <w:noWrap w:val="0"/>
                  <w:vAlign w:val="center"/>
                </w:tcPr>
                <w:p w14:paraId="0736F29C">
                  <w:pPr>
                    <w:pStyle w:val="115"/>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本项目燃料为精脱硫后的清洁煤气</w:t>
                  </w:r>
                </w:p>
              </w:tc>
              <w:tc>
                <w:tcPr>
                  <w:tcW w:w="417" w:type="pct"/>
                  <w:noWrap w:val="0"/>
                  <w:vAlign w:val="center"/>
                </w:tcPr>
                <w:p w14:paraId="39C5BFC2">
                  <w:pPr>
                    <w:pStyle w:val="115"/>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符合</w:t>
                  </w:r>
                </w:p>
              </w:tc>
            </w:tr>
          </w:tbl>
          <w:p w14:paraId="016E24ED">
            <w:pPr>
              <w:spacing w:line="240" w:lineRule="auto"/>
              <w:jc w:val="center"/>
              <w:rPr>
                <w:rFonts w:hint="default" w:ascii="Times New Roman" w:hAnsi="Times New Roman" w:eastAsia="宋体" w:cs="Times New Roman"/>
                <w:b/>
                <w:bCs/>
                <w:color w:val="000000" w:themeColor="text1"/>
                <w:spacing w:val="-3"/>
                <w:highlight w:val="none"/>
                <w14:textFill>
                  <w14:solidFill>
                    <w14:schemeClr w14:val="tx1"/>
                  </w14:solidFill>
                </w14:textFill>
              </w:rPr>
            </w:pPr>
            <w:r>
              <w:rPr>
                <w:rFonts w:hint="default" w:ascii="Times New Roman" w:hAnsi="Times New Roman" w:eastAsia="宋体" w:cs="Times New Roman"/>
                <w:b/>
                <w:bCs/>
                <w:color w:val="000000" w:themeColor="text1"/>
                <w:spacing w:val="-3"/>
                <w:highlight w:val="none"/>
                <w14:textFill>
                  <w14:solidFill>
                    <w14:schemeClr w14:val="tx1"/>
                  </w14:solidFill>
                </w14:textFill>
              </w:rPr>
              <w:t>表</w:t>
            </w:r>
            <w:r>
              <w:rPr>
                <w:rFonts w:hint="default" w:ascii="Times New Roman" w:hAnsi="Times New Roman" w:eastAsia="宋体" w:cs="Times New Roman"/>
                <w:b/>
                <w:bCs/>
                <w:color w:val="000000" w:themeColor="text1"/>
                <w:spacing w:val="-3"/>
                <w:highlight w:val="none"/>
                <w:lang w:val="en-US" w:eastAsia="zh-CN"/>
                <w14:textFill>
                  <w14:solidFill>
                    <w14:schemeClr w14:val="tx1"/>
                  </w14:solidFill>
                </w14:textFill>
              </w:rPr>
              <w:t>1-</w:t>
            </w:r>
            <w:r>
              <w:rPr>
                <w:rFonts w:hint="eastAsia" w:cs="Times New Roman"/>
                <w:b/>
                <w:bCs/>
                <w:color w:val="000000" w:themeColor="text1"/>
                <w:spacing w:val="-3"/>
                <w:highlight w:val="none"/>
                <w:lang w:val="en-US" w:eastAsia="zh-CN"/>
                <w14:textFill>
                  <w14:solidFill>
                    <w14:schemeClr w14:val="tx1"/>
                  </w14:solidFill>
                </w14:textFill>
              </w:rPr>
              <w:t>6</w:t>
            </w:r>
            <w:r>
              <w:rPr>
                <w:rFonts w:hint="default" w:ascii="Times New Roman" w:hAnsi="Times New Roman" w:eastAsia="宋体" w:cs="Times New Roman"/>
                <w:b/>
                <w:bCs/>
                <w:color w:val="000000" w:themeColor="text1"/>
                <w:spacing w:val="-3"/>
                <w:highlight w:val="none"/>
                <w14:textFill>
                  <w14:solidFill>
                    <w14:schemeClr w14:val="tx1"/>
                  </w14:solidFill>
                </w14:textFill>
              </w:rPr>
              <w:t>项目与</w:t>
            </w:r>
            <w:r>
              <w:rPr>
                <w:rFonts w:hint="default" w:ascii="Times New Roman" w:hAnsi="Times New Roman" w:eastAsia="宋体" w:cs="Times New Roman"/>
                <w:b/>
                <w:bCs/>
                <w:color w:val="000000" w:themeColor="text1"/>
                <w:spacing w:val="-3"/>
                <w:highlight w:val="none"/>
                <w:lang w:val="en-US" w:eastAsia="zh-CN"/>
                <w14:textFill>
                  <w14:solidFill>
                    <w14:schemeClr w14:val="tx1"/>
                  </w14:solidFill>
                </w14:textFill>
              </w:rPr>
              <w:t>《鄂尔多斯市大气污染防治条例</w:t>
            </w:r>
            <w:r>
              <w:rPr>
                <w:rFonts w:hint="default" w:ascii="Times New Roman" w:hAnsi="Times New Roman" w:eastAsia="宋体" w:cs="Times New Roman"/>
                <w:b/>
                <w:bCs/>
                <w:color w:val="000000" w:themeColor="text1"/>
                <w:spacing w:val="-3"/>
                <w:highlight w:val="none"/>
                <w14:textFill>
                  <w14:solidFill>
                    <w14:schemeClr w14:val="tx1"/>
                  </w14:solidFill>
                </w14:textFill>
              </w:rPr>
              <w:t>》</w:t>
            </w:r>
            <w:r>
              <w:rPr>
                <w:rFonts w:hint="default" w:ascii="Times New Roman" w:hAnsi="Times New Roman" w:eastAsia="宋体" w:cs="Times New Roman"/>
                <w:b/>
                <w:bCs/>
                <w:color w:val="000000" w:themeColor="text1"/>
                <w:spacing w:val="-4"/>
                <w:highlight w:val="none"/>
                <w14:textFill>
                  <w14:solidFill>
                    <w14:schemeClr w14:val="tx1"/>
                  </w14:solidFill>
                </w14:textFill>
              </w:rPr>
              <w:t>符合性分析</w:t>
            </w:r>
          </w:p>
          <w:tbl>
            <w:tblPr>
              <w:tblStyle w:val="2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2"/>
              <w:gridCol w:w="4350"/>
              <w:gridCol w:w="2375"/>
              <w:gridCol w:w="591"/>
            </w:tblGrid>
            <w:tr w14:paraId="2BB10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9" w:type="pct"/>
                  <w:noWrap w:val="0"/>
                  <w:vAlign w:val="center"/>
                </w:tcPr>
                <w:p w14:paraId="199E6C71">
                  <w:pPr>
                    <w:pStyle w:val="115"/>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序号</w:t>
                  </w:r>
                </w:p>
              </w:tc>
              <w:tc>
                <w:tcPr>
                  <w:tcW w:w="2789" w:type="pct"/>
                  <w:noWrap w:val="0"/>
                  <w:vAlign w:val="center"/>
                </w:tcPr>
                <w:p w14:paraId="609D1551">
                  <w:pPr>
                    <w:pStyle w:val="115"/>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相关条件要求</w:t>
                  </w:r>
                </w:p>
              </w:tc>
              <w:tc>
                <w:tcPr>
                  <w:tcW w:w="1522" w:type="pct"/>
                  <w:noWrap w:val="0"/>
                  <w:vAlign w:val="center"/>
                </w:tcPr>
                <w:p w14:paraId="40A81B42">
                  <w:pPr>
                    <w:pStyle w:val="115"/>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本项目情况</w:t>
                  </w:r>
                </w:p>
              </w:tc>
              <w:tc>
                <w:tcPr>
                  <w:tcW w:w="378" w:type="pct"/>
                  <w:noWrap w:val="0"/>
                  <w:vAlign w:val="center"/>
                </w:tcPr>
                <w:p w14:paraId="42335499">
                  <w:pPr>
                    <w:pStyle w:val="115"/>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符合性</w:t>
                  </w:r>
                </w:p>
              </w:tc>
            </w:tr>
            <w:tr w14:paraId="0F1EA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9" w:type="pct"/>
                  <w:noWrap w:val="0"/>
                  <w:vAlign w:val="center"/>
                </w:tcPr>
                <w:p w14:paraId="3BA1CCD7">
                  <w:pPr>
                    <w:pStyle w:val="115"/>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eastAsia="宋体" w:cs="Times New Roman"/>
                      <w:color w:val="000000" w:themeColor="text1"/>
                      <w:sz w:val="21"/>
                      <w:szCs w:val="21"/>
                      <w:highlight w:val="none"/>
                      <w:lang w:val="en-US" w:eastAsia="zh-CN"/>
                      <w14:textFill>
                        <w14:solidFill>
                          <w14:schemeClr w14:val="tx1"/>
                        </w14:solidFill>
                      </w14:textFill>
                    </w:rPr>
                    <w:t>1</w:t>
                  </w:r>
                </w:p>
              </w:tc>
              <w:tc>
                <w:tcPr>
                  <w:tcW w:w="2789" w:type="pct"/>
                  <w:noWrap w:val="0"/>
                  <w:vAlign w:val="center"/>
                </w:tcPr>
                <w:p w14:paraId="3901A50D">
                  <w:pPr>
                    <w:keepNext w:val="0"/>
                    <w:keepLines w:val="0"/>
                    <w:widowControl/>
                    <w:suppressLineNumbers w:val="0"/>
                    <w:jc w:val="both"/>
                    <w:rPr>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第十六条排污单位应当保持污染源自动监控设施正常运行。污染源自动监控设施在计量检定有效期内发生严重故障的，排污单位应当重新</w:t>
                  </w:r>
                  <w:r>
                    <w:rPr>
                      <w:rFonts w:hint="eastAsia" w:ascii="宋体" w:hAnsi="宋体" w:cs="宋体"/>
                      <w:color w:val="000000" w:themeColor="text1"/>
                      <w:kern w:val="0"/>
                      <w:sz w:val="21"/>
                      <w:szCs w:val="21"/>
                      <w:highlight w:val="none"/>
                      <w:lang w:val="en-US" w:eastAsia="zh-CN" w:bidi="ar"/>
                      <w14:textFill>
                        <w14:solidFill>
                          <w14:schemeClr w14:val="tx1"/>
                        </w14:solidFill>
                      </w14:textFill>
                    </w:rPr>
                    <w:t>进行</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计量检定。</w:t>
                  </w:r>
                </w:p>
                <w:p w14:paraId="0E6DB710">
                  <w:pPr>
                    <w:keepNext w:val="0"/>
                    <w:keepLines w:val="0"/>
                    <w:widowControl/>
                    <w:suppressLineNumbers w:val="0"/>
                    <w:jc w:val="left"/>
                    <w:rPr>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第二十九条市、旗区人民政府应当合理制定水资源配置方案，将矿井水、再生水等非常规水资源纳入水资源统一配置，有效利用、节约和保护水资源。工业项目具备使用矿井水、再生水等非常规水资源条件时，市、旗区人民政府水行政主管部门应当优先配置；城市绿化、道路清扫、车辆冲洗、建筑施工以及生态景观等用水，应当优先使用再生水。</w:t>
                  </w:r>
                </w:p>
                <w:p w14:paraId="33A40AE8">
                  <w:pPr>
                    <w:keepNext w:val="0"/>
                    <w:keepLines w:val="0"/>
                    <w:widowControl/>
                    <w:suppressLineNumbers w:val="0"/>
                    <w:jc w:val="left"/>
                    <w:rPr>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第三十条除食品、药品生产企业外，禁止工业企业擅自抽取地下水作为生产用水。</w:t>
                  </w:r>
                </w:p>
                <w:p w14:paraId="017C0401">
                  <w:pPr>
                    <w:keepNext w:val="0"/>
                    <w:keepLines w:val="0"/>
                    <w:widowControl/>
                    <w:suppressLineNumbers w:val="0"/>
                    <w:jc w:val="left"/>
                    <w:rPr>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第三十一条全市实行重点水污染物排放总量控制制度，排污单位排放重点水污染物不得超过排放总量控制指标。</w:t>
                  </w:r>
                </w:p>
                <w:p w14:paraId="7F669433">
                  <w:pPr>
                    <w:keepNext w:val="0"/>
                    <w:keepLines w:val="0"/>
                    <w:widowControl/>
                    <w:suppressLineNumbers w:val="0"/>
                    <w:jc w:val="left"/>
                    <w:rPr>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第三十二条企事业单位和其他生产经营者向所有地表水体排放废水，应当符合相应水体的水环境质量标准要求。</w:t>
                  </w:r>
                </w:p>
                <w:p w14:paraId="1B072CBC">
                  <w:pPr>
                    <w:keepNext w:val="0"/>
                    <w:keepLines w:val="0"/>
                    <w:widowControl/>
                    <w:suppressLineNumbers w:val="0"/>
                    <w:jc w:val="left"/>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第三十三条各级人民政府应当采取有效措施，因地制宜植树种草，节约用水，涵养水源，防治水土流失。</w:t>
                  </w:r>
                </w:p>
              </w:tc>
              <w:tc>
                <w:tcPr>
                  <w:tcW w:w="1522" w:type="pct"/>
                  <w:noWrap w:val="0"/>
                  <w:vAlign w:val="center"/>
                </w:tcPr>
                <w:p w14:paraId="124FBB73">
                  <w:pPr>
                    <w:keepNext w:val="0"/>
                    <w:keepLines w:val="0"/>
                    <w:widowControl/>
                    <w:suppressLineNumbers w:val="0"/>
                    <w:jc w:val="both"/>
                    <w:rPr>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本项目主要排污口设置了污染物监测</w:t>
                  </w:r>
                  <w:r>
                    <w:rPr>
                      <w:rFonts w:hint="eastAsia" w:ascii="宋体" w:hAnsi="宋体" w:cs="宋体"/>
                      <w:color w:val="000000" w:themeColor="text1"/>
                      <w:kern w:val="0"/>
                      <w:sz w:val="21"/>
                      <w:szCs w:val="21"/>
                      <w:highlight w:val="none"/>
                      <w:lang w:val="en-US" w:eastAsia="zh-CN" w:bidi="ar"/>
                      <w14:textFill>
                        <w14:solidFill>
                          <w14:schemeClr w14:val="tx1"/>
                        </w14:solidFill>
                      </w14:textFill>
                    </w:rPr>
                    <w:t>设施，</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企业在运行过程中可保证其正常运行；本项目不排放废水，厂区生活废水</w:t>
                  </w:r>
                  <w:r>
                    <w:rPr>
                      <w:rFonts w:hint="eastAsia" w:ascii="宋体" w:hAnsi="宋体" w:cs="宋体"/>
                      <w:color w:val="000000" w:themeColor="text1"/>
                      <w:kern w:val="0"/>
                      <w:sz w:val="21"/>
                      <w:szCs w:val="21"/>
                      <w:highlight w:val="none"/>
                      <w:lang w:val="en-US" w:eastAsia="zh-CN" w:bidi="ar"/>
                      <w14:textFill>
                        <w14:solidFill>
                          <w14:schemeClr w14:val="tx1"/>
                        </w14:solidFill>
                      </w14:textFill>
                    </w:rPr>
                    <w:t>、软水制备废水</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排水和余热锅炉排水送</w:t>
                  </w:r>
                  <w:r>
                    <w:rPr>
                      <w:rFonts w:hint="eastAsia" w:ascii="宋体" w:hAnsi="宋体" w:cs="宋体"/>
                      <w:color w:val="000000" w:themeColor="text1"/>
                      <w:kern w:val="0"/>
                      <w:sz w:val="21"/>
                      <w:szCs w:val="21"/>
                      <w:highlight w:val="none"/>
                      <w:lang w:val="en-US" w:eastAsia="zh-CN" w:bidi="ar"/>
                      <w14:textFill>
                        <w14:solidFill>
                          <w14:schemeClr w14:val="tx1"/>
                        </w14:solidFill>
                      </w14:textFill>
                    </w:rPr>
                    <w:t>园区污水处理厂处理</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w:t>
                  </w:r>
                </w:p>
                <w:p w14:paraId="657DDC88">
                  <w:pPr>
                    <w:pStyle w:val="115"/>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p>
              </w:tc>
              <w:tc>
                <w:tcPr>
                  <w:tcW w:w="378" w:type="pct"/>
                  <w:noWrap w:val="0"/>
                  <w:vAlign w:val="center"/>
                </w:tcPr>
                <w:p w14:paraId="7CC1875D">
                  <w:pPr>
                    <w:pStyle w:val="115"/>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符合</w:t>
                  </w:r>
                </w:p>
              </w:tc>
            </w:tr>
            <w:tr w14:paraId="21273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9" w:type="pct"/>
                  <w:noWrap w:val="0"/>
                  <w:vAlign w:val="center"/>
                </w:tcPr>
                <w:p w14:paraId="77BA7359">
                  <w:pPr>
                    <w:pStyle w:val="115"/>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2</w:t>
                  </w:r>
                </w:p>
              </w:tc>
              <w:tc>
                <w:tcPr>
                  <w:tcW w:w="2789" w:type="pct"/>
                  <w:noWrap w:val="0"/>
                  <w:vAlign w:val="center"/>
                </w:tcPr>
                <w:p w14:paraId="451BF4D5">
                  <w:pPr>
                    <w:keepNext w:val="0"/>
                    <w:keepLines w:val="0"/>
                    <w:widowControl/>
                    <w:suppressLineNumbers w:val="0"/>
                    <w:jc w:val="left"/>
                    <w:rPr>
                      <w:color w:val="000000" w:themeColor="text1"/>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lang w:val="en-US" w:eastAsia="zh-CN" w:bidi="ar"/>
                      <w14:textFill>
                        <w14:solidFill>
                          <w14:schemeClr w14:val="tx1"/>
                        </w14:solidFill>
                      </w14:textFill>
                    </w:rPr>
                    <w:t>第三十三条</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市、旗区人民政府应当按照循环经济和清洁生产的要求推动工业园区建设，合理规划工业布局。新建排放大气污染物的工业项目应当进入工业园区。国家和自治区审批的特种项目除外。</w:t>
                  </w:r>
                </w:p>
                <w:p w14:paraId="2B3D0D9C">
                  <w:pPr>
                    <w:keepNext w:val="0"/>
                    <w:keepLines w:val="0"/>
                    <w:widowControl/>
                    <w:suppressLineNumbers w:val="0"/>
                    <w:jc w:val="left"/>
                    <w:rPr>
                      <w:color w:val="000000" w:themeColor="text1"/>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lang w:val="en-US" w:eastAsia="zh-CN" w:bidi="ar"/>
                      <w14:textFill>
                        <w14:solidFill>
                          <w14:schemeClr w14:val="tx1"/>
                        </w14:solidFill>
                      </w14:textFill>
                    </w:rPr>
                    <w:t>第三十四条</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市、旗区人民政府应当按照循环经济和清洁生产的要求推动工业园区建设，合理规划工业布局。新建排放大气污染物的工业项目应当进入工业园区。国家和自治区审批的特种项目除外。</w:t>
                  </w:r>
                </w:p>
                <w:p w14:paraId="5E0D8EB1">
                  <w:pPr>
                    <w:keepNext w:val="0"/>
                    <w:keepLines w:val="0"/>
                    <w:widowControl/>
                    <w:suppressLineNumbers w:val="0"/>
                    <w:jc w:val="left"/>
                    <w:rPr>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第三十一条工业企业应当采用清洁生产技术、工艺和设备，减少大气污染物的产生和排放。</w:t>
                  </w:r>
                </w:p>
                <w:p w14:paraId="5B13A53B">
                  <w:pPr>
                    <w:keepNext w:val="0"/>
                    <w:keepLines w:val="0"/>
                    <w:widowControl/>
                    <w:suppressLineNumbers w:val="0"/>
                    <w:jc w:val="left"/>
                    <w:rPr>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第三十二条严格控制生产中产生的粉尘和气态污染物的排放。对不经过排气筒集中排放的，排污单位应当采取密闭、封闭、集中收集、过滤、吸附和分解等处理措施。</w:t>
                  </w:r>
                </w:p>
                <w:p w14:paraId="5D4458EA">
                  <w:pPr>
                    <w:keepNext w:val="0"/>
                    <w:keepLines w:val="0"/>
                    <w:widowControl/>
                    <w:suppressLineNumbers w:val="0"/>
                    <w:jc w:val="left"/>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第三十四条重点区域执行重点行业污染物特别排放限值。燃煤发电机组和执行火电大气污染物排放标准的锅炉应当执行超低排放限值。</w:t>
                  </w:r>
                </w:p>
              </w:tc>
              <w:tc>
                <w:tcPr>
                  <w:tcW w:w="1522" w:type="pct"/>
                  <w:noWrap w:val="0"/>
                  <w:vAlign w:val="center"/>
                </w:tcPr>
                <w:p w14:paraId="104E8807">
                  <w:pPr>
                    <w:keepNext w:val="0"/>
                    <w:keepLines w:val="0"/>
                    <w:widowControl/>
                    <w:suppressLineNumbers w:val="0"/>
                    <w:jc w:val="both"/>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本项目位于工业园区内，采用先进的生产工艺及污染治理措施；本项目原料及成品储存全部为封闭库、储罐，生产过程中的废气全部设置排气筒排放，具体如下：</w:t>
                  </w:r>
                </w:p>
                <w:p w14:paraId="225D42C5">
                  <w:pPr>
                    <w:keepNext w:val="0"/>
                    <w:keepLines w:val="0"/>
                    <w:widowControl/>
                    <w:suppressLineNumbers w:val="0"/>
                    <w:jc w:val="left"/>
                    <w:rPr>
                      <w:color w:val="000000" w:themeColor="text1"/>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lang w:val="en-US" w:eastAsia="zh-CN" w:bidi="ar"/>
                      <w14:textFill>
                        <w14:solidFill>
                          <w14:schemeClr w14:val="tx1"/>
                        </w14:solidFill>
                      </w14:textFill>
                    </w:rPr>
                    <w:t>1.</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筒仓粉尘经</w:t>
                  </w:r>
                  <w:r>
                    <w:rPr>
                      <w:rFonts w:hint="eastAsia" w:ascii="宋体" w:hAnsi="宋体" w:cs="宋体"/>
                      <w:color w:val="000000" w:themeColor="text1"/>
                      <w:kern w:val="0"/>
                      <w:sz w:val="21"/>
                      <w:szCs w:val="21"/>
                      <w:highlight w:val="none"/>
                      <w:lang w:val="en-US" w:eastAsia="zh-CN" w:bidi="ar"/>
                      <w14:textFill>
                        <w14:solidFill>
                          <w14:schemeClr w14:val="tx1"/>
                        </w14:solidFill>
                      </w14:textFill>
                    </w:rPr>
                    <w:t>布袋除尘器（覆膜袋式）</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处理后通过排气</w:t>
                  </w:r>
                  <w:r>
                    <w:rPr>
                      <w:rFonts w:hint="eastAsia" w:ascii="宋体" w:hAnsi="宋体" w:cs="宋体"/>
                      <w:color w:val="000000" w:themeColor="text1"/>
                      <w:kern w:val="0"/>
                      <w:sz w:val="21"/>
                      <w:szCs w:val="21"/>
                      <w:highlight w:val="none"/>
                      <w:lang w:val="en-US" w:eastAsia="zh-CN" w:bidi="ar"/>
                      <w14:textFill>
                        <w14:solidFill>
                          <w14:schemeClr w14:val="tx1"/>
                        </w14:solidFill>
                      </w14:textFill>
                    </w:rPr>
                    <w:t>筒</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排放。</w:t>
                  </w:r>
                </w:p>
                <w:p w14:paraId="59953261">
                  <w:pPr>
                    <w:keepNext w:val="0"/>
                    <w:keepLines w:val="0"/>
                    <w:widowControl/>
                    <w:suppressLineNumbers w:val="0"/>
                    <w:jc w:val="left"/>
                    <w:rPr>
                      <w:rFonts w:hint="default" w:ascii="宋体" w:hAnsi="宋体" w:eastAsia="宋体" w:cs="宋体"/>
                      <w:color w:val="000000" w:themeColor="text1"/>
                      <w:kern w:val="0"/>
                      <w:sz w:val="21"/>
                      <w:szCs w:val="21"/>
                      <w:highlight w:val="none"/>
                      <w:lang w:val="en-US" w:eastAsia="zh-CN" w:bidi="ar"/>
                      <w14:textFill>
                        <w14:solidFill>
                          <w14:schemeClr w14:val="tx1"/>
                        </w14:solidFill>
                      </w14:textFill>
                    </w:rPr>
                  </w:pPr>
                  <w:r>
                    <w:rPr>
                      <w:rFonts w:hint="eastAsia" w:ascii="宋体" w:hAnsi="宋体" w:cs="宋体"/>
                      <w:color w:val="000000" w:themeColor="text1"/>
                      <w:kern w:val="0"/>
                      <w:sz w:val="21"/>
                      <w:szCs w:val="21"/>
                      <w:highlight w:val="none"/>
                      <w:lang w:val="en-US" w:eastAsia="zh-CN" w:bidi="ar"/>
                      <w14:textFill>
                        <w14:solidFill>
                          <w14:schemeClr w14:val="tx1"/>
                        </w14:solidFill>
                      </w14:textFill>
                    </w:rPr>
                    <w:t>2.</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转运、存储、包装装置及密闭存储设施处均设置</w:t>
                  </w:r>
                  <w:r>
                    <w:rPr>
                      <w:rFonts w:hint="eastAsia" w:ascii="宋体" w:hAnsi="宋体" w:cs="宋体"/>
                      <w:color w:val="000000" w:themeColor="text1"/>
                      <w:kern w:val="0"/>
                      <w:sz w:val="21"/>
                      <w:szCs w:val="21"/>
                      <w:highlight w:val="none"/>
                      <w:lang w:val="en-US" w:eastAsia="zh-CN" w:bidi="ar"/>
                      <w14:textFill>
                        <w14:solidFill>
                          <w14:schemeClr w14:val="tx1"/>
                        </w14:solidFill>
                      </w14:textFill>
                    </w:rPr>
                    <w:t>布袋除尘器（覆膜袋式）</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除尘后通过排气</w:t>
                  </w:r>
                  <w:r>
                    <w:rPr>
                      <w:rFonts w:hint="eastAsia" w:ascii="宋体" w:hAnsi="宋体" w:cs="宋体"/>
                      <w:color w:val="000000" w:themeColor="text1"/>
                      <w:kern w:val="0"/>
                      <w:sz w:val="21"/>
                      <w:szCs w:val="21"/>
                      <w:highlight w:val="none"/>
                      <w:lang w:val="en-US" w:eastAsia="zh-CN" w:bidi="ar"/>
                      <w14:textFill>
                        <w14:solidFill>
                          <w14:schemeClr w14:val="tx1"/>
                        </w14:solidFill>
                      </w14:textFill>
                    </w:rPr>
                    <w:t>筒</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排放。</w:t>
                  </w:r>
                </w:p>
                <w:p w14:paraId="011C5D60">
                  <w:pPr>
                    <w:keepNext w:val="0"/>
                    <w:keepLines w:val="0"/>
                    <w:widowControl/>
                    <w:suppressLineNumbers w:val="0"/>
                    <w:jc w:val="both"/>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kern w:val="0"/>
                      <w:sz w:val="21"/>
                      <w:szCs w:val="21"/>
                      <w:highlight w:val="none"/>
                      <w:lang w:val="en-US" w:eastAsia="zh-CN" w:bidi="ar"/>
                      <w14:textFill>
                        <w14:solidFill>
                          <w14:schemeClr w14:val="tx1"/>
                        </w14:solidFill>
                      </w14:textFill>
                    </w:rPr>
                    <w:t>3.</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本项目悬浮焙烧炉产生的烟气经余热锅炉回收余热后，经“脱硝</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布袋除尘</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石灰石</w:t>
                  </w:r>
                  <w:r>
                    <w:rPr>
                      <w:rFonts w:hint="eastAsia" w:ascii="宋体" w:hAnsi="宋体" w:cs="宋体"/>
                      <w:color w:val="000000" w:themeColor="text1"/>
                      <w:kern w:val="0"/>
                      <w:sz w:val="21"/>
                      <w:szCs w:val="21"/>
                      <w:highlight w:val="none"/>
                      <w:lang w:val="en-US" w:eastAsia="zh-CN" w:bidi="ar"/>
                      <w14:textFill>
                        <w14:solidFill>
                          <w14:schemeClr w14:val="tx1"/>
                        </w14:solidFill>
                      </w14:textFill>
                    </w:rPr>
                    <w:t>-</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石膏法脱硫”后</w:t>
                  </w:r>
                  <w:r>
                    <w:rPr>
                      <w:rFonts w:hint="eastAsia" w:ascii="宋体" w:hAnsi="宋体" w:cs="宋体"/>
                      <w:color w:val="000000" w:themeColor="text1"/>
                      <w:kern w:val="0"/>
                      <w:sz w:val="21"/>
                      <w:szCs w:val="21"/>
                      <w:highlight w:val="none"/>
                      <w:lang w:val="en-US" w:eastAsia="zh-CN" w:bidi="ar"/>
                      <w14:textFill>
                        <w14:solidFill>
                          <w14:schemeClr w14:val="tx1"/>
                        </w14:solidFill>
                      </w14:textFill>
                    </w:rPr>
                    <w:t>达标</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排放。</w:t>
                  </w:r>
                </w:p>
              </w:tc>
              <w:tc>
                <w:tcPr>
                  <w:tcW w:w="378" w:type="pct"/>
                  <w:noWrap w:val="0"/>
                  <w:vAlign w:val="center"/>
                </w:tcPr>
                <w:p w14:paraId="2237A458">
                  <w:pPr>
                    <w:pStyle w:val="115"/>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符合</w:t>
                  </w:r>
                </w:p>
              </w:tc>
            </w:tr>
          </w:tbl>
          <w:p w14:paraId="42E65278">
            <w:pPr>
              <w:pStyle w:val="103"/>
              <w:numPr>
                <w:ilvl w:val="0"/>
                <w:numId w:val="2"/>
              </w:numPr>
              <w:spacing w:line="360" w:lineRule="auto"/>
              <w:ind w:firstLine="482" w:firstLineChars="200"/>
              <w:jc w:val="left"/>
              <w:rPr>
                <w:rFonts w:hint="default" w:ascii="Times New Roman" w:hAnsi="Times New Roman" w:eastAsia="宋体" w:cs="Times New Roman"/>
                <w:b/>
                <w:bCs/>
                <w:color w:val="000000" w:themeColor="text1"/>
                <w:szCs w:val="24"/>
                <w:highlight w:val="none"/>
                <w:lang w:eastAsia="zh-CN"/>
                <w14:textFill>
                  <w14:solidFill>
                    <w14:schemeClr w14:val="tx1"/>
                  </w14:solidFill>
                </w14:textFill>
              </w:rPr>
            </w:pPr>
            <w:r>
              <w:rPr>
                <w:rFonts w:hint="default" w:ascii="Times New Roman" w:hAnsi="Times New Roman" w:eastAsia="宋体" w:cs="Times New Roman"/>
                <w:b/>
                <w:bCs/>
                <w:color w:val="000000" w:themeColor="text1"/>
                <w:szCs w:val="24"/>
                <w:highlight w:val="none"/>
                <w:lang w:eastAsia="zh-CN"/>
                <w14:textFill>
                  <w14:solidFill>
                    <w14:schemeClr w14:val="tx1"/>
                  </w14:solidFill>
                </w14:textFill>
              </w:rPr>
              <w:t>与《关于“十四五”大宗固体废弃物综合利用的指导意见》符合性分析</w:t>
            </w:r>
          </w:p>
          <w:p w14:paraId="5DF98F21">
            <w:pPr>
              <w:pStyle w:val="48"/>
              <w:keepNext w:val="0"/>
              <w:keepLines w:val="0"/>
              <w:pageBreakBefore w:val="0"/>
              <w:widowControl w:val="0"/>
              <w:kinsoku/>
              <w:wordWrap/>
              <w:overflowPunct/>
              <w:topLinePunct w:val="0"/>
              <w:autoSpaceDE/>
              <w:autoSpaceDN/>
              <w:bidi w:val="0"/>
              <w:adjustRightInd w:val="0"/>
              <w:snapToGrid w:val="0"/>
              <w:ind w:left="0" w:leftChars="0" w:firstLine="480" w:firstLineChars="200"/>
              <w:textAlignment w:val="auto"/>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eastAsia="zh-CN"/>
                <w14:textFill>
                  <w14:solidFill>
                    <w14:schemeClr w14:val="tx1"/>
                  </w14:solidFill>
                </w14:textFill>
              </w:rPr>
              <w:t>根据《关于“十四五”大宗固体废弃物综合利用的指导意见》（发改环资〔2021〕</w:t>
            </w:r>
            <w:r>
              <w:rPr>
                <w:rFonts w:hint="default" w:ascii="Times New Roman" w:hAnsi="Times New Roman" w:eastAsia="宋体" w:cs="Times New Roman"/>
                <w:color w:val="000000" w:themeColor="text1"/>
                <w:highlight w:val="none"/>
                <w:lang w:val="en-US" w:eastAsia="zh-CN"/>
                <w14:textFill>
                  <w14:solidFill>
                    <w14:schemeClr w14:val="tx1"/>
                  </w14:solidFill>
                </w14:textFill>
              </w:rPr>
              <w:t>381</w:t>
            </w:r>
            <w:r>
              <w:rPr>
                <w:rFonts w:hint="default" w:ascii="Times New Roman" w:hAnsi="Times New Roman" w:eastAsia="宋体" w:cs="Times New Roman"/>
                <w:color w:val="000000" w:themeColor="text1"/>
                <w:highlight w:val="none"/>
                <w:lang w:eastAsia="zh-CN"/>
                <w14:textFill>
                  <w14:solidFill>
                    <w14:schemeClr w14:val="tx1"/>
                  </w14:solidFill>
                </w14:textFill>
              </w:rPr>
              <w:t>号）的相关内容，本项目建设与其符合性分析</w:t>
            </w:r>
            <w:r>
              <w:rPr>
                <w:rFonts w:hint="eastAsia" w:eastAsia="宋体" w:cs="Times New Roman"/>
                <w:color w:val="000000" w:themeColor="text1"/>
                <w:highlight w:val="none"/>
                <w:lang w:eastAsia="zh-CN"/>
                <w14:textFill>
                  <w14:solidFill>
                    <w14:schemeClr w14:val="tx1"/>
                  </w14:solidFill>
                </w14:textFill>
              </w:rPr>
              <w:t>见下</w:t>
            </w:r>
            <w:r>
              <w:rPr>
                <w:rFonts w:hint="default" w:ascii="Times New Roman" w:hAnsi="Times New Roman" w:eastAsia="宋体" w:cs="Times New Roman"/>
                <w:color w:val="000000" w:themeColor="text1"/>
                <w:highlight w:val="none"/>
                <w:lang w:eastAsia="zh-CN"/>
                <w14:textFill>
                  <w14:solidFill>
                    <w14:schemeClr w14:val="tx1"/>
                  </w14:solidFill>
                </w14:textFill>
              </w:rPr>
              <w:t>表</w:t>
            </w:r>
            <w:r>
              <w:rPr>
                <w:rFonts w:hint="default" w:ascii="Times New Roman" w:hAnsi="Times New Roman" w:eastAsia="宋体" w:cs="Times New Roman"/>
                <w:color w:val="000000" w:themeColor="text1"/>
                <w:highlight w:val="none"/>
                <w:lang w:val="en-US" w:eastAsia="zh-CN"/>
                <w14:textFill>
                  <w14:solidFill>
                    <w14:schemeClr w14:val="tx1"/>
                  </w14:solidFill>
                </w14:textFill>
              </w:rPr>
              <w:t>。</w:t>
            </w:r>
          </w:p>
          <w:p w14:paraId="449A57CE">
            <w:pPr>
              <w:pStyle w:val="48"/>
              <w:keepNext w:val="0"/>
              <w:keepLines w:val="0"/>
              <w:pageBreakBefore w:val="0"/>
              <w:widowControl w:val="0"/>
              <w:kinsoku/>
              <w:wordWrap/>
              <w:overflowPunct/>
              <w:topLinePunct w:val="0"/>
              <w:autoSpaceDE/>
              <w:autoSpaceDN/>
              <w:bidi w:val="0"/>
              <w:adjustRightInd w:val="0"/>
              <w:snapToGrid w:val="0"/>
              <w:spacing w:line="240" w:lineRule="auto"/>
              <w:ind w:left="0" w:leftChars="0" w:firstLine="723" w:firstLineChars="300"/>
              <w:textAlignment w:val="auto"/>
              <w:rPr>
                <w:rFonts w:hint="default" w:ascii="Times New Roman" w:hAnsi="Times New Roman" w:eastAsia="宋体" w:cs="Times New Roman"/>
                <w:color w:val="000000" w:themeColor="text1"/>
                <w:highlight w:val="none"/>
                <w:lang w:eastAsia="zh-CN"/>
                <w14:textFill>
                  <w14:solidFill>
                    <w14:schemeClr w14:val="tx1"/>
                  </w14:solidFill>
                </w14:textFill>
              </w:rPr>
            </w:pPr>
            <w:r>
              <w:rPr>
                <w:rFonts w:hint="default" w:ascii="Times New Roman" w:hAnsi="Times New Roman" w:eastAsia="宋体" w:cs="Times New Roman"/>
                <w:b/>
                <w:bCs/>
                <w:color w:val="000000" w:themeColor="text1"/>
                <w:kern w:val="2"/>
                <w:sz w:val="24"/>
                <w:szCs w:val="24"/>
                <w:highlight w:val="none"/>
                <w:lang w:val="en-US" w:eastAsia="zh-CN" w:bidi="ar-SA"/>
                <w14:textFill>
                  <w14:solidFill>
                    <w14:schemeClr w14:val="tx1"/>
                  </w14:solidFill>
                </w14:textFill>
              </w:rPr>
              <w:t>表1-</w:t>
            </w:r>
            <w:r>
              <w:rPr>
                <w:rFonts w:hint="eastAsia" w:cs="Times New Roman"/>
                <w:b/>
                <w:bCs/>
                <w:color w:val="000000" w:themeColor="text1"/>
                <w:kern w:val="2"/>
                <w:sz w:val="24"/>
                <w:szCs w:val="24"/>
                <w:highlight w:val="none"/>
                <w:lang w:val="en-US" w:eastAsia="zh-CN" w:bidi="ar-SA"/>
                <w14:textFill>
                  <w14:solidFill>
                    <w14:schemeClr w14:val="tx1"/>
                  </w14:solidFill>
                </w14:textFill>
              </w:rPr>
              <w:t>6</w:t>
            </w:r>
            <w:r>
              <w:rPr>
                <w:rFonts w:hint="default" w:ascii="Times New Roman" w:hAnsi="Times New Roman" w:eastAsia="宋体" w:cs="Times New Roman"/>
                <w:b/>
                <w:bCs/>
                <w:color w:val="000000" w:themeColor="text1"/>
                <w:kern w:val="2"/>
                <w:sz w:val="24"/>
                <w:szCs w:val="24"/>
                <w:highlight w:val="none"/>
                <w:lang w:val="en-US" w:eastAsia="zh-CN" w:bidi="ar-SA"/>
                <w14:textFill>
                  <w14:solidFill>
                    <w14:schemeClr w14:val="tx1"/>
                  </w14:solidFill>
                </w14:textFill>
              </w:rPr>
              <w:t>建设项目与其他相关政策符合性分析对照一览表</w:t>
            </w:r>
          </w:p>
          <w:tbl>
            <w:tblPr>
              <w:tblStyle w:val="2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8"/>
              <w:gridCol w:w="1310"/>
            </w:tblGrid>
            <w:tr w14:paraId="0E66D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blHeader/>
                <w:jc w:val="center"/>
              </w:trPr>
              <w:tc>
                <w:tcPr>
                  <w:tcW w:w="4159" w:type="pct"/>
                  <w:noWrap w:val="0"/>
                  <w:vAlign w:val="center"/>
                </w:tcPr>
                <w:p w14:paraId="7E467453">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发改</w:t>
                  </w:r>
                  <w:r>
                    <w:rPr>
                      <w:rFonts w:hint="default" w:ascii="Times New Roman" w:hAnsi="Times New Roman" w:eastAsia="宋体" w:cs="Times New Roman"/>
                      <w:b w:val="0"/>
                      <w:bCs/>
                      <w:color w:val="000000" w:themeColor="text1"/>
                      <w:sz w:val="21"/>
                      <w:szCs w:val="21"/>
                      <w:highlight w:val="none"/>
                      <w:lang w:eastAsia="zh-CN"/>
                      <w14:textFill>
                        <w14:solidFill>
                          <w14:schemeClr w14:val="tx1"/>
                        </w14:solidFill>
                      </w14:textFill>
                    </w:rPr>
                    <w:t>环资</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〔2021〕</w:t>
                  </w: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381</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号中相关内容</w:t>
                  </w:r>
                </w:p>
              </w:tc>
              <w:tc>
                <w:tcPr>
                  <w:tcW w:w="840" w:type="pct"/>
                  <w:noWrap w:val="0"/>
                  <w:vAlign w:val="center"/>
                </w:tcPr>
                <w:p w14:paraId="1FE1D812">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符合性分析</w:t>
                  </w:r>
                </w:p>
              </w:tc>
            </w:tr>
            <w:tr w14:paraId="342CB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4159" w:type="pct"/>
                  <w:noWrap w:val="0"/>
                  <w:vAlign w:val="top"/>
                </w:tcPr>
                <w:p w14:paraId="79337CA3">
                  <w:pPr>
                    <w:pStyle w:val="115"/>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三</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提高大宗固废资源利用效率</w:t>
                  </w:r>
                </w:p>
                <w:p w14:paraId="5EE78515">
                  <w:pPr>
                    <w:pStyle w:val="115"/>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（六）煤矸石（劣质煤）和粉煤灰。持续提高煤矸石（劣质煤）和粉煤灰综合利用水平</w:t>
                  </w:r>
                  <w:r>
                    <w:rPr>
                      <w:rFonts w:hint="default" w:ascii="Times New Roman" w:hAnsi="Times New Roman" w:eastAsia="宋体" w:cs="Times New Roman"/>
                      <w:color w:val="000000" w:themeColor="text1"/>
                      <w:sz w:val="21"/>
                      <w:szCs w:val="21"/>
                      <w:highlight w:val="none"/>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推进煤矸石（劣质煤）和粉煤灰在工程建设</w:t>
                  </w:r>
                  <w:r>
                    <w:rPr>
                      <w:rFonts w:hint="default" w:ascii="Times New Roman" w:hAnsi="Times New Roman" w:eastAsia="宋体" w:cs="Times New Roman"/>
                      <w:color w:val="000000" w:themeColor="text1"/>
                      <w:sz w:val="21"/>
                      <w:szCs w:val="21"/>
                      <w:highlight w:val="none"/>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塌陷区治理</w:t>
                  </w:r>
                  <w:r>
                    <w:rPr>
                      <w:rFonts w:hint="default" w:ascii="Times New Roman" w:hAnsi="Times New Roman" w:eastAsia="宋体" w:cs="Times New Roman"/>
                      <w:color w:val="000000" w:themeColor="text1"/>
                      <w:sz w:val="21"/>
                      <w:szCs w:val="21"/>
                      <w:highlight w:val="none"/>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矿井充填以及盐碱地、沙漠化土地生态修复等领域的利用</w:t>
                  </w:r>
                  <w:r>
                    <w:rPr>
                      <w:rFonts w:hint="default" w:ascii="Times New Roman" w:hAnsi="Times New Roman" w:eastAsia="宋体" w:cs="Times New Roman"/>
                      <w:color w:val="000000" w:themeColor="text1"/>
                      <w:sz w:val="21"/>
                      <w:szCs w:val="21"/>
                      <w:highlight w:val="none"/>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有序引导利用煤矸石（劣质煤）、粉煤灰生产新型墙体材料、装饰装修等绿色建材，在风险可控前</w:t>
                  </w:r>
                  <w:r>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t>提出</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深入推动农业领域应用和有价组分提取</w:t>
                  </w:r>
                  <w:r>
                    <w:rPr>
                      <w:rFonts w:hint="default" w:ascii="Times New Roman" w:hAnsi="Times New Roman" w:eastAsia="宋体" w:cs="Times New Roman"/>
                      <w:color w:val="000000" w:themeColor="text1"/>
                      <w:sz w:val="21"/>
                      <w:szCs w:val="21"/>
                      <w:highlight w:val="none"/>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加强大掺量和高附加值应用推广</w:t>
                  </w:r>
                  <w:r>
                    <w:rPr>
                      <w:rFonts w:hint="default" w:ascii="Times New Roman" w:hAnsi="Times New Roman" w:eastAsia="宋体" w:cs="Times New Roman"/>
                      <w:color w:val="000000" w:themeColor="text1"/>
                      <w:sz w:val="21"/>
                      <w:szCs w:val="21"/>
                      <w:highlight w:val="none"/>
                      <w14:textFill>
                        <w14:solidFill>
                          <w14:schemeClr w14:val="tx1"/>
                        </w14:solidFill>
                      </w14:textFill>
                    </w:rPr>
                    <w:t>。</w:t>
                  </w:r>
                </w:p>
              </w:tc>
              <w:tc>
                <w:tcPr>
                  <w:tcW w:w="840" w:type="pct"/>
                  <w:vMerge w:val="restart"/>
                  <w:noWrap w:val="0"/>
                  <w:vAlign w:val="center"/>
                </w:tcPr>
                <w:p w14:paraId="480E9B76">
                  <w:pPr>
                    <w:pStyle w:val="115"/>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color w:val="000000" w:themeColor="text1"/>
                      <w:sz w:val="21"/>
                      <w:szCs w:val="21"/>
                      <w:highlight w:val="none"/>
                      <w:lang w:val="en-US"/>
                      <w14:textFill>
                        <w14:solidFill>
                          <w14:schemeClr w14:val="tx1"/>
                        </w14:solidFill>
                      </w14:textFill>
                    </w:rPr>
                  </w:pPr>
                  <w:r>
                    <w:rPr>
                      <w:rFonts w:hint="eastAsia" w:cs="Times New Roman"/>
                      <w:color w:val="000000" w:themeColor="text1"/>
                      <w:sz w:val="21"/>
                      <w:szCs w:val="21"/>
                      <w:highlight w:val="none"/>
                      <w:lang w:eastAsia="zh-CN"/>
                      <w14:textFill>
                        <w14:solidFill>
                          <w14:schemeClr w14:val="tx1"/>
                        </w14:solidFill>
                      </w14:textFill>
                    </w:rPr>
                    <w:t>本项</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目以325目</w:t>
                  </w:r>
                  <w:r>
                    <w:rPr>
                      <w:rFonts w:hint="eastAsia" w:ascii="宋体" w:hAnsi="宋体" w:cs="宋体"/>
                      <w:color w:val="000000" w:themeColor="text1"/>
                      <w:kern w:val="0"/>
                      <w:sz w:val="21"/>
                      <w:szCs w:val="21"/>
                      <w:highlight w:val="none"/>
                      <w:lang w:val="en-US" w:eastAsia="zh-CN" w:bidi="ar"/>
                      <w14:textFill>
                        <w14:solidFill>
                          <w14:schemeClr w14:val="tx1"/>
                        </w14:solidFill>
                      </w14:textFill>
                    </w:rPr>
                    <w:t>煤矸石粉</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为原料，对照《产业结构调整指导目录（</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2024</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年本）》，</w:t>
                  </w:r>
                  <w:r>
                    <w:rPr>
                      <w:rFonts w:hint="eastAsia" w:ascii="宋体" w:hAnsi="宋体" w:cs="宋体"/>
                      <w:color w:val="000000" w:themeColor="text1"/>
                      <w:kern w:val="0"/>
                      <w:sz w:val="21"/>
                      <w:szCs w:val="21"/>
                      <w:highlight w:val="none"/>
                      <w:lang w:val="en-US" w:eastAsia="zh-CN" w:bidi="ar"/>
                      <w14:textFill>
                        <w14:solidFill>
                          <w14:schemeClr w14:val="tx1"/>
                        </w14:solidFill>
                      </w14:textFill>
                    </w:rPr>
                    <w:t>本项目</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不属于所列行业，采用生产工艺属于鼓励类</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，产品为高附加值产品。</w:t>
                  </w:r>
                </w:p>
              </w:tc>
            </w:tr>
            <w:tr w14:paraId="387CD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159" w:type="pct"/>
                  <w:noWrap w:val="0"/>
                  <w:vAlign w:val="top"/>
                </w:tcPr>
                <w:p w14:paraId="05C69B9C">
                  <w:pPr>
                    <w:pStyle w:val="115"/>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kern w:val="0"/>
                      <w:sz w:val="21"/>
                      <w:szCs w:val="21"/>
                      <w:highlight w:val="none"/>
                      <w:lang w:val="zh-CN"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zh-CN" w:eastAsia="zh-CN"/>
                      <w14:textFill>
                        <w14:solidFill>
                          <w14:schemeClr w14:val="tx1"/>
                        </w14:solidFill>
                      </w14:textFill>
                    </w:rPr>
                    <w:t>（八）冶炼渣。加强产业协同利用，扩大赤泥和钢渣利用规模，提高赤泥在道路材料中的掺用比例，扩大钢渣微粉作混凝土掺合料在建设工程等领域的利用。不断探索赤泥和钢渣的其他规模化利用渠道。鼓励从赤泥中回收铁、碱、氧化铝，从冶炼渣中回收稀有稀散金属和稀贵金属等有价组分，提高矿产资源利用效率，保障国家资源安全，逐步提高冶炼渣综合利用率。</w:t>
                  </w:r>
                </w:p>
              </w:tc>
              <w:tc>
                <w:tcPr>
                  <w:tcW w:w="840" w:type="pct"/>
                  <w:vMerge w:val="continue"/>
                  <w:noWrap w:val="0"/>
                  <w:vAlign w:val="center"/>
                </w:tcPr>
                <w:p w14:paraId="02DAD7F3">
                  <w:pPr>
                    <w:pStyle w:val="115"/>
                    <w:keepNext w:val="0"/>
                    <w:keepLines w:val="0"/>
                    <w:pageBreakBefore w:val="0"/>
                    <w:widowControl w:val="0"/>
                    <w:kinsoku/>
                    <w:wordWrap/>
                    <w:overflowPunct/>
                    <w:topLinePunct w:val="0"/>
                    <w:autoSpaceDE/>
                    <w:autoSpaceDN/>
                    <w:bidi w:val="0"/>
                    <w:adjustRightInd w:val="0"/>
                    <w:snapToGrid w:val="0"/>
                    <w:spacing w:line="240" w:lineRule="auto"/>
                    <w:ind w:firstLine="420" w:firstLineChars="0"/>
                    <w:jc w:val="left"/>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p>
              </w:tc>
            </w:tr>
          </w:tbl>
          <w:p w14:paraId="733C506E">
            <w:pPr>
              <w:pStyle w:val="48"/>
              <w:keepNext w:val="0"/>
              <w:keepLines w:val="0"/>
              <w:pageBreakBefore w:val="0"/>
              <w:widowControl w:val="0"/>
              <w:kinsoku/>
              <w:wordWrap/>
              <w:overflowPunct/>
              <w:topLinePunct w:val="0"/>
              <w:autoSpaceDE/>
              <w:autoSpaceDN/>
              <w:bidi w:val="0"/>
              <w:adjustRightInd w:val="0"/>
              <w:snapToGrid w:val="0"/>
              <w:spacing w:before="157" w:beforeLines="50"/>
              <w:textAlignment w:val="auto"/>
              <w:rPr>
                <w:rFonts w:hint="default" w:ascii="Times New Roman" w:hAnsi="Times New Roman" w:eastAsia="宋体" w:cs="Times New Roman"/>
                <w:b/>
                <w:bCs/>
                <w:color w:val="000000" w:themeColor="text1"/>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经分析可知，项目建设与</w:t>
            </w:r>
            <w:r>
              <w:rPr>
                <w:rFonts w:hint="default" w:ascii="Times New Roman" w:hAnsi="Times New Roman" w:eastAsia="宋体" w:cs="Times New Roman"/>
                <w:color w:val="000000" w:themeColor="text1"/>
                <w:highlight w:val="none"/>
                <w:lang w:eastAsia="zh-CN"/>
                <w14:textFill>
                  <w14:solidFill>
                    <w14:schemeClr w14:val="tx1"/>
                  </w14:solidFill>
                </w14:textFill>
              </w:rPr>
              <w:t>《关于“十四五”大宗固体废弃物综合利用的指导意见》（发改环资〔2021〕</w:t>
            </w:r>
            <w:r>
              <w:rPr>
                <w:rFonts w:hint="default" w:ascii="Times New Roman" w:hAnsi="Times New Roman" w:eastAsia="宋体" w:cs="Times New Roman"/>
                <w:color w:val="000000" w:themeColor="text1"/>
                <w:highlight w:val="none"/>
                <w:lang w:val="en-US" w:eastAsia="zh-CN"/>
                <w14:textFill>
                  <w14:solidFill>
                    <w14:schemeClr w14:val="tx1"/>
                  </w14:solidFill>
                </w14:textFill>
              </w:rPr>
              <w:t>381</w:t>
            </w:r>
            <w:r>
              <w:rPr>
                <w:rFonts w:hint="default" w:ascii="Times New Roman" w:hAnsi="Times New Roman" w:eastAsia="宋体" w:cs="Times New Roman"/>
                <w:color w:val="000000" w:themeColor="text1"/>
                <w:highlight w:val="none"/>
                <w:lang w:eastAsia="zh-CN"/>
                <w14:textFill>
                  <w14:solidFill>
                    <w14:schemeClr w14:val="tx1"/>
                  </w14:solidFill>
                </w14:textFill>
              </w:rPr>
              <w:t>号）的相关内容</w:t>
            </w:r>
            <w:r>
              <w:rPr>
                <w:rFonts w:hint="default" w:ascii="Times New Roman" w:hAnsi="Times New Roman" w:eastAsia="宋体" w:cs="Times New Roman"/>
                <w:color w:val="000000" w:themeColor="text1"/>
                <w:highlight w:val="none"/>
                <w14:textFill>
                  <w14:solidFill>
                    <w14:schemeClr w14:val="tx1"/>
                  </w14:solidFill>
                </w14:textFill>
              </w:rPr>
              <w:t>相符合。</w:t>
            </w:r>
          </w:p>
          <w:p w14:paraId="09D433C0">
            <w:pPr>
              <w:pStyle w:val="103"/>
              <w:spacing w:line="360" w:lineRule="auto"/>
              <w:ind w:firstLine="482" w:firstLineChars="200"/>
              <w:jc w:val="left"/>
              <w:rPr>
                <w:rFonts w:hint="default" w:ascii="Times New Roman" w:hAnsi="Times New Roman" w:eastAsia="宋体" w:cs="Times New Roman"/>
                <w:b/>
                <w:bCs/>
                <w:color w:val="000000" w:themeColor="text1"/>
                <w:sz w:val="24"/>
                <w:highlight w:val="none"/>
                <w14:textFill>
                  <w14:solidFill>
                    <w14:schemeClr w14:val="tx1"/>
                  </w14:solidFill>
                </w14:textFill>
              </w:rPr>
            </w:pPr>
            <w:r>
              <w:rPr>
                <w:rFonts w:hint="eastAsia" w:ascii="Times New Roman" w:hAnsi="Times New Roman" w:eastAsia="宋体" w:cs="Times New Roman"/>
                <w:b/>
                <w:bCs/>
                <w:color w:val="000000" w:themeColor="text1"/>
                <w:szCs w:val="24"/>
                <w:highlight w:val="none"/>
                <w:lang w:val="en-US" w:eastAsia="zh-CN"/>
                <w14:textFill>
                  <w14:solidFill>
                    <w14:schemeClr w14:val="tx1"/>
                  </w14:solidFill>
                </w14:textFill>
              </w:rPr>
              <w:t>4.</w:t>
            </w:r>
            <w:r>
              <w:rPr>
                <w:rFonts w:hint="default" w:ascii="Times New Roman" w:hAnsi="Times New Roman" w:eastAsia="宋体" w:cs="Times New Roman"/>
                <w:b/>
                <w:bCs/>
                <w:color w:val="000000" w:themeColor="text1"/>
                <w:sz w:val="24"/>
                <w:highlight w:val="none"/>
                <w14:textFill>
                  <w14:solidFill>
                    <w14:schemeClr w14:val="tx1"/>
                  </w14:solidFill>
                </w14:textFill>
              </w:rPr>
              <w:t>与《煤矸石综合利用技术政策要点》符合性分析</w:t>
            </w:r>
          </w:p>
          <w:p w14:paraId="072DB5E7">
            <w:pPr>
              <w:bidi w:val="0"/>
              <w:spacing w:line="360" w:lineRule="auto"/>
              <w:ind w:firstLine="480" w:firstLineChars="20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本项目与《煤矸石综合利用技术政策要点》符合性分析见下表。</w:t>
            </w:r>
          </w:p>
          <w:p w14:paraId="698E0A28">
            <w:pPr>
              <w:keepNext/>
              <w:keepLines/>
              <w:widowControl w:val="0"/>
              <w:numPr>
                <w:ilvl w:val="0"/>
                <w:numId w:val="0"/>
              </w:numPr>
              <w:bidi w:val="0"/>
              <w:spacing w:line="240" w:lineRule="auto"/>
              <w:ind w:left="0" w:leftChars="0" w:firstLine="402" w:firstLineChars="0"/>
              <w:jc w:val="center"/>
              <w:outlineLvl w:val="4"/>
              <w:rPr>
                <w:rFonts w:hint="default" w:ascii="Times New Roman" w:hAnsi="Times New Roman" w:eastAsia="宋体" w:cs="Times New Roman"/>
                <w:b/>
                <w:color w:val="000000" w:themeColor="text1"/>
                <w:kern w:val="0"/>
                <w:sz w:val="21"/>
                <w:szCs w:val="20"/>
                <w:highlight w:val="none"/>
                <w:lang w:val="en-US" w:eastAsia="zh-CN" w:bidi="ar-SA"/>
                <w14:textFill>
                  <w14:solidFill>
                    <w14:schemeClr w14:val="tx1"/>
                  </w14:solidFill>
                </w14:textFill>
              </w:rPr>
            </w:pPr>
            <w:r>
              <w:rPr>
                <w:rFonts w:hint="default" w:ascii="Times New Roman" w:hAnsi="Times New Roman" w:eastAsia="宋体" w:cs="Times New Roman"/>
                <w:b/>
                <w:color w:val="000000" w:themeColor="text1"/>
                <w:kern w:val="0"/>
                <w:sz w:val="21"/>
                <w:szCs w:val="20"/>
                <w:highlight w:val="none"/>
                <w:lang w:val="en-US" w:eastAsia="zh-CN" w:bidi="ar-SA"/>
                <w14:textFill>
                  <w14:solidFill>
                    <w14:schemeClr w14:val="tx1"/>
                  </w14:solidFill>
                </w14:textFill>
              </w:rPr>
              <w:t>表1-</w:t>
            </w:r>
            <w:r>
              <w:rPr>
                <w:rFonts w:hint="eastAsia" w:cs="Times New Roman"/>
                <w:b/>
                <w:color w:val="000000" w:themeColor="text1"/>
                <w:kern w:val="0"/>
                <w:sz w:val="21"/>
                <w:szCs w:val="20"/>
                <w:highlight w:val="none"/>
                <w:lang w:val="en-US" w:eastAsia="zh-CN" w:bidi="ar-SA"/>
                <w14:textFill>
                  <w14:solidFill>
                    <w14:schemeClr w14:val="tx1"/>
                  </w14:solidFill>
                </w14:textFill>
              </w:rPr>
              <w:t>7</w:t>
            </w:r>
            <w:r>
              <w:rPr>
                <w:rFonts w:hint="default" w:ascii="Times New Roman" w:hAnsi="Times New Roman" w:eastAsia="宋体" w:cs="Times New Roman"/>
                <w:b/>
                <w:color w:val="000000" w:themeColor="text1"/>
                <w:kern w:val="0"/>
                <w:sz w:val="21"/>
                <w:szCs w:val="20"/>
                <w:highlight w:val="none"/>
                <w:lang w:val="en-US" w:eastAsia="zh-CN" w:bidi="ar-SA"/>
                <w14:textFill>
                  <w14:solidFill>
                    <w14:schemeClr w14:val="tx1"/>
                  </w14:solidFill>
                </w14:textFill>
              </w:rPr>
              <w:t>与《煤矸石综合利用技术政策要点》符合性分析</w:t>
            </w:r>
          </w:p>
          <w:tbl>
            <w:tblPr>
              <w:tblStyle w:val="24"/>
              <w:tblW w:w="4997"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29"/>
              <w:gridCol w:w="1900"/>
              <w:gridCol w:w="967"/>
            </w:tblGrid>
            <w:tr w14:paraId="6C90F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160" w:type="pct"/>
                  <w:tcBorders>
                    <w:tl2br w:val="nil"/>
                    <w:tr2bl w:val="nil"/>
                  </w:tcBorders>
                  <w:noWrap w:val="0"/>
                  <w:vAlign w:val="center"/>
                </w:tcPr>
                <w:p w14:paraId="6942CADC">
                  <w:pPr>
                    <w:widowControl w:val="0"/>
                    <w:bidi w:val="0"/>
                    <w:spacing w:line="240" w:lineRule="auto"/>
                    <w:ind w:firstLine="0" w:firstLineChars="0"/>
                    <w:jc w:val="center"/>
                    <w:rPr>
                      <w:rFonts w:hint="default" w:ascii="Times New Roman" w:hAnsi="Times New Roman" w:eastAsia="宋体" w:cs="Times New Roman"/>
                      <w:b w:val="0"/>
                      <w:bCs w:val="0"/>
                      <w:color w:val="000000" w:themeColor="text1"/>
                      <w:kern w:val="2"/>
                      <w:sz w:val="21"/>
                      <w:szCs w:val="24"/>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4"/>
                      <w:highlight w:val="none"/>
                      <w:lang w:val="en-US" w:eastAsia="zh-CN" w:bidi="ar-SA"/>
                      <w14:textFill>
                        <w14:solidFill>
                          <w14:schemeClr w14:val="tx1"/>
                        </w14:solidFill>
                      </w14:textFill>
                    </w:rPr>
                    <w:t>相关要求</w:t>
                  </w:r>
                </w:p>
              </w:tc>
              <w:tc>
                <w:tcPr>
                  <w:tcW w:w="1218" w:type="pct"/>
                  <w:tcBorders>
                    <w:tl2br w:val="nil"/>
                    <w:tr2bl w:val="nil"/>
                  </w:tcBorders>
                  <w:noWrap w:val="0"/>
                  <w:vAlign w:val="center"/>
                </w:tcPr>
                <w:p w14:paraId="067771B6">
                  <w:pPr>
                    <w:widowControl w:val="0"/>
                    <w:bidi w:val="0"/>
                    <w:spacing w:line="240" w:lineRule="auto"/>
                    <w:ind w:firstLine="0" w:firstLineChars="0"/>
                    <w:jc w:val="center"/>
                    <w:rPr>
                      <w:rFonts w:hint="default" w:ascii="Times New Roman" w:hAnsi="Times New Roman" w:eastAsia="宋体" w:cs="Times New Roman"/>
                      <w:b w:val="0"/>
                      <w:bCs w:val="0"/>
                      <w:color w:val="000000" w:themeColor="text1"/>
                      <w:kern w:val="2"/>
                      <w:sz w:val="21"/>
                      <w:szCs w:val="24"/>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4"/>
                      <w:highlight w:val="none"/>
                      <w:lang w:val="en-US" w:eastAsia="zh-CN" w:bidi="ar-SA"/>
                      <w14:textFill>
                        <w14:solidFill>
                          <w14:schemeClr w14:val="tx1"/>
                        </w14:solidFill>
                      </w14:textFill>
                    </w:rPr>
                    <w:t>符合性分析</w:t>
                  </w:r>
                </w:p>
              </w:tc>
              <w:tc>
                <w:tcPr>
                  <w:tcW w:w="620" w:type="pct"/>
                  <w:tcBorders>
                    <w:tl2br w:val="nil"/>
                    <w:tr2bl w:val="nil"/>
                  </w:tcBorders>
                  <w:noWrap w:val="0"/>
                  <w:vAlign w:val="center"/>
                </w:tcPr>
                <w:p w14:paraId="62181961">
                  <w:pPr>
                    <w:widowControl w:val="0"/>
                    <w:bidi w:val="0"/>
                    <w:spacing w:line="240" w:lineRule="auto"/>
                    <w:ind w:firstLine="0" w:firstLineChars="0"/>
                    <w:jc w:val="center"/>
                    <w:rPr>
                      <w:rFonts w:hint="default" w:ascii="Times New Roman" w:hAnsi="Times New Roman" w:eastAsia="宋体" w:cs="Times New Roman"/>
                      <w:b w:val="0"/>
                      <w:bCs w:val="0"/>
                      <w:color w:val="000000" w:themeColor="text1"/>
                      <w:kern w:val="2"/>
                      <w:sz w:val="21"/>
                      <w:szCs w:val="24"/>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4"/>
                      <w:highlight w:val="none"/>
                      <w:lang w:val="en-US" w:eastAsia="zh-CN" w:bidi="ar-SA"/>
                      <w14:textFill>
                        <w14:solidFill>
                          <w14:schemeClr w14:val="tx1"/>
                        </w14:solidFill>
                      </w14:textFill>
                    </w:rPr>
                    <w:t>相符性</w:t>
                  </w:r>
                </w:p>
              </w:tc>
            </w:tr>
            <w:tr w14:paraId="506F2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0" w:type="pct"/>
                  <w:tcBorders>
                    <w:tl2br w:val="nil"/>
                    <w:tr2bl w:val="nil"/>
                  </w:tcBorders>
                  <w:noWrap w:val="0"/>
                  <w:vAlign w:val="center"/>
                </w:tcPr>
                <w:p w14:paraId="23796713">
                  <w:pPr>
                    <w:widowControl w:val="0"/>
                    <w:bidi w:val="0"/>
                    <w:spacing w:line="240" w:lineRule="auto"/>
                    <w:ind w:firstLine="0" w:firstLineChars="0"/>
                    <w:jc w:val="center"/>
                    <w:rPr>
                      <w:rFonts w:hint="default" w:ascii="Times New Roman" w:hAnsi="Times New Roman" w:eastAsia="宋体" w:cs="Times New Roman"/>
                      <w:b w:val="0"/>
                      <w:bCs w:val="0"/>
                      <w:color w:val="000000" w:themeColor="text1"/>
                      <w:kern w:val="2"/>
                      <w:sz w:val="21"/>
                      <w:szCs w:val="24"/>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4"/>
                      <w:highlight w:val="none"/>
                      <w:lang w:val="en-US" w:eastAsia="zh-CN" w:bidi="ar-SA"/>
                      <w14:textFill>
                        <w14:solidFill>
                          <w14:schemeClr w14:val="tx1"/>
                        </w14:solidFill>
                      </w14:textFill>
                    </w:rPr>
                    <w:t>煤矸石长期堆存，占用大量土地，同时造成自燃，污染大气和地下水质。煤矸石又是可利用的资源，其综合利用是资源综合利用的重要组成部分。大力开展煤矸石综合利用可以增加企业的经济效益，改善煤矿生产结构，分流煤矿富余人员，同时又可以减少土地压占，改善环境质量。因此，煤矸石综合利用是一项长期的技术政策。煤矸石综合利用要坚持“因地制宜，积极利用”的指导思想，实行“谁排放、谁治理”“谁利用、谁受益”的原则，将资源化利用与企业发展相结合，把资源化利用与污染治理相结合，实现经济效益、环境效益、社会效益的统一。</w:t>
                  </w:r>
                </w:p>
              </w:tc>
              <w:tc>
                <w:tcPr>
                  <w:tcW w:w="1218" w:type="pct"/>
                  <w:tcBorders>
                    <w:tl2br w:val="nil"/>
                    <w:tr2bl w:val="nil"/>
                  </w:tcBorders>
                  <w:noWrap w:val="0"/>
                  <w:vAlign w:val="center"/>
                </w:tcPr>
                <w:p w14:paraId="3BE1613C">
                  <w:pPr>
                    <w:widowControl w:val="0"/>
                    <w:bidi w:val="0"/>
                    <w:spacing w:line="240" w:lineRule="auto"/>
                    <w:ind w:firstLine="0" w:firstLineChars="0"/>
                    <w:jc w:val="center"/>
                    <w:rPr>
                      <w:rFonts w:hint="default" w:ascii="Times New Roman" w:hAnsi="Times New Roman" w:eastAsia="宋体" w:cs="Times New Roman"/>
                      <w:b w:val="0"/>
                      <w:bCs w:val="0"/>
                      <w:color w:val="000000" w:themeColor="text1"/>
                      <w:kern w:val="2"/>
                      <w:sz w:val="21"/>
                      <w:szCs w:val="24"/>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4"/>
                      <w:highlight w:val="none"/>
                      <w:lang w:val="en-US" w:eastAsia="zh-CN" w:bidi="ar-SA"/>
                      <w14:textFill>
                        <w14:solidFill>
                          <w14:schemeClr w14:val="tx1"/>
                        </w14:solidFill>
                      </w14:textFill>
                    </w:rPr>
                    <w:t>本项目原料来自内蒙古伊东高新材料</w:t>
                  </w:r>
                  <w:r>
                    <w:rPr>
                      <w:rFonts w:hint="eastAsia" w:cs="Times New Roman"/>
                      <w:b w:val="0"/>
                      <w:bCs w:val="0"/>
                      <w:color w:val="000000" w:themeColor="text1"/>
                      <w:kern w:val="2"/>
                      <w:sz w:val="21"/>
                      <w:szCs w:val="24"/>
                      <w:highlight w:val="none"/>
                      <w:lang w:val="en-US" w:eastAsia="zh-CN" w:bidi="ar-SA"/>
                      <w14:textFill>
                        <w14:solidFill>
                          <w14:schemeClr w14:val="tx1"/>
                        </w14:solidFill>
                      </w14:textFill>
                    </w:rPr>
                    <w:t>有限公司</w:t>
                  </w:r>
                  <w:r>
                    <w:rPr>
                      <w:rFonts w:hint="default" w:ascii="Times New Roman" w:hAnsi="Times New Roman" w:eastAsia="宋体" w:cs="Times New Roman"/>
                      <w:b w:val="0"/>
                      <w:bCs w:val="0"/>
                      <w:color w:val="000000" w:themeColor="text1"/>
                      <w:kern w:val="2"/>
                      <w:sz w:val="21"/>
                      <w:szCs w:val="24"/>
                      <w:highlight w:val="none"/>
                      <w:lang w:val="en-US" w:eastAsia="zh-CN" w:bidi="ar-SA"/>
                      <w14:textFill>
                        <w14:solidFill>
                          <w14:schemeClr w14:val="tx1"/>
                        </w14:solidFill>
                      </w14:textFill>
                    </w:rPr>
                    <w:t>，采用</w:t>
                  </w:r>
                  <w:r>
                    <w:rPr>
                      <w:rFonts w:hint="eastAsia" w:cs="Times New Roman"/>
                      <w:b w:val="0"/>
                      <w:bCs w:val="0"/>
                      <w:color w:val="000000" w:themeColor="text1"/>
                      <w:kern w:val="2"/>
                      <w:sz w:val="21"/>
                      <w:szCs w:val="24"/>
                      <w:highlight w:val="none"/>
                      <w:lang w:val="en-US" w:eastAsia="zh-CN" w:bidi="ar-SA"/>
                      <w14:textFill>
                        <w14:solidFill>
                          <w14:schemeClr w14:val="tx1"/>
                        </w14:solidFill>
                      </w14:textFill>
                    </w:rPr>
                    <w:t>“</w:t>
                  </w:r>
                  <w:r>
                    <w:rPr>
                      <w:rFonts w:hint="default" w:ascii="Times New Roman" w:hAnsi="Times New Roman" w:eastAsia="宋体" w:cs="Times New Roman"/>
                      <w:b w:val="0"/>
                      <w:bCs w:val="0"/>
                      <w:color w:val="000000" w:themeColor="text1"/>
                      <w:kern w:val="2"/>
                      <w:sz w:val="21"/>
                      <w:szCs w:val="24"/>
                      <w:highlight w:val="none"/>
                      <w:lang w:val="en-US" w:eastAsia="zh-CN" w:bidi="ar-SA"/>
                      <w14:textFill>
                        <w14:solidFill>
                          <w14:schemeClr w14:val="tx1"/>
                        </w14:solidFill>
                      </w14:textFill>
                    </w:rPr>
                    <w:t>四级预热器+悬浮炉＋回转窑焙烧＋高温粉体对流式急冷换热装置</w:t>
                  </w:r>
                  <w:r>
                    <w:rPr>
                      <w:rFonts w:hint="eastAsia" w:cs="Times New Roman"/>
                      <w:b w:val="0"/>
                      <w:bCs w:val="0"/>
                      <w:color w:val="000000" w:themeColor="text1"/>
                      <w:kern w:val="2"/>
                      <w:sz w:val="21"/>
                      <w:szCs w:val="24"/>
                      <w:highlight w:val="none"/>
                      <w:lang w:val="en-US" w:eastAsia="zh-CN" w:bidi="ar-SA"/>
                      <w14:textFill>
                        <w14:solidFill>
                          <w14:schemeClr w14:val="tx1"/>
                        </w14:solidFill>
                      </w14:textFill>
                    </w:rPr>
                    <w:t>”</w:t>
                  </w:r>
                  <w:r>
                    <w:rPr>
                      <w:rFonts w:hint="default" w:ascii="Times New Roman" w:hAnsi="Times New Roman" w:eastAsia="宋体" w:cs="Times New Roman"/>
                      <w:b w:val="0"/>
                      <w:bCs w:val="0"/>
                      <w:color w:val="000000" w:themeColor="text1"/>
                      <w:kern w:val="2"/>
                      <w:sz w:val="21"/>
                      <w:szCs w:val="24"/>
                      <w:highlight w:val="none"/>
                      <w:lang w:val="en-US" w:eastAsia="zh-CN" w:bidi="ar-SA"/>
                      <w14:textFill>
                        <w14:solidFill>
                          <w14:schemeClr w14:val="tx1"/>
                        </w14:solidFill>
                      </w14:textFill>
                    </w:rPr>
                    <w:t>制备高活性</w:t>
                  </w:r>
                  <w:r>
                    <w:rPr>
                      <w:rFonts w:hint="eastAsia" w:cs="Times New Roman"/>
                      <w:b w:val="0"/>
                      <w:bCs w:val="0"/>
                      <w:color w:val="000000" w:themeColor="text1"/>
                      <w:kern w:val="2"/>
                      <w:sz w:val="21"/>
                      <w:szCs w:val="24"/>
                      <w:highlight w:val="none"/>
                      <w:lang w:val="en-US" w:eastAsia="zh-CN" w:bidi="ar-SA"/>
                      <w14:textFill>
                        <w14:solidFill>
                          <w14:schemeClr w14:val="tx1"/>
                        </w14:solidFill>
                      </w14:textFill>
                    </w:rPr>
                    <w:t>高岭土。</w:t>
                  </w:r>
                </w:p>
              </w:tc>
              <w:tc>
                <w:tcPr>
                  <w:tcW w:w="620" w:type="pct"/>
                  <w:tcBorders>
                    <w:tl2br w:val="nil"/>
                    <w:tr2bl w:val="nil"/>
                  </w:tcBorders>
                  <w:noWrap w:val="0"/>
                  <w:vAlign w:val="center"/>
                </w:tcPr>
                <w:p w14:paraId="3E00D299">
                  <w:pPr>
                    <w:widowControl w:val="0"/>
                    <w:bidi w:val="0"/>
                    <w:spacing w:line="240" w:lineRule="auto"/>
                    <w:ind w:firstLine="0" w:firstLineChars="0"/>
                    <w:jc w:val="center"/>
                    <w:rPr>
                      <w:rFonts w:hint="default" w:ascii="Times New Roman" w:hAnsi="Times New Roman" w:eastAsia="宋体" w:cs="Times New Roman"/>
                      <w:b w:val="0"/>
                      <w:bCs w:val="0"/>
                      <w:color w:val="000000" w:themeColor="text1"/>
                      <w:kern w:val="2"/>
                      <w:sz w:val="21"/>
                      <w:szCs w:val="24"/>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4"/>
                      <w:highlight w:val="none"/>
                      <w:lang w:val="en-US" w:eastAsia="zh-CN" w:bidi="ar-SA"/>
                      <w14:textFill>
                        <w14:solidFill>
                          <w14:schemeClr w14:val="tx1"/>
                        </w14:solidFill>
                      </w14:textFill>
                    </w:rPr>
                    <w:t>符合</w:t>
                  </w:r>
                </w:p>
              </w:tc>
            </w:tr>
          </w:tbl>
          <w:p w14:paraId="211E8C7D">
            <w:pPr>
              <w:bidi w:val="0"/>
              <w:spacing w:line="360" w:lineRule="auto"/>
              <w:ind w:firstLine="482" w:firstLineChars="200"/>
              <w:rPr>
                <w:rFonts w:hint="default" w:ascii="Times New Roman" w:hAnsi="Times New Roman" w:eastAsia="宋体" w:cs="Times New Roman"/>
                <w:b/>
                <w:bCs/>
                <w:color w:val="000000" w:themeColor="text1"/>
                <w:sz w:val="24"/>
                <w:highlight w:val="none"/>
                <w14:textFill>
                  <w14:solidFill>
                    <w14:schemeClr w14:val="tx1"/>
                  </w14:solidFill>
                </w14:textFill>
              </w:rPr>
            </w:pPr>
            <w:r>
              <w:rPr>
                <w:rFonts w:hint="eastAsia" w:ascii="Times New Roman" w:hAnsi="Times New Roman" w:eastAsia="宋体" w:cs="Times New Roman"/>
                <w:b/>
                <w:bCs/>
                <w:color w:val="000000" w:themeColor="text1"/>
                <w:sz w:val="24"/>
                <w:highlight w:val="none"/>
                <w:lang w:val="en-US" w:eastAsia="zh-CN"/>
                <w14:textFill>
                  <w14:solidFill>
                    <w14:schemeClr w14:val="tx1"/>
                  </w14:solidFill>
                </w14:textFill>
              </w:rPr>
              <w:t>5.</w:t>
            </w:r>
            <w:r>
              <w:rPr>
                <w:rFonts w:hint="default" w:ascii="Times New Roman" w:hAnsi="Times New Roman" w:eastAsia="宋体" w:cs="Times New Roman"/>
                <w:b/>
                <w:bCs/>
                <w:color w:val="000000" w:themeColor="text1"/>
                <w:sz w:val="24"/>
                <w:highlight w:val="none"/>
                <w14:textFill>
                  <w14:solidFill>
                    <w14:schemeClr w14:val="tx1"/>
                  </w14:solidFill>
                </w14:textFill>
              </w:rPr>
              <w:t>与《煤矸石综合利用管理办法》</w:t>
            </w:r>
            <w:r>
              <w:rPr>
                <w:rFonts w:hint="default" w:ascii="Times New Roman" w:hAnsi="Times New Roman" w:eastAsia="宋体" w:cs="Times New Roman"/>
                <w:b/>
                <w:bCs/>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b/>
                <w:bCs/>
                <w:color w:val="000000" w:themeColor="text1"/>
                <w:sz w:val="24"/>
                <w:highlight w:val="none"/>
                <w14:textFill>
                  <w14:solidFill>
                    <w14:schemeClr w14:val="tx1"/>
                  </w14:solidFill>
                </w14:textFill>
              </w:rPr>
              <w:t>2014年修订版</w:t>
            </w:r>
            <w:r>
              <w:rPr>
                <w:rFonts w:hint="default" w:ascii="Times New Roman" w:hAnsi="Times New Roman" w:eastAsia="宋体" w:cs="Times New Roman"/>
                <w:b/>
                <w:bCs/>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b/>
                <w:bCs/>
                <w:color w:val="000000" w:themeColor="text1"/>
                <w:sz w:val="24"/>
                <w:highlight w:val="none"/>
                <w14:textFill>
                  <w14:solidFill>
                    <w14:schemeClr w14:val="tx1"/>
                  </w14:solidFill>
                </w14:textFill>
              </w:rPr>
              <w:t>符合性分析</w:t>
            </w:r>
          </w:p>
          <w:p w14:paraId="6322CAA1">
            <w:pPr>
              <w:bidi w:val="0"/>
              <w:spacing w:line="360" w:lineRule="auto"/>
              <w:ind w:firstLine="480" w:firstLineChars="20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本项目与《煤矸石综合利用管理办法》</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2014年修订版</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符合性分析见下表。</w:t>
            </w:r>
          </w:p>
          <w:p w14:paraId="4F7D3097">
            <w:pPr>
              <w:keepNext/>
              <w:keepLines/>
              <w:widowControl w:val="0"/>
              <w:numPr>
                <w:ilvl w:val="0"/>
                <w:numId w:val="0"/>
              </w:numPr>
              <w:bidi w:val="0"/>
              <w:spacing w:line="240" w:lineRule="auto"/>
              <w:ind w:left="0" w:leftChars="0" w:firstLine="402" w:firstLineChars="0"/>
              <w:jc w:val="center"/>
              <w:outlineLvl w:val="4"/>
              <w:rPr>
                <w:rFonts w:hint="default" w:ascii="Times New Roman" w:hAnsi="Times New Roman" w:eastAsia="宋体" w:cs="Times New Roman"/>
                <w:b/>
                <w:color w:val="000000" w:themeColor="text1"/>
                <w:kern w:val="0"/>
                <w:sz w:val="21"/>
                <w:szCs w:val="20"/>
                <w:highlight w:val="none"/>
                <w:lang w:val="en-US" w:eastAsia="zh-CN" w:bidi="ar-SA"/>
                <w14:textFill>
                  <w14:solidFill>
                    <w14:schemeClr w14:val="tx1"/>
                  </w14:solidFill>
                </w14:textFill>
              </w:rPr>
            </w:pPr>
            <w:r>
              <w:rPr>
                <w:rFonts w:hint="default" w:ascii="Times New Roman" w:hAnsi="Times New Roman" w:eastAsia="宋体" w:cs="Times New Roman"/>
                <w:b/>
                <w:color w:val="000000" w:themeColor="text1"/>
                <w:kern w:val="0"/>
                <w:sz w:val="21"/>
                <w:szCs w:val="20"/>
                <w:highlight w:val="none"/>
                <w:lang w:val="en-US" w:eastAsia="zh-CN" w:bidi="ar-SA"/>
                <w14:textFill>
                  <w14:solidFill>
                    <w14:schemeClr w14:val="tx1"/>
                  </w14:solidFill>
                </w14:textFill>
              </w:rPr>
              <w:t>表1-</w:t>
            </w:r>
            <w:r>
              <w:rPr>
                <w:rFonts w:hint="eastAsia" w:cs="Times New Roman"/>
                <w:b/>
                <w:color w:val="000000" w:themeColor="text1"/>
                <w:kern w:val="0"/>
                <w:sz w:val="21"/>
                <w:szCs w:val="20"/>
                <w:highlight w:val="none"/>
                <w:lang w:val="en-US" w:eastAsia="zh-CN" w:bidi="ar-SA"/>
                <w14:textFill>
                  <w14:solidFill>
                    <w14:schemeClr w14:val="tx1"/>
                  </w14:solidFill>
                </w14:textFill>
              </w:rPr>
              <w:t>8</w:t>
            </w:r>
            <w:r>
              <w:rPr>
                <w:rFonts w:hint="default" w:ascii="Times New Roman" w:hAnsi="Times New Roman" w:eastAsia="宋体" w:cs="Times New Roman"/>
                <w:b/>
                <w:color w:val="000000" w:themeColor="text1"/>
                <w:kern w:val="0"/>
                <w:sz w:val="21"/>
                <w:szCs w:val="20"/>
                <w:highlight w:val="none"/>
                <w:lang w:val="en-US" w:eastAsia="zh-CN" w:bidi="ar-SA"/>
                <w14:textFill>
                  <w14:solidFill>
                    <w14:schemeClr w14:val="tx1"/>
                  </w14:solidFill>
                </w14:textFill>
              </w:rPr>
              <w:t>与《煤矸石综合利用管理办法》（2014年修订版）符合性分析</w:t>
            </w:r>
          </w:p>
          <w:tbl>
            <w:tblPr>
              <w:tblStyle w:val="24"/>
              <w:tblW w:w="4997"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69"/>
              <w:gridCol w:w="1660"/>
              <w:gridCol w:w="967"/>
            </w:tblGrid>
            <w:tr w14:paraId="6A51A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14" w:type="pct"/>
                  <w:tcBorders>
                    <w:tl2br w:val="nil"/>
                    <w:tr2bl w:val="nil"/>
                  </w:tcBorders>
                  <w:noWrap w:val="0"/>
                  <w:vAlign w:val="center"/>
                </w:tcPr>
                <w:p w14:paraId="4C48E26F">
                  <w:pPr>
                    <w:widowControl w:val="0"/>
                    <w:bidi w:val="0"/>
                    <w:spacing w:line="240" w:lineRule="auto"/>
                    <w:ind w:firstLine="0" w:firstLineChars="0"/>
                    <w:jc w:val="center"/>
                    <w:rPr>
                      <w:rFonts w:hint="default" w:ascii="Times New Roman" w:hAnsi="Times New Roman" w:eastAsia="宋体" w:cs="Times New Roman"/>
                      <w:b w:val="0"/>
                      <w:bCs w:val="0"/>
                      <w:color w:val="000000" w:themeColor="text1"/>
                      <w:kern w:val="2"/>
                      <w:sz w:val="21"/>
                      <w:szCs w:val="24"/>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4"/>
                      <w:highlight w:val="none"/>
                      <w:lang w:val="en-US" w:eastAsia="zh-CN" w:bidi="ar-SA"/>
                      <w14:textFill>
                        <w14:solidFill>
                          <w14:schemeClr w14:val="tx1"/>
                        </w14:solidFill>
                      </w14:textFill>
                    </w:rPr>
                    <w:t>相关要求</w:t>
                  </w:r>
                </w:p>
              </w:tc>
              <w:tc>
                <w:tcPr>
                  <w:tcW w:w="1064" w:type="pct"/>
                  <w:tcBorders>
                    <w:tl2br w:val="nil"/>
                    <w:tr2bl w:val="nil"/>
                  </w:tcBorders>
                  <w:noWrap w:val="0"/>
                  <w:vAlign w:val="center"/>
                </w:tcPr>
                <w:p w14:paraId="29862354">
                  <w:pPr>
                    <w:widowControl w:val="0"/>
                    <w:bidi w:val="0"/>
                    <w:spacing w:line="240" w:lineRule="auto"/>
                    <w:ind w:firstLine="0" w:firstLineChars="0"/>
                    <w:jc w:val="center"/>
                    <w:rPr>
                      <w:rFonts w:hint="default" w:ascii="Times New Roman" w:hAnsi="Times New Roman" w:eastAsia="宋体" w:cs="Times New Roman"/>
                      <w:b w:val="0"/>
                      <w:bCs w:val="0"/>
                      <w:color w:val="000000" w:themeColor="text1"/>
                      <w:kern w:val="2"/>
                      <w:sz w:val="21"/>
                      <w:szCs w:val="24"/>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4"/>
                      <w:highlight w:val="none"/>
                      <w:lang w:val="en-US" w:eastAsia="zh-CN" w:bidi="ar-SA"/>
                      <w14:textFill>
                        <w14:solidFill>
                          <w14:schemeClr w14:val="tx1"/>
                        </w14:solidFill>
                      </w14:textFill>
                    </w:rPr>
                    <w:t>符合性分析</w:t>
                  </w:r>
                </w:p>
              </w:tc>
              <w:tc>
                <w:tcPr>
                  <w:tcW w:w="620" w:type="pct"/>
                  <w:tcBorders>
                    <w:tl2br w:val="nil"/>
                    <w:tr2bl w:val="nil"/>
                  </w:tcBorders>
                  <w:noWrap w:val="0"/>
                  <w:vAlign w:val="center"/>
                </w:tcPr>
                <w:p w14:paraId="27D622C5">
                  <w:pPr>
                    <w:widowControl w:val="0"/>
                    <w:bidi w:val="0"/>
                    <w:spacing w:line="240" w:lineRule="auto"/>
                    <w:ind w:firstLine="0" w:firstLineChars="0"/>
                    <w:jc w:val="center"/>
                    <w:rPr>
                      <w:rFonts w:hint="default" w:ascii="Times New Roman" w:hAnsi="Times New Roman" w:eastAsia="宋体" w:cs="Times New Roman"/>
                      <w:b w:val="0"/>
                      <w:bCs w:val="0"/>
                      <w:color w:val="000000" w:themeColor="text1"/>
                      <w:kern w:val="2"/>
                      <w:sz w:val="21"/>
                      <w:szCs w:val="24"/>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4"/>
                      <w:highlight w:val="none"/>
                      <w:lang w:val="en-US" w:eastAsia="zh-CN" w:bidi="ar-SA"/>
                      <w14:textFill>
                        <w14:solidFill>
                          <w14:schemeClr w14:val="tx1"/>
                        </w14:solidFill>
                      </w14:textFill>
                    </w:rPr>
                    <w:t>相符性</w:t>
                  </w:r>
                </w:p>
              </w:tc>
            </w:tr>
            <w:tr w14:paraId="3EE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14" w:type="pct"/>
                  <w:tcBorders>
                    <w:tl2br w:val="nil"/>
                    <w:tr2bl w:val="nil"/>
                  </w:tcBorders>
                  <w:noWrap w:val="0"/>
                  <w:vAlign w:val="center"/>
                </w:tcPr>
                <w:p w14:paraId="7A35AAC6">
                  <w:pPr>
                    <w:widowControl w:val="0"/>
                    <w:bidi w:val="0"/>
                    <w:spacing w:line="240" w:lineRule="auto"/>
                    <w:ind w:firstLine="0" w:firstLineChars="0"/>
                    <w:jc w:val="center"/>
                    <w:rPr>
                      <w:rFonts w:hint="default" w:ascii="Times New Roman" w:hAnsi="Times New Roman" w:eastAsia="宋体" w:cs="Times New Roman"/>
                      <w:b w:val="0"/>
                      <w:bCs w:val="0"/>
                      <w:color w:val="000000" w:themeColor="text1"/>
                      <w:kern w:val="2"/>
                      <w:sz w:val="21"/>
                      <w:szCs w:val="24"/>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4"/>
                      <w:highlight w:val="none"/>
                      <w:lang w:val="en-US" w:eastAsia="zh-CN" w:bidi="ar-SA"/>
                      <w14:textFill>
                        <w14:solidFill>
                          <w14:schemeClr w14:val="tx1"/>
                        </w14:solidFill>
                      </w14:textFill>
                    </w:rPr>
                    <w:t>《煤矸石综合利用管理办法》（2014年修订版）所称煤矸石综合利用，是指利用煤矸石进行井下充填、发电、生产建筑材料、回收矿产品、制取化工产品、筑路、土地复垦等。</w:t>
                  </w:r>
                </w:p>
              </w:tc>
              <w:tc>
                <w:tcPr>
                  <w:tcW w:w="1064" w:type="pct"/>
                  <w:tcBorders>
                    <w:tl2br w:val="nil"/>
                    <w:tr2bl w:val="nil"/>
                  </w:tcBorders>
                  <w:noWrap w:val="0"/>
                  <w:vAlign w:val="center"/>
                </w:tcPr>
                <w:p w14:paraId="5756481A">
                  <w:pPr>
                    <w:widowControl w:val="0"/>
                    <w:bidi w:val="0"/>
                    <w:spacing w:line="240" w:lineRule="auto"/>
                    <w:ind w:firstLine="0" w:firstLineChars="0"/>
                    <w:jc w:val="both"/>
                    <w:rPr>
                      <w:rFonts w:hint="default" w:ascii="Times New Roman" w:hAnsi="Times New Roman" w:eastAsia="宋体" w:cs="Times New Roman"/>
                      <w:b w:val="0"/>
                      <w:bCs w:val="0"/>
                      <w:color w:val="000000" w:themeColor="text1"/>
                      <w:kern w:val="2"/>
                      <w:sz w:val="21"/>
                      <w:szCs w:val="24"/>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4"/>
                      <w:highlight w:val="none"/>
                      <w:lang w:val="en-US" w:eastAsia="zh-CN" w:bidi="ar-SA"/>
                      <w14:textFill>
                        <w14:solidFill>
                          <w14:schemeClr w14:val="tx1"/>
                        </w14:solidFill>
                      </w14:textFill>
                    </w:rPr>
                    <w:t>项目属于从煤矸石中回收高附加值高岭土。</w:t>
                  </w:r>
                </w:p>
              </w:tc>
              <w:tc>
                <w:tcPr>
                  <w:tcW w:w="620" w:type="pct"/>
                  <w:tcBorders>
                    <w:tl2br w:val="nil"/>
                    <w:tr2bl w:val="nil"/>
                  </w:tcBorders>
                  <w:noWrap w:val="0"/>
                  <w:vAlign w:val="center"/>
                </w:tcPr>
                <w:p w14:paraId="7F5B102A">
                  <w:pPr>
                    <w:widowControl w:val="0"/>
                    <w:bidi w:val="0"/>
                    <w:spacing w:line="240" w:lineRule="auto"/>
                    <w:ind w:firstLine="0" w:firstLineChars="0"/>
                    <w:jc w:val="center"/>
                    <w:rPr>
                      <w:rFonts w:hint="default" w:ascii="Times New Roman" w:hAnsi="Times New Roman" w:eastAsia="宋体" w:cs="Times New Roman"/>
                      <w:b w:val="0"/>
                      <w:bCs w:val="0"/>
                      <w:color w:val="000000" w:themeColor="text1"/>
                      <w:kern w:val="2"/>
                      <w:sz w:val="21"/>
                      <w:szCs w:val="24"/>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4"/>
                      <w:highlight w:val="none"/>
                      <w:lang w:val="en-US" w:eastAsia="zh-CN" w:bidi="ar-SA"/>
                      <w14:textFill>
                        <w14:solidFill>
                          <w14:schemeClr w14:val="tx1"/>
                        </w14:solidFill>
                      </w14:textFill>
                    </w:rPr>
                    <w:t>符合</w:t>
                  </w:r>
                </w:p>
              </w:tc>
            </w:tr>
            <w:tr w14:paraId="6FE5B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trPr>
              <w:tc>
                <w:tcPr>
                  <w:tcW w:w="3314" w:type="pct"/>
                  <w:tcBorders>
                    <w:tl2br w:val="nil"/>
                    <w:tr2bl w:val="nil"/>
                  </w:tcBorders>
                  <w:noWrap w:val="0"/>
                  <w:vAlign w:val="center"/>
                </w:tcPr>
                <w:p w14:paraId="5E342808">
                  <w:pPr>
                    <w:widowControl w:val="0"/>
                    <w:bidi w:val="0"/>
                    <w:spacing w:line="240" w:lineRule="auto"/>
                    <w:ind w:firstLine="0" w:firstLineChars="0"/>
                    <w:jc w:val="center"/>
                    <w:rPr>
                      <w:rFonts w:hint="default" w:ascii="Times New Roman" w:hAnsi="Times New Roman" w:eastAsia="宋体" w:cs="Times New Roman"/>
                      <w:b w:val="0"/>
                      <w:bCs w:val="0"/>
                      <w:color w:val="000000" w:themeColor="text1"/>
                      <w:kern w:val="2"/>
                      <w:sz w:val="21"/>
                      <w:szCs w:val="24"/>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4"/>
                      <w:highlight w:val="none"/>
                      <w:lang w:val="en-US" w:eastAsia="zh-CN" w:bidi="ar-SA"/>
                      <w14:textFill>
                        <w14:solidFill>
                          <w14:schemeClr w14:val="tx1"/>
                        </w14:solidFill>
                      </w14:textFill>
                    </w:rPr>
                    <w:t>《煤矸石综合利用管理办法》（2014年修订版）第十七条国家鼓励煤矸石大宗利用和高附加值利用：（一）煤矸石井下充填；（二）煤矸石循环流化床发电和热电联产；（三）煤矸石生产建筑材料；（四）从煤矸石中回收矿产品；（五）煤矸石土地复垦及矸石山生态环境恢复；（六）其他大宗、高附加值利用方式。</w:t>
                  </w:r>
                </w:p>
              </w:tc>
              <w:tc>
                <w:tcPr>
                  <w:tcW w:w="1064" w:type="pct"/>
                  <w:tcBorders>
                    <w:tl2br w:val="nil"/>
                    <w:tr2bl w:val="nil"/>
                  </w:tcBorders>
                  <w:noWrap w:val="0"/>
                  <w:vAlign w:val="center"/>
                </w:tcPr>
                <w:p w14:paraId="22745A2C">
                  <w:pPr>
                    <w:widowControl w:val="0"/>
                    <w:bidi w:val="0"/>
                    <w:spacing w:line="240" w:lineRule="auto"/>
                    <w:ind w:firstLine="0" w:firstLineChars="0"/>
                    <w:jc w:val="center"/>
                    <w:rPr>
                      <w:rFonts w:hint="default" w:ascii="Times New Roman" w:hAnsi="Times New Roman" w:eastAsia="宋体" w:cs="Times New Roman"/>
                      <w:b w:val="0"/>
                      <w:bCs w:val="0"/>
                      <w:color w:val="000000" w:themeColor="text1"/>
                      <w:kern w:val="2"/>
                      <w:sz w:val="21"/>
                      <w:szCs w:val="24"/>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4"/>
                      <w:highlight w:val="none"/>
                      <w:lang w:val="en-US" w:eastAsia="zh-CN" w:bidi="ar-SA"/>
                      <w14:textFill>
                        <w14:solidFill>
                          <w14:schemeClr w14:val="tx1"/>
                        </w14:solidFill>
                      </w14:textFill>
                    </w:rPr>
                    <w:t>项目属于（六）其他大宗、高附加值利用方式。</w:t>
                  </w:r>
                </w:p>
              </w:tc>
              <w:tc>
                <w:tcPr>
                  <w:tcW w:w="620" w:type="pct"/>
                  <w:tcBorders>
                    <w:tl2br w:val="nil"/>
                    <w:tr2bl w:val="nil"/>
                  </w:tcBorders>
                  <w:noWrap w:val="0"/>
                  <w:vAlign w:val="center"/>
                </w:tcPr>
                <w:p w14:paraId="56A0A173">
                  <w:pPr>
                    <w:widowControl w:val="0"/>
                    <w:bidi w:val="0"/>
                    <w:spacing w:line="240" w:lineRule="auto"/>
                    <w:ind w:firstLine="0" w:firstLineChars="0"/>
                    <w:jc w:val="center"/>
                    <w:rPr>
                      <w:rFonts w:hint="default" w:ascii="Times New Roman" w:hAnsi="Times New Roman" w:eastAsia="宋体" w:cs="Times New Roman"/>
                      <w:b w:val="0"/>
                      <w:bCs w:val="0"/>
                      <w:color w:val="000000" w:themeColor="text1"/>
                      <w:kern w:val="2"/>
                      <w:sz w:val="21"/>
                      <w:szCs w:val="24"/>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4"/>
                      <w:highlight w:val="none"/>
                      <w:lang w:val="en-US" w:eastAsia="zh-CN" w:bidi="ar-SA"/>
                      <w14:textFill>
                        <w14:solidFill>
                          <w14:schemeClr w14:val="tx1"/>
                        </w14:solidFill>
                      </w14:textFill>
                    </w:rPr>
                    <w:t>符合</w:t>
                  </w:r>
                </w:p>
              </w:tc>
            </w:tr>
          </w:tbl>
          <w:p w14:paraId="4938733F">
            <w:pPr>
              <w:bidi w:val="0"/>
              <w:spacing w:line="360" w:lineRule="auto"/>
              <w:ind w:firstLine="482" w:firstLineChars="200"/>
              <w:rPr>
                <w:rFonts w:hint="default" w:ascii="Times New Roman" w:hAnsi="Times New Roman" w:eastAsia="宋体" w:cs="Times New Roman"/>
                <w:b/>
                <w:bCs/>
                <w:color w:val="000000" w:themeColor="text1"/>
                <w:sz w:val="24"/>
                <w:highlight w:val="none"/>
                <w14:textFill>
                  <w14:solidFill>
                    <w14:schemeClr w14:val="tx1"/>
                  </w14:solidFill>
                </w14:textFill>
              </w:rPr>
            </w:pPr>
            <w:r>
              <w:rPr>
                <w:rFonts w:hint="eastAsia" w:ascii="Times New Roman" w:hAnsi="Times New Roman" w:eastAsia="宋体" w:cs="Times New Roman"/>
                <w:b/>
                <w:bCs/>
                <w:color w:val="000000" w:themeColor="text1"/>
                <w:sz w:val="24"/>
                <w:highlight w:val="none"/>
                <w:lang w:val="en-US" w:eastAsia="zh-CN"/>
                <w14:textFill>
                  <w14:solidFill>
                    <w14:schemeClr w14:val="tx1"/>
                  </w14:solidFill>
                </w14:textFill>
              </w:rPr>
              <w:t>6.</w:t>
            </w:r>
            <w:r>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t>与《</w:t>
            </w:r>
            <w:r>
              <w:rPr>
                <w:rFonts w:hint="default" w:ascii="Times New Roman" w:hAnsi="Times New Roman" w:eastAsia="宋体" w:cs="Times New Roman"/>
                <w:b/>
                <w:bCs/>
                <w:color w:val="000000" w:themeColor="text1"/>
                <w:sz w:val="24"/>
                <w:highlight w:val="none"/>
                <w14:textFill>
                  <w14:solidFill>
                    <w14:schemeClr w14:val="tx1"/>
                  </w14:solidFill>
                </w14:textFill>
              </w:rPr>
              <w:t>自治区关于加强固废资源化利用的政策体系</w:t>
            </w:r>
            <w:r>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b/>
                <w:bCs/>
                <w:color w:val="000000" w:themeColor="text1"/>
                <w:sz w:val="24"/>
                <w:highlight w:val="none"/>
                <w14:textFill>
                  <w14:solidFill>
                    <w14:schemeClr w14:val="tx1"/>
                  </w14:solidFill>
                </w14:textFill>
              </w:rPr>
              <w:t>符合性分析</w:t>
            </w:r>
          </w:p>
          <w:p w14:paraId="71D30173">
            <w:pPr>
              <w:bidi w:val="0"/>
              <w:spacing w:line="360" w:lineRule="auto"/>
              <w:ind w:firstLine="480" w:firstLineChars="20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近年来，自治区党委、政府深入贯彻习近平生态文明思想和习近平总书记关于内蒙古重要讲话重要指示批示精神，认真落实党中央、国务院决策部署，践行绿水青山就是金山银山理念，大力支持加强固废资源化利用，不断健全完善综合利用产业体系、政策制度和长效机制。在《内蒙古自治区环境保护条例》《内蒙古自治区固体废物污染环境防治条例》，以及《内蒙古自治区生态环境保护“十四五”规划》（内政办发〔2021〕51号）等政策文件和重要规划中，分别明确了一般工业固废综合利用工作部署要求，提出加强固体废物资源化利用，最大限度</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地</w:t>
            </w:r>
            <w:r>
              <w:rPr>
                <w:rFonts w:hint="default" w:ascii="Times New Roman" w:hAnsi="Times New Roman" w:eastAsia="宋体" w:cs="Times New Roman"/>
                <w:color w:val="000000" w:themeColor="text1"/>
                <w:sz w:val="24"/>
                <w:highlight w:val="none"/>
                <w14:textFill>
                  <w14:solidFill>
                    <w14:schemeClr w14:val="tx1"/>
                  </w14:solidFill>
                </w14:textFill>
              </w:rPr>
              <w:t>减少填埋量。要求推进全区大宗固废增量消纳和存量治理，加大黄河流域7盟市大宗固废的综合整治力度，健全长效监管制度。完善和落实有关鼓励固体废物综合利用和处置的优惠政策。要求以煤矸石、粉煤灰、冶炼废渣、建筑垃圾等为重点建设综合利用示范。到2025年，工业固废综合利用率达到50%以上。</w:t>
            </w:r>
          </w:p>
          <w:p w14:paraId="0401A314">
            <w:pPr>
              <w:bidi w:val="0"/>
              <w:spacing w:line="360" w:lineRule="auto"/>
              <w:ind w:firstLine="480" w:firstLineChars="20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从“十四五”期间自治区先后印发实施的多部发展规划及政策文件可以看出，自治区把加快提升完善一般工业固废综合利用设施建设，不断提高资源化利用水平作为推进建筑垃圾综合利用工作的重要抓手。本项目作为规模化产业化的</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煤矸石</w:t>
            </w:r>
            <w:r>
              <w:rPr>
                <w:rFonts w:hint="default" w:ascii="Times New Roman" w:hAnsi="Times New Roman" w:eastAsia="宋体" w:cs="Times New Roman"/>
                <w:color w:val="000000" w:themeColor="text1"/>
                <w:sz w:val="24"/>
                <w:highlight w:val="none"/>
                <w14:textFill>
                  <w14:solidFill>
                    <w14:schemeClr w14:val="tx1"/>
                  </w14:solidFill>
                </w14:textFill>
              </w:rPr>
              <w:t>固废综合利用</w:t>
            </w:r>
            <w:r>
              <w:rPr>
                <w:rFonts w:hint="eastAsia" w:cs="Times New Roman"/>
                <w:color w:val="000000" w:themeColor="text1"/>
                <w:sz w:val="24"/>
                <w:highlight w:val="none"/>
                <w:lang w:val="en-US" w:eastAsia="zh-CN"/>
                <w14:textFill>
                  <w14:solidFill>
                    <w14:schemeClr w14:val="tx1"/>
                  </w14:solidFill>
                </w14:textFill>
              </w:rPr>
              <w:t>产业链下游</w:t>
            </w:r>
            <w:r>
              <w:rPr>
                <w:rFonts w:hint="default" w:ascii="Times New Roman" w:hAnsi="Times New Roman" w:eastAsia="宋体" w:cs="Times New Roman"/>
                <w:color w:val="000000" w:themeColor="text1"/>
                <w:sz w:val="24"/>
                <w:highlight w:val="none"/>
                <w14:textFill>
                  <w14:solidFill>
                    <w14:schemeClr w14:val="tx1"/>
                  </w14:solidFill>
                </w14:textFill>
              </w:rPr>
              <w:t>生产企业，采用</w:t>
            </w:r>
            <w:r>
              <w:rPr>
                <w:rFonts w:hint="eastAsia"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四级预热器+悬浮炉＋回转窑焙烧＋高温粉体对流式急冷换热装置</w:t>
            </w:r>
            <w:r>
              <w:rPr>
                <w:rFonts w:hint="eastAsia"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制备煤矸石悬浮脱碳煅烧高活性高岭土</w:t>
            </w:r>
            <w:r>
              <w:rPr>
                <w:rFonts w:hint="eastAsia" w:cs="Times New Roman"/>
                <w:color w:val="000000" w:themeColor="text1"/>
                <w:sz w:val="24"/>
                <w:highlight w:val="none"/>
                <w:lang w:eastAsia="zh-CN"/>
                <w14:textFill>
                  <w14:solidFill>
                    <w14:schemeClr w14:val="tx1"/>
                  </w14:solidFill>
                </w14:textFill>
              </w:rPr>
              <w:t>的生产工艺，分</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选出高岭土外售，</w:t>
            </w:r>
            <w:r>
              <w:rPr>
                <w:rFonts w:hint="default" w:ascii="Times New Roman" w:hAnsi="Times New Roman" w:eastAsia="宋体" w:cs="Times New Roman"/>
                <w:color w:val="000000" w:themeColor="text1"/>
                <w:sz w:val="24"/>
                <w:highlight w:val="none"/>
                <w14:textFill>
                  <w14:solidFill>
                    <w14:schemeClr w14:val="tx1"/>
                  </w14:solidFill>
                </w14:textFill>
              </w:rPr>
              <w:t>实现分类分质利用和全部资源化利用。本项目完全符合自治区关于加强一般工业固废资源化利用的政策规划体系，并朝着最大程度资源化利用，最高价值规模化利用的方向发展。</w:t>
            </w:r>
          </w:p>
          <w:p w14:paraId="656F1662">
            <w:pPr>
              <w:bidi w:val="0"/>
              <w:spacing w:line="360" w:lineRule="auto"/>
              <w:ind w:firstLine="482" w:firstLineChars="200"/>
              <w:rPr>
                <w:rFonts w:hint="default" w:ascii="Times New Roman" w:hAnsi="Times New Roman" w:eastAsia="宋体" w:cs="Times New Roman"/>
                <w:b/>
                <w:bCs/>
                <w:color w:val="000000" w:themeColor="text1"/>
                <w:sz w:val="24"/>
                <w:highlight w:val="none"/>
                <w14:textFill>
                  <w14:solidFill>
                    <w14:schemeClr w14:val="tx1"/>
                  </w14:solidFill>
                </w14:textFill>
              </w:rPr>
            </w:pPr>
            <w:r>
              <w:rPr>
                <w:rFonts w:hint="eastAsia" w:ascii="Times New Roman" w:hAnsi="Times New Roman" w:eastAsia="宋体" w:cs="Times New Roman"/>
                <w:b/>
                <w:bCs/>
                <w:color w:val="000000" w:themeColor="text1"/>
                <w:sz w:val="24"/>
                <w:highlight w:val="none"/>
                <w:lang w:val="en-US" w:eastAsia="zh-CN"/>
                <w14:textFill>
                  <w14:solidFill>
                    <w14:schemeClr w14:val="tx1"/>
                  </w14:solidFill>
                </w14:textFill>
              </w:rPr>
              <w:t>7.</w:t>
            </w:r>
            <w:r>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t>与《</w:t>
            </w:r>
            <w:r>
              <w:rPr>
                <w:rFonts w:hint="default" w:ascii="Times New Roman" w:hAnsi="Times New Roman" w:eastAsia="宋体" w:cs="Times New Roman"/>
                <w:b/>
                <w:bCs/>
                <w:color w:val="000000" w:themeColor="text1"/>
                <w:sz w:val="24"/>
                <w:highlight w:val="none"/>
                <w14:textFill>
                  <w14:solidFill>
                    <w14:schemeClr w14:val="tx1"/>
                  </w14:solidFill>
                </w14:textFill>
              </w:rPr>
              <w:t>鄂尔多斯市的发展规划和产业定位</w:t>
            </w:r>
            <w:r>
              <w:rPr>
                <w:rFonts w:hint="default" w:ascii="Times New Roman" w:hAnsi="Times New Roman" w:eastAsia="宋体" w:cs="Times New Roman"/>
                <w:b/>
                <w:bCs/>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b/>
                <w:bCs/>
                <w:color w:val="000000" w:themeColor="text1"/>
                <w:sz w:val="24"/>
                <w:highlight w:val="none"/>
                <w14:textFill>
                  <w14:solidFill>
                    <w14:schemeClr w14:val="tx1"/>
                  </w14:solidFill>
                </w14:textFill>
              </w:rPr>
              <w:t>符合性分析</w:t>
            </w:r>
          </w:p>
          <w:p w14:paraId="37599DA1">
            <w:pPr>
              <w:bidi w:val="0"/>
              <w:spacing w:line="360" w:lineRule="auto"/>
              <w:ind w:firstLine="480" w:firstLineChars="20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鄂尔多斯市高度重视煤基固废综合利用工作，协同推进“无废城市”建设，推动绿色低碳循环发展，加快生态文明示范市和国家可持续发展议程创新示范区建设步伐。《鄂尔多斯市人民政府办公室关于印发鄂尔多斯市“十四五”时期“无废城市”建设实施方案的通知》（鄂府办发〔2022〕176号）提出大力推动重点行业一般工业固体废物源头减量化和资源化高效综合利用，到2025年，一般工业固体废物综合利用率达到57%以上。从落实税收政策、加大对项目的资金支持力度</w:t>
            </w:r>
            <w:r>
              <w:rPr>
                <w:rFonts w:hint="eastAsia"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加大奖补等方面支持项目建设及企业发展。《鄂尔多斯市推进一般工业固体废物资源综合利用办法（试行）》（鄂府发〔2022〕119号）鼓励和支持企业投资建设一般工业</w:t>
            </w:r>
            <w:r>
              <w:rPr>
                <w:rFonts w:hint="eastAsia" w:ascii="Times New Roman" w:hAnsi="Times New Roman" w:eastAsia="宋体" w:cs="Times New Roman"/>
                <w:color w:val="000000" w:themeColor="text1"/>
                <w:sz w:val="24"/>
                <w:highlight w:val="none"/>
                <w:lang w:eastAsia="zh-CN"/>
                <w14:textFill>
                  <w14:solidFill>
                    <w14:schemeClr w14:val="tx1"/>
                  </w14:solidFill>
                </w14:textFill>
              </w:rPr>
              <w:t>固体</w:t>
            </w:r>
            <w:r>
              <w:rPr>
                <w:rFonts w:hint="default" w:ascii="Times New Roman" w:hAnsi="Times New Roman" w:eastAsia="宋体" w:cs="Times New Roman"/>
                <w:color w:val="000000" w:themeColor="text1"/>
                <w:sz w:val="24"/>
                <w:highlight w:val="none"/>
                <w14:textFill>
                  <w14:solidFill>
                    <w14:schemeClr w14:val="tx1"/>
                  </w14:solidFill>
                </w14:textFill>
              </w:rPr>
              <w:t>废物资源综合利用项目，开展技术创新活动，推动煤矸石等大宗工业固体废物综合利用水平得到明显提高，制度、技术、市场、监管体系日趋完善，项目协同、产业联动形成较大规模</w:t>
            </w:r>
            <w:r>
              <w:rPr>
                <w:rFonts w:hint="eastAsia" w:ascii="Times New Roman" w:hAnsi="Times New Roman" w:eastAsia="宋体" w:cs="Times New Roman"/>
                <w:color w:val="000000" w:themeColor="text1"/>
                <w:sz w:val="24"/>
                <w:highlight w:val="none"/>
                <w:lang w:eastAsia="zh-CN"/>
                <w14:textFill>
                  <w14:solidFill>
                    <w14:schemeClr w14:val="tx1"/>
                  </w14:solidFill>
                </w14:textFill>
              </w:rPr>
              <w:t>，将</w:t>
            </w:r>
            <w:r>
              <w:rPr>
                <w:rFonts w:hint="default" w:ascii="Times New Roman" w:hAnsi="Times New Roman" w:eastAsia="宋体" w:cs="Times New Roman"/>
                <w:color w:val="000000" w:themeColor="text1"/>
                <w:sz w:val="24"/>
                <w:highlight w:val="none"/>
                <w14:textFill>
                  <w14:solidFill>
                    <w14:schemeClr w14:val="tx1"/>
                  </w14:solidFill>
                </w14:textFill>
              </w:rPr>
              <w:t>固废产业打造</w:t>
            </w:r>
            <w:r>
              <w:rPr>
                <w:rFonts w:hint="eastAsia" w:cs="Times New Roman"/>
                <w:color w:val="000000" w:themeColor="text1"/>
                <w:sz w:val="24"/>
                <w:highlight w:val="none"/>
                <w:lang w:eastAsia="zh-CN"/>
                <w14:textFill>
                  <w14:solidFill>
                    <w14:schemeClr w14:val="tx1"/>
                  </w14:solidFill>
                </w14:textFill>
              </w:rPr>
              <w:t>成</w:t>
            </w:r>
            <w:r>
              <w:rPr>
                <w:rFonts w:hint="default" w:ascii="Times New Roman" w:hAnsi="Times New Roman" w:eastAsia="宋体" w:cs="Times New Roman"/>
                <w:color w:val="000000" w:themeColor="text1"/>
                <w:sz w:val="24"/>
                <w:highlight w:val="none"/>
                <w14:textFill>
                  <w14:solidFill>
                    <w14:schemeClr w14:val="tx1"/>
                  </w14:solidFill>
                </w14:textFill>
              </w:rPr>
              <w:t>新的经济增长点。</w:t>
            </w:r>
          </w:p>
          <w:p w14:paraId="01C3F313">
            <w:pPr>
              <w:bidi w:val="0"/>
              <w:spacing w:line="360" w:lineRule="auto"/>
              <w:ind w:firstLine="480" w:firstLineChars="20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本项目实施后，每年能够稳定利用一定规模的煤基</w:t>
            </w:r>
            <w:r>
              <w:rPr>
                <w:rFonts w:hint="eastAsia" w:cs="Times New Roman"/>
                <w:color w:val="000000" w:themeColor="text1"/>
                <w:sz w:val="24"/>
                <w:highlight w:val="none"/>
                <w:lang w:val="en-US" w:eastAsia="zh-CN"/>
                <w14:textFill>
                  <w14:solidFill>
                    <w14:schemeClr w14:val="tx1"/>
                  </w14:solidFill>
                </w14:textFill>
              </w:rPr>
              <w:t>高岭土</w:t>
            </w:r>
            <w:r>
              <w:rPr>
                <w:rFonts w:hint="default" w:ascii="Times New Roman" w:hAnsi="Times New Roman" w:eastAsia="宋体" w:cs="Times New Roman"/>
                <w:color w:val="000000" w:themeColor="text1"/>
                <w:sz w:val="24"/>
                <w:highlight w:val="none"/>
                <w14:textFill>
                  <w14:solidFill>
                    <w14:schemeClr w14:val="tx1"/>
                  </w14:solidFill>
                </w14:textFill>
              </w:rPr>
              <w:t>，并根据不同粒度和不同热值等特性，采用</w:t>
            </w:r>
            <w:r>
              <w:rPr>
                <w:rFonts w:hint="eastAsia" w:cs="Times New Roman"/>
                <w:color w:val="000000" w:themeColor="text1"/>
                <w:sz w:val="24"/>
                <w:highlight w:val="none"/>
                <w:lang w:eastAsia="zh-CN"/>
                <w14:textFill>
                  <w14:solidFill>
                    <w14:schemeClr w14:val="tx1"/>
                  </w14:solidFill>
                </w14:textFill>
              </w:rPr>
              <w:t>“四级预热器+悬浮炉＋回转窑焙烧＋高温粉体对流式急冷换热装置”</w:t>
            </w:r>
            <w:r>
              <w:rPr>
                <w:rFonts w:hint="default" w:ascii="Times New Roman" w:hAnsi="Times New Roman" w:eastAsia="宋体" w:cs="Times New Roman"/>
                <w:color w:val="000000" w:themeColor="text1"/>
                <w:sz w:val="24"/>
                <w:highlight w:val="none"/>
                <w14:textFill>
                  <w14:solidFill>
                    <w14:schemeClr w14:val="tx1"/>
                  </w14:solidFill>
                </w14:textFill>
              </w:rPr>
              <w:t>制备煤矸石悬浮脱碳煅烧高活性高岭土</w:t>
            </w:r>
            <w:r>
              <w:rPr>
                <w:rFonts w:hint="eastAsia" w:cs="Times New Roman"/>
                <w:color w:val="000000" w:themeColor="text1"/>
                <w:sz w:val="24"/>
                <w:highlight w:val="none"/>
                <w:lang w:eastAsia="zh-CN"/>
                <w14:textFill>
                  <w14:solidFill>
                    <w14:schemeClr w14:val="tx1"/>
                  </w14:solidFill>
                </w14:textFill>
              </w:rPr>
              <w:t>的生产工艺，实现</w:t>
            </w:r>
            <w:r>
              <w:rPr>
                <w:rFonts w:hint="default" w:ascii="Times New Roman" w:hAnsi="Times New Roman" w:eastAsia="宋体" w:cs="Times New Roman"/>
                <w:color w:val="000000" w:themeColor="text1"/>
                <w:sz w:val="24"/>
                <w:highlight w:val="none"/>
                <w14:textFill>
                  <w14:solidFill>
                    <w14:schemeClr w14:val="tx1"/>
                  </w14:solidFill>
                </w14:textFill>
              </w:rPr>
              <w:t>分质资源化利用，工艺成熟可靠，选用设备稳定高效，生产能耗低。项目能够</w:t>
            </w:r>
            <w:r>
              <w:rPr>
                <w:rFonts w:hint="eastAsia" w:cs="Times New Roman"/>
                <w:color w:val="000000" w:themeColor="text1"/>
                <w:sz w:val="24"/>
                <w:highlight w:val="none"/>
                <w:lang w:eastAsia="zh-CN"/>
                <w14:textFill>
                  <w14:solidFill>
                    <w14:schemeClr w14:val="tx1"/>
                  </w14:solidFill>
                </w14:textFill>
              </w:rPr>
              <w:t>实现</w:t>
            </w:r>
            <w:r>
              <w:rPr>
                <w:rFonts w:hint="default" w:ascii="Times New Roman" w:hAnsi="Times New Roman" w:eastAsia="宋体" w:cs="Times New Roman"/>
                <w:color w:val="000000" w:themeColor="text1"/>
                <w:sz w:val="24"/>
                <w:highlight w:val="none"/>
                <w14:textFill>
                  <w14:solidFill>
                    <w14:schemeClr w14:val="tx1"/>
                  </w14:solidFill>
                </w14:textFill>
              </w:rPr>
              <w:t>煤基</w:t>
            </w:r>
            <w:r>
              <w:rPr>
                <w:rFonts w:hint="eastAsia" w:cs="Times New Roman"/>
                <w:color w:val="000000" w:themeColor="text1"/>
                <w:sz w:val="24"/>
                <w:highlight w:val="none"/>
                <w:lang w:val="en-US" w:eastAsia="zh-CN"/>
                <w14:textFill>
                  <w14:solidFill>
                    <w14:schemeClr w14:val="tx1"/>
                  </w14:solidFill>
                </w14:textFill>
              </w:rPr>
              <w:t>高岭土</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下游配套产业</w:t>
            </w:r>
            <w:r>
              <w:rPr>
                <w:rFonts w:hint="eastAsia" w:cs="Times New Roman"/>
                <w:color w:val="000000" w:themeColor="text1"/>
                <w:sz w:val="24"/>
                <w:highlight w:val="none"/>
                <w:lang w:val="en-US" w:eastAsia="zh-CN"/>
                <w14:textFill>
                  <w14:solidFill>
                    <w14:schemeClr w14:val="tx1"/>
                  </w14:solidFill>
                </w14:textFill>
              </w:rPr>
              <w:t>的发展，</w:t>
            </w:r>
            <w:r>
              <w:rPr>
                <w:rFonts w:hint="default" w:ascii="Times New Roman" w:hAnsi="Times New Roman" w:eastAsia="宋体" w:cs="Times New Roman"/>
                <w:color w:val="000000" w:themeColor="text1"/>
                <w:sz w:val="24"/>
                <w:highlight w:val="none"/>
                <w14:textFill>
                  <w14:solidFill>
                    <w14:schemeClr w14:val="tx1"/>
                  </w14:solidFill>
                </w14:textFill>
              </w:rPr>
              <w:t>符合鄂尔多斯市的发展规划和产业定位。</w:t>
            </w:r>
          </w:p>
          <w:p w14:paraId="29A64276">
            <w:pPr>
              <w:bidi w:val="0"/>
              <w:spacing w:line="360" w:lineRule="auto"/>
              <w:ind w:firstLine="482" w:firstLineChars="200"/>
              <w:rPr>
                <w:rFonts w:hint="default" w:ascii="Times New Roman" w:hAnsi="Times New Roman" w:eastAsia="宋体" w:cs="Times New Roman"/>
                <w:b/>
                <w:bCs/>
                <w:color w:val="000000" w:themeColor="text1"/>
                <w:sz w:val="24"/>
                <w:highlight w:val="none"/>
                <w14:textFill>
                  <w14:solidFill>
                    <w14:schemeClr w14:val="tx1"/>
                  </w14:solidFill>
                </w14:textFill>
              </w:rPr>
            </w:pPr>
            <w:r>
              <w:rPr>
                <w:rFonts w:hint="eastAsia" w:ascii="Times New Roman" w:hAnsi="Times New Roman" w:eastAsia="宋体" w:cs="Times New Roman"/>
                <w:b/>
                <w:bCs/>
                <w:color w:val="000000" w:themeColor="text1"/>
                <w:sz w:val="24"/>
                <w:highlight w:val="none"/>
                <w:lang w:val="en-US" w:eastAsia="zh-CN"/>
                <w14:textFill>
                  <w14:solidFill>
                    <w14:schemeClr w14:val="tx1"/>
                  </w14:solidFill>
                </w14:textFill>
              </w:rPr>
              <w:t>8.</w:t>
            </w:r>
            <w:r>
              <w:rPr>
                <w:rFonts w:hint="default" w:ascii="Times New Roman" w:hAnsi="Times New Roman" w:eastAsia="宋体" w:cs="Times New Roman"/>
                <w:b/>
                <w:bCs/>
                <w:color w:val="000000" w:themeColor="text1"/>
                <w:sz w:val="24"/>
                <w:highlight w:val="none"/>
                <w14:textFill>
                  <w14:solidFill>
                    <w14:schemeClr w14:val="tx1"/>
                  </w14:solidFill>
                </w14:textFill>
              </w:rPr>
              <w:t>内蒙古自治区“十四五”生态环境保护规划</w:t>
            </w:r>
            <w:r>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t>符</w:t>
            </w:r>
            <w:r>
              <w:rPr>
                <w:rFonts w:hint="default" w:ascii="Times New Roman" w:hAnsi="Times New Roman" w:eastAsia="宋体" w:cs="Times New Roman"/>
                <w:b/>
                <w:bCs/>
                <w:color w:val="000000" w:themeColor="text1"/>
                <w:sz w:val="24"/>
                <w:highlight w:val="none"/>
                <w14:textFill>
                  <w14:solidFill>
                    <w14:schemeClr w14:val="tx1"/>
                  </w14:solidFill>
                </w14:textFill>
              </w:rPr>
              <w:t>合性分析</w:t>
            </w:r>
          </w:p>
          <w:p w14:paraId="5DAFD39C">
            <w:pPr>
              <w:bidi w:val="0"/>
              <w:spacing w:line="360" w:lineRule="auto"/>
              <w:ind w:firstLine="480" w:firstLineChars="20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2021年10月12日，内蒙古自治区人民政府发布</w:t>
            </w:r>
            <w:r>
              <w:rPr>
                <w:rFonts w:hint="eastAsia" w:cs="Times New Roman"/>
                <w:color w:val="000000" w:themeColor="text1"/>
                <w:sz w:val="24"/>
                <w:highlight w:val="none"/>
                <w:lang w:eastAsia="zh-CN"/>
                <w14:textFill>
                  <w14:solidFill>
                    <w14:schemeClr w14:val="tx1"/>
                  </w14:solidFill>
                </w14:textFill>
              </w:rPr>
              <w:t>《关于</w:t>
            </w:r>
            <w:r>
              <w:rPr>
                <w:rFonts w:hint="default" w:ascii="Times New Roman" w:hAnsi="Times New Roman" w:eastAsia="宋体" w:cs="Times New Roman"/>
                <w:color w:val="000000" w:themeColor="text1"/>
                <w:sz w:val="24"/>
                <w:highlight w:val="none"/>
                <w14:textFill>
                  <w14:solidFill>
                    <w14:schemeClr w14:val="tx1"/>
                  </w14:solidFill>
                </w14:textFill>
              </w:rPr>
              <w:t>印发</w:t>
            </w:r>
            <w:r>
              <w:rPr>
                <w:rFonts w:hint="eastAsia"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内蒙古自治区“十四五”生态环境保护规划</w:t>
            </w:r>
            <w:r>
              <w:rPr>
                <w:rFonts w:hint="eastAsia"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的通知</w:t>
            </w:r>
            <w:r>
              <w:rPr>
                <w:rFonts w:hint="eastAsia"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（四）“无废城市”建设工程在继续推动包头市开展的基础上，试点推动</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鄂尔多斯市</w:t>
            </w:r>
            <w:r>
              <w:rPr>
                <w:rFonts w:hint="default" w:ascii="Times New Roman" w:hAnsi="Times New Roman" w:eastAsia="宋体" w:cs="Times New Roman"/>
                <w:color w:val="000000" w:themeColor="text1"/>
                <w:sz w:val="24"/>
                <w:highlight w:val="none"/>
                <w14:textFill>
                  <w14:solidFill>
                    <w14:schemeClr w14:val="tx1"/>
                  </w14:solidFill>
                </w14:textFill>
              </w:rPr>
              <w:t>、乌兰察布</w:t>
            </w:r>
            <w:r>
              <w:rPr>
                <w:rFonts w:hint="eastAsia" w:cs="Times New Roman"/>
                <w:color w:val="000000" w:themeColor="text1"/>
                <w:sz w:val="24"/>
                <w:highlight w:val="none"/>
                <w:lang w:eastAsia="zh-CN"/>
                <w14:textFill>
                  <w14:solidFill>
                    <w14:schemeClr w14:val="tx1"/>
                  </w14:solidFill>
                </w14:textFill>
              </w:rPr>
              <w:t>市</w:t>
            </w:r>
            <w:r>
              <w:rPr>
                <w:rFonts w:hint="default" w:ascii="Times New Roman" w:hAnsi="Times New Roman" w:eastAsia="宋体" w:cs="Times New Roman"/>
                <w:color w:val="000000" w:themeColor="text1"/>
                <w:sz w:val="24"/>
                <w:highlight w:val="none"/>
                <w14:textFill>
                  <w14:solidFill>
                    <w14:schemeClr w14:val="tx1"/>
                  </w14:solidFill>
                </w14:textFill>
              </w:rPr>
              <w:t>等城市开展“无废城市”建设。实施一批“无废矿山”“无废企业”“无废园区”“无废农业”“无废村庄”“无废宾馆”“无废商场”“无废景区”“无废学校”等“无废细胞”创建工程。试点开展废旧物资循环利用体系建设。</w:t>
            </w:r>
          </w:p>
          <w:p w14:paraId="62CDA181">
            <w:pPr>
              <w:bidi w:val="0"/>
              <w:spacing w:line="360" w:lineRule="auto"/>
              <w:ind w:firstLine="480" w:firstLineChars="20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本项目实施后，</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本项目</w:t>
            </w:r>
            <w:r>
              <w:rPr>
                <w:rFonts w:hint="eastAsia" w:cs="Times New Roman"/>
                <w:color w:val="000000" w:themeColor="text1"/>
                <w:sz w:val="24"/>
                <w:highlight w:val="none"/>
                <w:lang w:val="en-US" w:eastAsia="zh-CN"/>
                <w14:textFill>
                  <w14:solidFill>
                    <w14:schemeClr w14:val="tx1"/>
                  </w14:solidFill>
                </w14:textFill>
              </w:rPr>
              <w:t>可实现一般固废</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产品</w:t>
            </w:r>
            <w:r>
              <w:rPr>
                <w:rFonts w:hint="eastAsia" w:cs="Times New Roman"/>
                <w:color w:val="000000" w:themeColor="text1"/>
                <w:sz w:val="24"/>
                <w:highlight w:val="none"/>
                <w:lang w:val="en-US" w:eastAsia="zh-CN"/>
                <w14:textFill>
                  <w14:solidFill>
                    <w14:schemeClr w14:val="tx1"/>
                  </w14:solidFill>
                </w14:textFill>
              </w:rPr>
              <w:t>产业链延伸，生产</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高附加值产品</w:t>
            </w:r>
            <w:r>
              <w:rPr>
                <w:rFonts w:hint="default" w:ascii="Times New Roman" w:hAnsi="Times New Roman" w:eastAsia="宋体" w:cs="Times New Roman"/>
                <w:color w:val="000000" w:themeColor="text1"/>
                <w:sz w:val="24"/>
                <w:highlight w:val="none"/>
                <w14:textFill>
                  <w14:solidFill>
                    <w14:schemeClr w14:val="tx1"/>
                  </w14:solidFill>
                </w14:textFill>
              </w:rPr>
              <w:t>，符合内蒙古自治区“十四五”生态环境保护规划。</w:t>
            </w:r>
          </w:p>
          <w:p w14:paraId="6B313173">
            <w:pPr>
              <w:bidi w:val="0"/>
              <w:spacing w:line="360" w:lineRule="auto"/>
              <w:ind w:firstLine="482" w:firstLineChars="200"/>
              <w:rPr>
                <w:rFonts w:hint="default"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b/>
                <w:bCs/>
                <w:color w:val="000000" w:themeColor="text1"/>
                <w:sz w:val="24"/>
                <w:highlight w:val="none"/>
                <w:lang w:val="en-US" w:eastAsia="zh-CN"/>
                <w14:textFill>
                  <w14:solidFill>
                    <w14:schemeClr w14:val="tx1"/>
                  </w14:solidFill>
                </w14:textFill>
              </w:rPr>
              <w:t>9.</w:t>
            </w:r>
            <w:r>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t>与《</w:t>
            </w:r>
            <w:r>
              <w:rPr>
                <w:rFonts w:hint="default" w:ascii="Times New Roman" w:hAnsi="Times New Roman" w:eastAsia="宋体" w:cs="Times New Roman"/>
                <w:b/>
                <w:bCs/>
                <w:color w:val="000000" w:themeColor="text1"/>
                <w:sz w:val="24"/>
                <w:highlight w:val="none"/>
                <w14:textFill>
                  <w14:solidFill>
                    <w14:schemeClr w14:val="tx1"/>
                  </w14:solidFill>
                </w14:textFill>
              </w:rPr>
              <w:t>鄂尔多斯“十四五”生态环境保护规划</w:t>
            </w:r>
            <w:r>
              <w:rPr>
                <w:rFonts w:hint="default" w:ascii="Times New Roman" w:hAnsi="Times New Roman" w:eastAsia="宋体" w:cs="Times New Roman"/>
                <w:b/>
                <w:bCs/>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t>符</w:t>
            </w:r>
            <w:r>
              <w:rPr>
                <w:rFonts w:hint="default" w:ascii="Times New Roman" w:hAnsi="Times New Roman" w:eastAsia="宋体" w:cs="Times New Roman"/>
                <w:b/>
                <w:bCs/>
                <w:color w:val="000000" w:themeColor="text1"/>
                <w:sz w:val="24"/>
                <w:highlight w:val="none"/>
                <w14:textFill>
                  <w14:solidFill>
                    <w14:schemeClr w14:val="tx1"/>
                  </w14:solidFill>
                </w14:textFill>
              </w:rPr>
              <w:t>合性分析</w:t>
            </w:r>
          </w:p>
          <w:p w14:paraId="0517E574">
            <w:pPr>
              <w:bidi w:val="0"/>
              <w:spacing w:line="360" w:lineRule="auto"/>
              <w:ind w:firstLine="480" w:firstLineChars="20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2022年1月13日，鄂尔多斯市人民政府办公室发布关于印发《鄂尔多斯“十四五”生态环境保护规划》的通知：</w:t>
            </w:r>
          </w:p>
          <w:p w14:paraId="4622531C">
            <w:pPr>
              <w:bidi w:val="0"/>
              <w:spacing w:line="360" w:lineRule="auto"/>
              <w:ind w:firstLine="480" w:firstLineChars="20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lang w:eastAsia="zh-CN"/>
                <w14:textFill>
                  <w14:solidFill>
                    <w14:schemeClr w14:val="tx1"/>
                  </w14:solidFill>
                </w14:textFill>
              </w:rPr>
              <w:t>五、</w:t>
            </w:r>
            <w:r>
              <w:rPr>
                <w:rFonts w:hint="default" w:ascii="Times New Roman" w:hAnsi="Times New Roman" w:eastAsia="宋体" w:cs="Times New Roman"/>
                <w:color w:val="000000" w:themeColor="text1"/>
                <w:sz w:val="24"/>
                <w:highlight w:val="none"/>
                <w14:textFill>
                  <w14:solidFill>
                    <w14:schemeClr w14:val="tx1"/>
                  </w14:solidFill>
                </w14:textFill>
              </w:rPr>
              <w:t>补齐治理短板，提升固废处置及综合利用能力，引导固废综合利用，拓宽大宗固废综合利用途径，</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提升</w:t>
            </w:r>
            <w:r>
              <w:rPr>
                <w:rFonts w:hint="default" w:ascii="Times New Roman" w:hAnsi="Times New Roman" w:eastAsia="宋体" w:cs="Times New Roman"/>
                <w:color w:val="000000" w:themeColor="text1"/>
                <w:sz w:val="24"/>
                <w:highlight w:val="none"/>
                <w14:textFill>
                  <w14:solidFill>
                    <w14:schemeClr w14:val="tx1"/>
                  </w14:solidFill>
                </w14:textFill>
              </w:rPr>
              <w:t>危险废物综合利用能力，促进农业废弃物综合利用。</w:t>
            </w:r>
          </w:p>
          <w:p w14:paraId="07A62558">
            <w:pPr>
              <w:bidi w:val="0"/>
              <w:spacing w:line="360" w:lineRule="auto"/>
              <w:ind w:firstLine="480" w:firstLineChars="200"/>
              <w:rPr>
                <w:rFonts w:hint="default" w:ascii="Times New Roman" w:hAnsi="Times New Roman" w:eastAsia="宋体" w:cs="Times New Roman"/>
                <w:color w:val="000000" w:themeColor="text1"/>
                <w:sz w:val="24"/>
                <w:highlight w:val="none"/>
                <w:lang w:eastAsia="zh-CN"/>
                <w14:textFill>
                  <w14:solidFill>
                    <w14:schemeClr w14:val="tx1"/>
                  </w14:solidFill>
                </w14:textFill>
              </w:rPr>
            </w:pP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无废城市”建设工程在继续推动包头市开展的基础上，试点推动</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鄂尔多斯市</w:t>
            </w:r>
            <w:r>
              <w:rPr>
                <w:rFonts w:hint="default" w:ascii="Times New Roman" w:hAnsi="Times New Roman" w:eastAsia="宋体" w:cs="Times New Roman"/>
                <w:color w:val="000000" w:themeColor="text1"/>
                <w:sz w:val="24"/>
                <w:highlight w:val="none"/>
                <w14:textFill>
                  <w14:solidFill>
                    <w14:schemeClr w14:val="tx1"/>
                  </w14:solidFill>
                </w14:textFill>
              </w:rPr>
              <w:t>、乌兰察布市、鄂尔多斯市等城市开展“无废城市”建设。实施一批“无废矿山”“无废企业”“无废园区”“无废农业”“无废村庄”“无废宾馆”“无废商场”“无废景区”“无废学校”等“无废细胞”创建工程。试点开展废旧物资循环利用体系建设。</w:t>
            </w:r>
          </w:p>
          <w:p w14:paraId="611426AD">
            <w:pPr>
              <w:pStyle w:val="103"/>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本项目实施后，可</w:t>
            </w:r>
            <w:r>
              <w:rPr>
                <w:rFonts w:hint="eastAsia" w:cs="Times New Roman"/>
                <w:color w:val="000000" w:themeColor="text1"/>
                <w:sz w:val="24"/>
                <w:highlight w:val="none"/>
                <w:lang w:eastAsia="zh-CN"/>
                <w14:textFill>
                  <w14:solidFill>
                    <w14:schemeClr w14:val="tx1"/>
                  </w14:solidFill>
                </w14:textFill>
              </w:rPr>
              <w:t>实现</w:t>
            </w:r>
            <w:r>
              <w:rPr>
                <w:rFonts w:hint="default" w:ascii="Times New Roman" w:hAnsi="Times New Roman" w:eastAsia="宋体" w:cs="Times New Roman"/>
                <w:color w:val="000000" w:themeColor="text1"/>
                <w:sz w:val="24"/>
                <w:highlight w:val="none"/>
                <w14:textFill>
                  <w14:solidFill>
                    <w14:schemeClr w14:val="tx1"/>
                  </w14:solidFill>
                </w14:textFill>
              </w:rPr>
              <w:t>固体废物煤矸石</w:t>
            </w:r>
            <w:r>
              <w:rPr>
                <w:rFonts w:hint="eastAsia" w:cs="Times New Roman"/>
                <w:color w:val="000000" w:themeColor="text1"/>
                <w:sz w:val="24"/>
                <w:highlight w:val="none"/>
                <w:lang w:val="en-US" w:eastAsia="zh-CN"/>
                <w14:textFill>
                  <w14:solidFill>
                    <w14:schemeClr w14:val="tx1"/>
                  </w14:solidFill>
                </w14:textFill>
              </w:rPr>
              <w:t>综合利用的</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产业</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延伸</w:t>
            </w:r>
            <w:r>
              <w:rPr>
                <w:rFonts w:hint="default" w:ascii="Times New Roman" w:hAnsi="Times New Roman" w:eastAsia="宋体" w:cs="Times New Roman"/>
                <w:color w:val="000000" w:themeColor="text1"/>
                <w:sz w:val="24"/>
                <w:highlight w:val="none"/>
                <w14:textFill>
                  <w14:solidFill>
                    <w14:schemeClr w14:val="tx1"/>
                  </w14:solidFill>
                </w14:textFill>
              </w:rPr>
              <w:t>，符合内蒙古自治区“十四五”生态环境保护规划。</w:t>
            </w:r>
          </w:p>
          <w:p w14:paraId="6F2B08FE">
            <w:pPr>
              <w:pStyle w:val="103"/>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b/>
                <w:bCs/>
                <w:color w:val="000000" w:themeColor="text1"/>
                <w:sz w:val="24"/>
                <w:highlight w:val="none"/>
                <w14:textFill>
                  <w14:solidFill>
                    <w14:schemeClr w14:val="tx1"/>
                  </w14:solidFill>
                </w14:textFill>
              </w:rPr>
            </w:pPr>
            <w:r>
              <w:rPr>
                <w:rFonts w:hint="eastAsia" w:ascii="Times New Roman" w:hAnsi="Times New Roman" w:eastAsia="宋体" w:cs="Times New Roman"/>
                <w:b/>
                <w:bCs/>
                <w:color w:val="000000" w:themeColor="text1"/>
                <w:sz w:val="24"/>
                <w:highlight w:val="none"/>
                <w:lang w:val="en-US" w:eastAsia="zh-CN"/>
                <w14:textFill>
                  <w14:solidFill>
                    <w14:schemeClr w14:val="tx1"/>
                  </w14:solidFill>
                </w14:textFill>
              </w:rPr>
              <w:t>10.</w:t>
            </w:r>
            <w:r>
              <w:rPr>
                <w:rFonts w:hint="default" w:ascii="Times New Roman" w:hAnsi="Times New Roman" w:eastAsia="宋体" w:cs="Times New Roman"/>
                <w:b/>
                <w:bCs/>
                <w:color w:val="000000" w:themeColor="text1"/>
                <w:sz w:val="24"/>
                <w:highlight w:val="none"/>
                <w14:textFill>
                  <w14:solidFill>
                    <w14:schemeClr w14:val="tx1"/>
                  </w14:solidFill>
                </w14:textFill>
              </w:rPr>
              <w:t>选址合理性分析</w:t>
            </w:r>
          </w:p>
          <w:p w14:paraId="4D08A362">
            <w:pPr>
              <w:pStyle w:val="103"/>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highlight w:val="none"/>
                <w:lang w:val="en-US"/>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本项目位于</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内蒙古鄂尔多斯</w:t>
            </w:r>
            <w:r>
              <w:rPr>
                <w:rFonts w:hint="eastAsia" w:cs="Times New Roman"/>
                <w:color w:val="000000" w:themeColor="text1"/>
                <w:sz w:val="24"/>
                <w:highlight w:val="none"/>
                <w:lang w:val="en-US" w:eastAsia="zh-CN"/>
                <w14:textFill>
                  <w14:solidFill>
                    <w14:schemeClr w14:val="tx1"/>
                  </w14:solidFill>
                </w14:textFill>
              </w:rPr>
              <w:t>市</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准格尔经济开发区准格尔产业园</w:t>
            </w:r>
            <w:r>
              <w:rPr>
                <w:rFonts w:hint="default" w:ascii="Times New Roman" w:hAnsi="Times New Roman" w:eastAsia="宋体" w:cs="Times New Roman"/>
                <w:color w:val="000000" w:themeColor="text1"/>
                <w:sz w:val="24"/>
                <w:highlight w:val="none"/>
                <w14:textFill>
                  <w14:solidFill>
                    <w14:schemeClr w14:val="tx1"/>
                  </w14:solidFill>
                </w14:textFill>
              </w:rPr>
              <w:t>，已取得工业用地手续（详见附件3）</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符合园区产业发展及功能区规划；项目选址不涉及自然保护区、重点风景名胜区、饮用水水源保护区及其</w:t>
            </w:r>
            <w:r>
              <w:rPr>
                <w:rFonts w:hint="eastAsia" w:cs="Times New Roman"/>
                <w:color w:val="000000" w:themeColor="text1"/>
                <w:sz w:val="24"/>
                <w:highlight w:val="none"/>
                <w:lang w:eastAsia="zh-CN"/>
                <w14:textFill>
                  <w14:solidFill>
                    <w14:schemeClr w14:val="tx1"/>
                  </w14:solidFill>
                </w14:textFill>
              </w:rPr>
              <w:t>他</w:t>
            </w:r>
            <w:r>
              <w:rPr>
                <w:rFonts w:hint="default" w:ascii="Times New Roman" w:hAnsi="Times New Roman" w:eastAsia="宋体" w:cs="Times New Roman"/>
                <w:color w:val="000000" w:themeColor="text1"/>
                <w:sz w:val="24"/>
                <w:highlight w:val="none"/>
                <w14:textFill>
                  <w14:solidFill>
                    <w14:schemeClr w14:val="tx1"/>
                  </w14:solidFill>
                </w14:textFill>
              </w:rPr>
              <w:t>依法划定需要特别保护的环境敏感区。</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项目与内蒙古伊东高新材料科技有限公司紧邻，根据准格尔旗文物局202</w:t>
            </w:r>
            <w:r>
              <w:rPr>
                <w:rFonts w:hint="eastAsia" w:cs="Times New Roman"/>
                <w:color w:val="000000" w:themeColor="text1"/>
                <w:sz w:val="24"/>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年12月1</w:t>
            </w:r>
            <w:r>
              <w:rPr>
                <w:rFonts w:hint="eastAsia" w:cs="Times New Roman"/>
                <w:color w:val="000000" w:themeColor="text1"/>
                <w:sz w:val="24"/>
                <w:highlight w:val="none"/>
                <w:lang w:val="en-US" w:eastAsia="zh-CN"/>
                <w14:textFill>
                  <w14:solidFill>
                    <w14:schemeClr w14:val="tx1"/>
                  </w14:solidFill>
                </w14:textFill>
              </w:rPr>
              <w:t>8</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日向内蒙古伊东</w:t>
            </w:r>
            <w:r>
              <w:rPr>
                <w:rFonts w:hint="eastAsia" w:cs="Times New Roman"/>
                <w:color w:val="000000" w:themeColor="text1"/>
                <w:sz w:val="24"/>
                <w:highlight w:val="none"/>
                <w:lang w:val="en-US" w:eastAsia="zh-CN"/>
                <w14:textFill>
                  <w14:solidFill>
                    <w14:schemeClr w14:val="tx1"/>
                  </w14:solidFill>
                </w14:textFill>
              </w:rPr>
              <w:t>东晟</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新材料有限公司回函（准文物函</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〔202</w:t>
            </w:r>
            <w:r>
              <w:rPr>
                <w:rFonts w:hint="eastAsia" w:cs="Times New Roman"/>
                <w:color w:val="000000" w:themeColor="text1"/>
                <w:sz w:val="24"/>
                <w:highlight w:val="none"/>
                <w:lang w:val="en-US" w:eastAsia="zh-CN"/>
                <w14:textFill>
                  <w14:solidFill>
                    <w14:schemeClr w14:val="tx1"/>
                  </w14:solidFill>
                </w14:textFill>
              </w:rPr>
              <w:t>5</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w:t>
            </w:r>
            <w:r>
              <w:rPr>
                <w:rFonts w:hint="eastAsia" w:cs="Times New Roman"/>
                <w:color w:val="000000" w:themeColor="text1"/>
                <w:sz w:val="24"/>
                <w:highlight w:val="none"/>
                <w:lang w:val="en-US" w:eastAsia="zh-CN"/>
                <w14:textFill>
                  <w14:solidFill>
                    <w14:schemeClr w14:val="tx1"/>
                  </w14:solidFill>
                </w14:textFill>
              </w:rPr>
              <w:t>1641</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号</w:t>
            </w:r>
            <w:r>
              <w:rPr>
                <w:rFonts w:hint="eastAsia" w:cs="Times New Roman"/>
                <w:color w:val="000000" w:themeColor="text1"/>
                <w:sz w:val="24"/>
                <w:highlight w:val="none"/>
                <w:lang w:val="en-US" w:eastAsia="zh-CN"/>
                <w14:textFill>
                  <w14:solidFill>
                    <w14:schemeClr w14:val="tx1"/>
                  </w14:solidFill>
                </w14:textFill>
              </w:rPr>
              <w:t>），内</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蒙古伊东</w:t>
            </w:r>
            <w:r>
              <w:rPr>
                <w:rFonts w:hint="eastAsia" w:cs="Times New Roman"/>
                <w:color w:val="000000" w:themeColor="text1"/>
                <w:sz w:val="24"/>
                <w:highlight w:val="none"/>
                <w:lang w:val="en-US" w:eastAsia="zh-CN"/>
                <w14:textFill>
                  <w14:solidFill>
                    <w14:schemeClr w14:val="tx1"/>
                  </w14:solidFill>
                </w14:textFill>
              </w:rPr>
              <w:t>东晟</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新材料有限公司固废利用项目用地范围内不涉及三普数据库登记在册的重点文物保护单位，项目区周边500m范围内无常住居民，基本无环境制约因素。</w:t>
            </w:r>
          </w:p>
          <w:p w14:paraId="04EB0C20">
            <w:pPr>
              <w:pStyle w:val="103"/>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本项目在</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内蒙古鄂尔多斯</w:t>
            </w:r>
            <w:r>
              <w:rPr>
                <w:rFonts w:hint="eastAsia" w:cs="Times New Roman"/>
                <w:color w:val="000000" w:themeColor="text1"/>
                <w:sz w:val="24"/>
                <w:highlight w:val="none"/>
                <w:lang w:val="en-US" w:eastAsia="zh-CN"/>
                <w14:textFill>
                  <w14:solidFill>
                    <w14:schemeClr w14:val="tx1"/>
                  </w14:solidFill>
                </w14:textFill>
              </w:rPr>
              <w:t>市</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准格尔经济开发区准格尔产业园</w:t>
            </w:r>
            <w:r>
              <w:rPr>
                <w:rFonts w:hint="default" w:ascii="Times New Roman" w:hAnsi="Times New Roman" w:eastAsia="宋体" w:cs="Times New Roman"/>
                <w:color w:val="000000" w:themeColor="text1"/>
                <w:sz w:val="24"/>
                <w:highlight w:val="none"/>
                <w14:textFill>
                  <w14:solidFill>
                    <w14:schemeClr w14:val="tx1"/>
                  </w14:solidFill>
                </w14:textFill>
              </w:rPr>
              <w:t>，且</w:t>
            </w:r>
            <w:r>
              <w:rPr>
                <w:rFonts w:hint="eastAsia" w:cs="Times New Roman"/>
                <w:color w:val="000000" w:themeColor="text1"/>
                <w:sz w:val="24"/>
                <w:highlight w:val="none"/>
                <w:lang w:val="en-US" w:eastAsia="zh-CN"/>
                <w14:textFill>
                  <w14:solidFill>
                    <w14:schemeClr w14:val="tx1"/>
                  </w14:solidFill>
                </w14:textFill>
              </w:rPr>
              <w:t>符合</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“生态环境分区管控要求”</w:t>
            </w:r>
            <w:r>
              <w:rPr>
                <w:rFonts w:hint="eastAsia" w:ascii="Times New Roman" w:hAnsi="Times New Roman" w:eastAsia="宋体" w:cs="Times New Roman"/>
                <w:color w:val="000000" w:themeColor="text1"/>
                <w:sz w:val="24"/>
                <w:highlight w:val="none"/>
                <w:lang w:eastAsia="zh-CN"/>
                <w14:textFill>
                  <w14:solidFill>
                    <w14:schemeClr w14:val="tx1"/>
                  </w14:solidFill>
                </w14:textFill>
              </w:rPr>
              <w:t>，在采</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取相应的生态保护措施、污染治理措施后，</w:t>
            </w:r>
            <w:r>
              <w:rPr>
                <w:rFonts w:hint="default" w:ascii="Times New Roman" w:hAnsi="Times New Roman" w:eastAsia="宋体" w:cs="Times New Roman"/>
                <w:color w:val="000000" w:themeColor="text1"/>
                <w:sz w:val="24"/>
                <w:highlight w:val="none"/>
                <w14:textFill>
                  <w14:solidFill>
                    <w14:schemeClr w14:val="tx1"/>
                  </w14:solidFill>
                </w14:textFill>
              </w:rPr>
              <w:t>从环保角度分析，本项目选址可行。</w:t>
            </w:r>
          </w:p>
        </w:tc>
      </w:tr>
    </w:tbl>
    <w:p w14:paraId="30A861ED">
      <w:pPr>
        <w:spacing w:line="360" w:lineRule="auto"/>
        <w:outlineLvl w:val="0"/>
        <w:rPr>
          <w:rFonts w:eastAsia="黑体"/>
          <w:color w:val="000000" w:themeColor="text1"/>
          <w:sz w:val="30"/>
          <w:highlight w:val="none"/>
          <w14:textFill>
            <w14:solidFill>
              <w14:schemeClr w14:val="tx1"/>
            </w14:solidFill>
          </w14:textFill>
        </w:rPr>
        <w:sectPr>
          <w:footerReference r:id="rId4" w:type="default"/>
          <w:pgSz w:w="11906" w:h="16838"/>
          <w:pgMar w:top="1701" w:right="1531" w:bottom="1701" w:left="1531" w:header="851" w:footer="1077" w:gutter="0"/>
          <w:pgBorders>
            <w:top w:val="none" w:sz="0" w:space="0"/>
            <w:left w:val="none" w:sz="0" w:space="0"/>
            <w:bottom w:val="none" w:sz="0" w:space="0"/>
            <w:right w:val="none" w:sz="0" w:space="0"/>
          </w:pgBorders>
          <w:pgNumType w:start="1"/>
          <w:cols w:space="720" w:num="1"/>
          <w:docGrid w:linePitch="312" w:charSpace="0"/>
        </w:sectPr>
      </w:pPr>
    </w:p>
    <w:p w14:paraId="63131D5E">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0" w:firstLineChars="0"/>
        <w:jc w:val="center"/>
        <w:textAlignment w:val="auto"/>
        <w:outlineLvl w:val="0"/>
        <w:rPr>
          <w:rFonts w:hint="eastAsia" w:ascii="Times New Roman" w:hAnsi="Times New Roman" w:eastAsia="黑体" w:cs="Times New Roman"/>
          <w:snapToGrid w:val="0"/>
          <w:color w:val="000000" w:themeColor="text1"/>
          <w:sz w:val="30"/>
          <w:szCs w:val="30"/>
          <w:highlight w:val="none"/>
          <w14:textFill>
            <w14:solidFill>
              <w14:schemeClr w14:val="tx1"/>
            </w14:solidFill>
          </w14:textFill>
        </w:rPr>
      </w:pPr>
      <w:r>
        <w:rPr>
          <w:rFonts w:ascii="Times New Roman" w:hAnsi="Times New Roman" w:eastAsia="黑体" w:cs="Times New Roman"/>
          <w:snapToGrid w:val="0"/>
          <w:color w:val="000000" w:themeColor="text1"/>
          <w:sz w:val="30"/>
          <w:szCs w:val="30"/>
          <w:highlight w:val="none"/>
          <w14:textFill>
            <w14:solidFill>
              <w14:schemeClr w14:val="tx1"/>
            </w14:solidFill>
          </w14:textFill>
        </w:rPr>
        <w:t>二、</w:t>
      </w:r>
      <w:r>
        <w:rPr>
          <w:rFonts w:hint="eastAsia" w:ascii="Times New Roman" w:hAnsi="Times New Roman" w:eastAsia="黑体" w:cs="Times New Roman"/>
          <w:snapToGrid w:val="0"/>
          <w:color w:val="000000" w:themeColor="text1"/>
          <w:sz w:val="30"/>
          <w:szCs w:val="30"/>
          <w:highlight w:val="none"/>
          <w14:textFill>
            <w14:solidFill>
              <w14:schemeClr w14:val="tx1"/>
            </w14:solidFill>
          </w14:textFill>
        </w:rPr>
        <w:t>建设项目工程分析</w:t>
      </w:r>
    </w:p>
    <w:tbl>
      <w:tblPr>
        <w:tblStyle w:val="24"/>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55"/>
        <w:gridCol w:w="8605"/>
      </w:tblGrid>
      <w:tr w14:paraId="35B4AC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51" w:type="pct"/>
            <w:noWrap w:val="0"/>
            <w:vAlign w:val="center"/>
          </w:tcPr>
          <w:p w14:paraId="707A20E3">
            <w:pPr>
              <w:pStyle w:val="20"/>
              <w:adjustRightInd w:val="0"/>
              <w:snapToGrid w:val="0"/>
              <w:spacing w:before="0" w:beforeAutospacing="0" w:after="0" w:afterAutospacing="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Cs w:val="24"/>
                <w:highlight w:val="none"/>
                <w14:textFill>
                  <w14:solidFill>
                    <w14:schemeClr w14:val="tx1"/>
                  </w14:solidFill>
                </w14:textFill>
              </w:rPr>
              <w:t>建设内容</w:t>
            </w:r>
          </w:p>
        </w:tc>
        <w:tc>
          <w:tcPr>
            <w:tcW w:w="4748" w:type="pct"/>
            <w:noWrap w:val="0"/>
            <w:vAlign w:val="top"/>
          </w:tcPr>
          <w:p w14:paraId="61EA5923">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outlineLvl w:val="1"/>
              <w:rPr>
                <w:rFonts w:hint="default" w:ascii="Times New Roman" w:hAnsi="Times New Roman" w:eastAsia="宋体" w:cs="Times New Roman"/>
                <w:b/>
                <w:bCs/>
                <w:color w:val="000000" w:themeColor="text1"/>
                <w:sz w:val="24"/>
                <w:highlight w:val="none"/>
                <w14:textFill>
                  <w14:solidFill>
                    <w14:schemeClr w14:val="tx1"/>
                  </w14:solidFill>
                </w14:textFill>
              </w:rPr>
            </w:pPr>
            <w:r>
              <w:rPr>
                <w:rFonts w:hint="default" w:ascii="Times New Roman" w:hAnsi="Times New Roman" w:eastAsia="宋体" w:cs="Times New Roman"/>
                <w:b/>
                <w:bCs/>
                <w:color w:val="000000" w:themeColor="text1"/>
                <w:sz w:val="24"/>
                <w:highlight w:val="none"/>
                <w:lang w:eastAsia="zh-CN"/>
                <w14:textFill>
                  <w14:solidFill>
                    <w14:schemeClr w14:val="tx1"/>
                  </w14:solidFill>
                </w14:textFill>
              </w:rPr>
              <w:t>1.</w:t>
            </w:r>
            <w:r>
              <w:rPr>
                <w:rFonts w:hint="default" w:ascii="Times New Roman" w:hAnsi="Times New Roman" w:eastAsia="宋体" w:cs="Times New Roman"/>
                <w:b/>
                <w:bCs/>
                <w:snapToGrid w:val="0"/>
                <w:color w:val="000000" w:themeColor="text1"/>
                <w:kern w:val="0"/>
                <w:sz w:val="24"/>
                <w:highlight w:val="none"/>
                <w14:textFill>
                  <w14:solidFill>
                    <w14:schemeClr w14:val="tx1"/>
                  </w14:solidFill>
                </w14:textFill>
              </w:rPr>
              <w:t>工程组成</w:t>
            </w:r>
          </w:p>
          <w:p w14:paraId="1C1E8F2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lang w:eastAsia="zh-CN"/>
                <w14:textFill>
                  <w14:solidFill>
                    <w14:schemeClr w14:val="tx1"/>
                  </w14:solidFill>
                </w14:textFill>
              </w:rPr>
              <w:t>内蒙古伊东东晟新材料有限公司（以下简称“伊东东晟”）</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位于</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内蒙古鄂尔多斯准格尔经济开发区准格尔产业园</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该企业是伊东资源集团为拓展非金属材料及煤基高值化产品而设立的新兴企业。依托鄂尔多斯煤炭资源与技术整合能力，公司聚焦水泥制品制造、煤制活性炭及煤炭清洁加工领域，致力于成为区域资源综合利用产业链的关键环节。</w:t>
            </w:r>
          </w:p>
          <w:p w14:paraId="588A828E">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t>1.1项目由来</w:t>
            </w:r>
          </w:p>
          <w:p w14:paraId="7459D815">
            <w:pPr>
              <w:pStyle w:val="8"/>
              <w:keepNext w:val="0"/>
              <w:keepLines w:val="0"/>
              <w:pageBreakBefore w:val="0"/>
              <w:widowControl w:val="0"/>
              <w:kinsoku/>
              <w:wordWrap/>
              <w:overflowPunct/>
              <w:topLinePunct w:val="0"/>
              <w:autoSpaceDE/>
              <w:autoSpaceDN/>
              <w:bidi w:val="0"/>
              <w:adjustRightInd/>
              <w:snapToGrid/>
              <w:spacing w:line="360" w:lineRule="auto"/>
              <w:ind w:firstLine="500" w:firstLineChars="200"/>
              <w:jc w:val="both"/>
              <w:textAlignment w:val="auto"/>
              <w:rPr>
                <w:rFonts w:hint="default" w:ascii="Times New Roman" w:hAnsi="Times New Roman" w:eastAsia="宋体" w:cs="Times New Roman"/>
                <w:color w:val="000000" w:themeColor="text1"/>
                <w:spacing w:val="5"/>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5"/>
                <w:sz w:val="24"/>
                <w:szCs w:val="24"/>
                <w:highlight w:val="none"/>
                <w14:textFill>
                  <w14:solidFill>
                    <w14:schemeClr w14:val="tx1"/>
                  </w14:solidFill>
                </w14:textFill>
              </w:rPr>
              <w:t>近年来，自治区出台了《内蒙古自治区固体废物污染环境防治条例》《内蒙古自治区党委自治区人民政府关于全面推进美丽内蒙古建设的实施意见》《关于建设我国北方重要生态安全屏障的实施方案》《关于建立落实〈国务院办公厅关于加快构建废弃物循环利用体系的意见〉工作推进机制及细化措施实施方案》等一系列政策，支持和引导涵盖粉煤灰和煤矸石源头减量、生态修复、循环利用等项目落地实施。</w:t>
            </w:r>
          </w:p>
          <w:p w14:paraId="08A98682">
            <w:pPr>
              <w:pStyle w:val="8"/>
              <w:keepNext w:val="0"/>
              <w:keepLines w:val="0"/>
              <w:pageBreakBefore w:val="0"/>
              <w:widowControl w:val="0"/>
              <w:kinsoku/>
              <w:wordWrap/>
              <w:overflowPunct/>
              <w:topLinePunct w:val="0"/>
              <w:autoSpaceDE/>
              <w:autoSpaceDN/>
              <w:bidi w:val="0"/>
              <w:adjustRightInd/>
              <w:snapToGrid/>
              <w:spacing w:line="360" w:lineRule="auto"/>
              <w:ind w:firstLine="500" w:firstLineChars="200"/>
              <w:jc w:val="both"/>
              <w:textAlignment w:val="auto"/>
              <w:rPr>
                <w:rFonts w:hint="default" w:ascii="Times New Roman" w:hAnsi="Times New Roman" w:eastAsia="宋体" w:cs="Times New Roman"/>
                <w:color w:val="000000" w:themeColor="text1"/>
                <w:spacing w:val="5"/>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5"/>
                <w:sz w:val="24"/>
                <w:szCs w:val="24"/>
                <w:highlight w:val="none"/>
                <w14:textFill>
                  <w14:solidFill>
                    <w14:schemeClr w14:val="tx1"/>
                  </w14:solidFill>
                </w14:textFill>
              </w:rPr>
              <w:t>2021年12月，生态环境部等18个部门联合印发《“十四五”时期“无废城市”建设工作方案》，提出在“十四五”时期推动100个左右地级及以上城市开展“无废城市”建设。2022年4月，生态环境部公布“十四五”时期“无废城市”建设名单，</w:t>
            </w:r>
            <w:r>
              <w:rPr>
                <w:rFonts w:hint="default" w:ascii="Times New Roman" w:hAnsi="Times New Roman" w:eastAsia="宋体" w:cs="Times New Roman"/>
                <w:color w:val="000000" w:themeColor="text1"/>
                <w:spacing w:val="5"/>
                <w:sz w:val="24"/>
                <w:szCs w:val="24"/>
                <w:highlight w:val="none"/>
                <w:lang w:val="en-US" w:eastAsia="zh-CN"/>
                <w14:textFill>
                  <w14:solidFill>
                    <w14:schemeClr w14:val="tx1"/>
                  </w14:solidFill>
                </w14:textFill>
              </w:rPr>
              <w:t>呼和浩特市</w:t>
            </w:r>
            <w:r>
              <w:rPr>
                <w:rFonts w:hint="default" w:ascii="Times New Roman" w:hAnsi="Times New Roman" w:eastAsia="宋体" w:cs="Times New Roman"/>
                <w:color w:val="000000" w:themeColor="text1"/>
                <w:spacing w:val="5"/>
                <w:sz w:val="24"/>
                <w:szCs w:val="24"/>
                <w:highlight w:val="none"/>
                <w14:textFill>
                  <w14:solidFill>
                    <w14:schemeClr w14:val="tx1"/>
                  </w14:solidFill>
                </w14:textFill>
              </w:rPr>
              <w:t>、包头市、鄂尔多斯市成功入选。“无废城市”建设是一项系统工程，需要建立政府主导、部门齐抓共管、企业主体、市民践行的运行机制，</w:t>
            </w:r>
            <w:r>
              <w:rPr>
                <w:rFonts w:hint="default" w:ascii="Times New Roman" w:hAnsi="Times New Roman" w:cs="Times New Roman"/>
                <w:color w:val="000000" w:themeColor="text1"/>
                <w:spacing w:val="5"/>
                <w:sz w:val="24"/>
                <w:szCs w:val="24"/>
                <w:highlight w:val="none"/>
                <w:lang w:eastAsia="zh-CN"/>
                <w14:textFill>
                  <w14:solidFill>
                    <w14:schemeClr w14:val="tx1"/>
                  </w14:solidFill>
                </w14:textFill>
              </w:rPr>
              <w:t>切实</w:t>
            </w:r>
            <w:r>
              <w:rPr>
                <w:rFonts w:hint="default" w:ascii="Times New Roman" w:hAnsi="Times New Roman" w:eastAsia="宋体" w:cs="Times New Roman"/>
                <w:color w:val="000000" w:themeColor="text1"/>
                <w:spacing w:val="5"/>
                <w:sz w:val="24"/>
                <w:szCs w:val="24"/>
                <w:highlight w:val="none"/>
                <w14:textFill>
                  <w14:solidFill>
                    <w14:schemeClr w14:val="tx1"/>
                  </w14:solidFill>
                </w14:textFill>
              </w:rPr>
              <w:t>凝聚各方共识，强化要素集聚，形成工作合力。内蒙古自治区生态环境厅充分发挥行业主管部门作用，指导</w:t>
            </w:r>
            <w:r>
              <w:rPr>
                <w:rFonts w:hint="default" w:ascii="Times New Roman" w:hAnsi="Times New Roman" w:eastAsia="宋体" w:cs="Times New Roman"/>
                <w:color w:val="000000" w:themeColor="text1"/>
                <w:spacing w:val="5"/>
                <w:sz w:val="24"/>
                <w:szCs w:val="24"/>
                <w:highlight w:val="none"/>
                <w:lang w:eastAsia="zh-CN"/>
                <w14:textFill>
                  <w14:solidFill>
                    <w14:schemeClr w14:val="tx1"/>
                  </w14:solidFill>
                </w14:textFill>
              </w:rPr>
              <w:t>鄂尔多斯市</w:t>
            </w:r>
            <w:r>
              <w:rPr>
                <w:rFonts w:hint="default" w:ascii="Times New Roman" w:hAnsi="Times New Roman" w:eastAsia="宋体" w:cs="Times New Roman"/>
                <w:color w:val="000000" w:themeColor="text1"/>
                <w:spacing w:val="5"/>
                <w:sz w:val="24"/>
                <w:szCs w:val="24"/>
                <w:highlight w:val="none"/>
                <w14:textFill>
                  <w14:solidFill>
                    <w14:schemeClr w14:val="tx1"/>
                  </w14:solidFill>
                </w14:textFill>
              </w:rPr>
              <w:t>、</w:t>
            </w:r>
            <w:r>
              <w:rPr>
                <w:rFonts w:hint="eastAsia" w:ascii="Times New Roman" w:hAnsi="Times New Roman" w:cs="Times New Roman"/>
                <w:color w:val="000000" w:themeColor="text1"/>
                <w:spacing w:val="5"/>
                <w:sz w:val="24"/>
                <w:szCs w:val="24"/>
                <w:highlight w:val="none"/>
                <w:lang w:eastAsia="zh-CN"/>
                <w14:textFill>
                  <w14:solidFill>
                    <w14:schemeClr w14:val="tx1"/>
                  </w14:solidFill>
                </w14:textFill>
              </w:rPr>
              <w:t>包头市</w:t>
            </w:r>
            <w:r>
              <w:rPr>
                <w:rFonts w:hint="default" w:ascii="Times New Roman" w:hAnsi="Times New Roman" w:eastAsia="宋体" w:cs="Times New Roman"/>
                <w:color w:val="000000" w:themeColor="text1"/>
                <w:spacing w:val="5"/>
                <w:sz w:val="24"/>
                <w:szCs w:val="24"/>
                <w:highlight w:val="none"/>
                <w14:textFill>
                  <w14:solidFill>
                    <w14:schemeClr w14:val="tx1"/>
                  </w14:solidFill>
                </w14:textFill>
              </w:rPr>
              <w:t>分别制定“十四五”时期“无废城市”建设实施方案，印发《内蒙古自治区“十四五”时期“无废城市”建设工作厅际联席会议制度》，明确相关职能部门责任，强化政策联动、沟通会商、信息共享，督促指导将“无废城市”建设与打好污染防治攻坚战、减污降碳协同增效相融合，加快推进城市绿色低碳转型，以高水平保护推动城市高质量发展、创造高质量生活。</w:t>
            </w:r>
          </w:p>
          <w:p w14:paraId="36AC0ED4">
            <w:pPr>
              <w:pStyle w:val="8"/>
              <w:keepNext w:val="0"/>
              <w:keepLines w:val="0"/>
              <w:pageBreakBefore w:val="0"/>
              <w:widowControl w:val="0"/>
              <w:kinsoku/>
              <w:wordWrap/>
              <w:overflowPunct/>
              <w:topLinePunct w:val="0"/>
              <w:autoSpaceDE/>
              <w:autoSpaceDN/>
              <w:bidi w:val="0"/>
              <w:adjustRightInd/>
              <w:snapToGrid/>
              <w:spacing w:line="360" w:lineRule="auto"/>
              <w:ind w:firstLine="500" w:firstLineChars="200"/>
              <w:jc w:val="both"/>
              <w:textAlignment w:val="auto"/>
              <w:rPr>
                <w:rFonts w:hint="default" w:ascii="Times New Roman" w:hAnsi="Times New Roman" w:eastAsia="宋体" w:cs="Times New Roman"/>
                <w:color w:val="000000" w:themeColor="text1"/>
                <w:spacing w:val="5"/>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5"/>
                <w:sz w:val="24"/>
                <w:szCs w:val="24"/>
                <w:highlight w:val="none"/>
                <w14:textFill>
                  <w14:solidFill>
                    <w14:schemeClr w14:val="tx1"/>
                  </w14:solidFill>
                </w14:textFill>
              </w:rPr>
              <w:t>内蒙古伊东东晟新材料有限公司通过本项目的实施，积极响应国家“无废城市”建设，进一步适应市场需求，满足周边地区建设要求，发挥公司优势，促进当地经济发展，同时扩大了自身规模，必将进一步提高企业经济效益。</w:t>
            </w:r>
          </w:p>
          <w:p w14:paraId="525711DD">
            <w:pPr>
              <w:pStyle w:val="8"/>
              <w:keepNext w:val="0"/>
              <w:keepLines w:val="0"/>
              <w:pageBreakBefore w:val="0"/>
              <w:widowControl w:val="0"/>
              <w:kinsoku/>
              <w:wordWrap/>
              <w:overflowPunct/>
              <w:topLinePunct w:val="0"/>
              <w:autoSpaceDE/>
              <w:autoSpaceDN/>
              <w:bidi w:val="0"/>
              <w:adjustRightInd/>
              <w:snapToGrid/>
              <w:spacing w:line="360" w:lineRule="auto"/>
              <w:ind w:firstLine="500" w:firstLineChars="200"/>
              <w:jc w:val="both"/>
              <w:textAlignment w:val="auto"/>
              <w:rPr>
                <w:rFonts w:hint="default" w:ascii="Times New Roman" w:hAnsi="Times New Roman" w:eastAsia="宋体" w:cs="Times New Roman"/>
                <w:color w:val="000000" w:themeColor="text1"/>
                <w:spacing w:val="5"/>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5"/>
                <w:sz w:val="24"/>
                <w:szCs w:val="24"/>
                <w:highlight w:val="none"/>
                <w14:textFill>
                  <w14:solidFill>
                    <w14:schemeClr w14:val="tx1"/>
                  </w14:solidFill>
                </w14:textFill>
              </w:rPr>
              <w:t>本项目的实施符合目标市场的产品需求，符合行业、地方的规划发展要求。</w:t>
            </w:r>
          </w:p>
          <w:p w14:paraId="3724D343">
            <w:pPr>
              <w:pStyle w:val="8"/>
              <w:keepNext w:val="0"/>
              <w:keepLines w:val="0"/>
              <w:pageBreakBefore w:val="0"/>
              <w:widowControl w:val="0"/>
              <w:kinsoku/>
              <w:wordWrap/>
              <w:overflowPunct/>
              <w:topLinePunct w:val="0"/>
              <w:autoSpaceDE/>
              <w:autoSpaceDN/>
              <w:bidi w:val="0"/>
              <w:adjustRightInd/>
              <w:snapToGrid/>
              <w:spacing w:line="360" w:lineRule="auto"/>
              <w:ind w:firstLine="488" w:firstLineChars="200"/>
              <w:jc w:val="both"/>
              <w:textAlignment w:val="auto"/>
              <w:rPr>
                <w:rFonts w:hint="default" w:ascii="Times New Roman" w:hAnsi="Times New Roman" w:eastAsia="宋体" w:cs="Times New Roman"/>
                <w:color w:val="000000" w:themeColor="text1"/>
                <w:spacing w:val="2"/>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2"/>
                <w:sz w:val="24"/>
                <w:szCs w:val="24"/>
                <w:highlight w:val="none"/>
                <w14:textFill>
                  <w14:solidFill>
                    <w14:schemeClr w14:val="tx1"/>
                  </w14:solidFill>
                </w14:textFill>
              </w:rPr>
              <w:t>本项目</w:t>
            </w:r>
            <w:r>
              <w:rPr>
                <w:rFonts w:hint="default" w:ascii="Times New Roman" w:hAnsi="Times New Roman" w:eastAsia="宋体" w:cs="Times New Roman"/>
                <w:color w:val="000000" w:themeColor="text1"/>
                <w:spacing w:val="2"/>
                <w:sz w:val="24"/>
                <w:szCs w:val="24"/>
                <w:highlight w:val="none"/>
                <w:lang w:val="en-US" w:eastAsia="zh-CN"/>
                <w14:textFill>
                  <w14:solidFill>
                    <w14:schemeClr w14:val="tx1"/>
                  </w14:solidFill>
                </w14:textFill>
              </w:rPr>
              <w:t>以厂区东侧</w:t>
            </w:r>
            <w:r>
              <w:rPr>
                <w:rFonts w:hint="default" w:ascii="Times New Roman" w:hAnsi="Times New Roman" w:eastAsia="宋体" w:cs="Times New Roman"/>
                <w:color w:val="000000" w:themeColor="text1"/>
                <w:sz w:val="24"/>
                <w:highlight w:val="none"/>
                <w14:textFill>
                  <w14:solidFill>
                    <w14:schemeClr w14:val="tx1"/>
                  </w14:solidFill>
                </w14:textFill>
              </w:rPr>
              <w:t>内蒙古伊东</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高</w:t>
            </w:r>
            <w:r>
              <w:rPr>
                <w:rFonts w:hint="default" w:ascii="Times New Roman" w:hAnsi="Times New Roman" w:eastAsia="宋体" w:cs="Times New Roman"/>
                <w:color w:val="000000" w:themeColor="text1"/>
                <w:sz w:val="24"/>
                <w:highlight w:val="none"/>
                <w14:textFill>
                  <w14:solidFill>
                    <w14:schemeClr w14:val="tx1"/>
                  </w14:solidFill>
                </w14:textFill>
              </w:rPr>
              <w:t>新材料有限公司</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生产的</w:t>
            </w:r>
            <w:r>
              <w:rPr>
                <w:rFonts w:hint="default" w:ascii="Times New Roman" w:hAnsi="Times New Roman" w:cs="Times New Roman"/>
                <w:color w:val="000000" w:themeColor="text1"/>
                <w:spacing w:val="2"/>
                <w:sz w:val="24"/>
                <w:szCs w:val="24"/>
                <w:highlight w:val="none"/>
                <w:lang w:val="en-US" w:eastAsia="zh-CN"/>
                <w14:textFill>
                  <w14:solidFill>
                    <w14:schemeClr w14:val="tx1"/>
                  </w14:solidFill>
                </w14:textFill>
              </w:rPr>
              <w:t>产品</w:t>
            </w:r>
            <w:r>
              <w:rPr>
                <w:rFonts w:hint="default" w:ascii="Times New Roman" w:hAnsi="Times New Roman" w:eastAsia="宋体" w:cs="Times New Roman"/>
                <w:color w:val="000000" w:themeColor="text1"/>
                <w:spacing w:val="2"/>
                <w:sz w:val="24"/>
                <w:szCs w:val="24"/>
                <w:highlight w:val="none"/>
                <w:lang w:val="en-US" w:eastAsia="zh-CN"/>
                <w14:textFill>
                  <w14:solidFill>
                    <w14:schemeClr w14:val="tx1"/>
                  </w14:solidFill>
                </w14:textFill>
              </w:rPr>
              <w:t>为原料</w:t>
            </w:r>
            <w:r>
              <w:rPr>
                <w:rFonts w:hint="default" w:ascii="Times New Roman" w:hAnsi="Times New Roman" w:eastAsia="宋体" w:cs="Times New Roman"/>
                <w:color w:val="000000" w:themeColor="text1"/>
                <w:spacing w:val="2"/>
                <w:sz w:val="24"/>
                <w:szCs w:val="24"/>
                <w:highlight w:val="none"/>
                <w14:textFill>
                  <w14:solidFill>
                    <w14:schemeClr w14:val="tx1"/>
                  </w14:solidFill>
                </w14:textFill>
              </w:rPr>
              <w:t>，</w:t>
            </w:r>
            <w:r>
              <w:rPr>
                <w:rFonts w:hint="default" w:ascii="Times New Roman" w:hAnsi="Times New Roman" w:eastAsia="宋体" w:cs="Times New Roman"/>
                <w:color w:val="000000" w:themeColor="text1"/>
                <w:spacing w:val="2"/>
                <w:sz w:val="24"/>
                <w:szCs w:val="24"/>
                <w:highlight w:val="none"/>
                <w:lang w:val="en-US" w:eastAsia="zh-CN"/>
                <w14:textFill>
                  <w14:solidFill>
                    <w14:schemeClr w14:val="tx1"/>
                  </w14:solidFill>
                </w14:textFill>
              </w:rPr>
              <w:t>采</w:t>
            </w:r>
            <w:r>
              <w:rPr>
                <w:rFonts w:hint="default" w:ascii="Times New Roman" w:hAnsi="Times New Roman" w:eastAsia="宋体" w:cs="Times New Roman"/>
                <w:color w:val="000000" w:themeColor="text1"/>
                <w:sz w:val="24"/>
                <w:highlight w:val="none"/>
                <w14:textFill>
                  <w14:solidFill>
                    <w14:schemeClr w14:val="tx1"/>
                  </w14:solidFill>
                </w14:textFill>
              </w:rPr>
              <w:t>用四级预热器+悬浮炉＋回转窑焙烧＋高温粉体对流式急冷换热装置制备煤矸石悬浮脱碳煅烧高活性高岭土生产工艺</w:t>
            </w:r>
            <w:r>
              <w:rPr>
                <w:rFonts w:hint="default" w:ascii="Times New Roman" w:hAnsi="Times New Roman" w:eastAsia="宋体" w:cs="Times New Roman"/>
                <w:color w:val="000000" w:themeColor="text1"/>
                <w:spacing w:val="2"/>
                <w:sz w:val="24"/>
                <w:szCs w:val="24"/>
                <w:highlight w:val="none"/>
                <w14:textFill>
                  <w14:solidFill>
                    <w14:schemeClr w14:val="tx1"/>
                  </w14:solidFill>
                </w14:textFill>
              </w:rPr>
              <w:t>选出</w:t>
            </w:r>
            <w:r>
              <w:rPr>
                <w:rFonts w:hint="default" w:ascii="Times New Roman" w:hAnsi="Times New Roman" w:eastAsia="宋体" w:cs="Times New Roman"/>
                <w:color w:val="000000" w:themeColor="text1"/>
                <w:spacing w:val="2"/>
                <w:sz w:val="24"/>
                <w:szCs w:val="24"/>
                <w:highlight w:val="none"/>
                <w:lang w:val="en-US" w:eastAsia="zh-CN"/>
                <w14:textFill>
                  <w14:solidFill>
                    <w14:schemeClr w14:val="tx1"/>
                  </w14:solidFill>
                </w14:textFill>
              </w:rPr>
              <w:t>高活性</w:t>
            </w:r>
            <w:r>
              <w:rPr>
                <w:rFonts w:hint="default" w:ascii="Times New Roman" w:hAnsi="Times New Roman" w:eastAsia="宋体" w:cs="Times New Roman"/>
                <w:color w:val="000000" w:themeColor="text1"/>
                <w:spacing w:val="2"/>
                <w:sz w:val="24"/>
                <w:szCs w:val="24"/>
                <w:highlight w:val="none"/>
                <w14:textFill>
                  <w14:solidFill>
                    <w14:schemeClr w14:val="tx1"/>
                  </w14:solidFill>
                </w14:textFill>
              </w:rPr>
              <w:t>高岭土</w:t>
            </w:r>
            <w:r>
              <w:rPr>
                <w:rFonts w:hint="default" w:ascii="Times New Roman" w:hAnsi="Times New Roman" w:eastAsia="宋体" w:cs="Times New Roman"/>
                <w:color w:val="000000" w:themeColor="text1"/>
                <w:spacing w:val="2"/>
                <w:sz w:val="24"/>
                <w:szCs w:val="24"/>
                <w:highlight w:val="none"/>
                <w:lang w:val="en-US" w:eastAsia="zh-CN"/>
                <w14:textFill>
                  <w14:solidFill>
                    <w14:schemeClr w14:val="tx1"/>
                  </w14:solidFill>
                </w14:textFill>
              </w:rPr>
              <w:t>外售</w:t>
            </w:r>
            <w:r>
              <w:rPr>
                <w:rFonts w:hint="default" w:ascii="Times New Roman" w:hAnsi="Times New Roman" w:eastAsia="宋体" w:cs="Times New Roman"/>
                <w:color w:val="000000" w:themeColor="text1"/>
                <w:spacing w:val="2"/>
                <w:sz w:val="24"/>
                <w:szCs w:val="24"/>
                <w:highlight w:val="none"/>
                <w14:textFill>
                  <w14:solidFill>
                    <w14:schemeClr w14:val="tx1"/>
                  </w14:solidFill>
                </w14:textFill>
              </w:rPr>
              <w:t>。</w:t>
            </w:r>
            <w:r>
              <w:rPr>
                <w:rFonts w:hint="default" w:ascii="Times New Roman" w:hAnsi="Times New Roman" w:eastAsia="宋体" w:cs="Times New Roman"/>
                <w:color w:val="000000" w:themeColor="text1"/>
                <w:spacing w:val="2"/>
                <w:sz w:val="24"/>
                <w:szCs w:val="24"/>
                <w:highlight w:val="none"/>
                <w:lang w:val="en-US" w:eastAsia="zh-CN"/>
                <w14:textFill>
                  <w14:solidFill>
                    <w14:schemeClr w14:val="tx1"/>
                  </w14:solidFill>
                </w14:textFill>
              </w:rPr>
              <w:t>本项目</w:t>
            </w:r>
            <w:r>
              <w:rPr>
                <w:rFonts w:hint="default" w:ascii="Times New Roman" w:hAnsi="Times New Roman" w:eastAsia="宋体" w:cs="Times New Roman"/>
                <w:color w:val="000000" w:themeColor="text1"/>
                <w:spacing w:val="2"/>
                <w:sz w:val="24"/>
                <w:szCs w:val="24"/>
                <w:highlight w:val="none"/>
                <w14:textFill>
                  <w14:solidFill>
                    <w14:schemeClr w14:val="tx1"/>
                  </w14:solidFill>
                </w14:textFill>
              </w:rPr>
              <w:t>有效缓</w:t>
            </w:r>
            <w:r>
              <w:rPr>
                <w:rFonts w:hint="default" w:ascii="Times New Roman" w:hAnsi="Times New Roman" w:eastAsia="宋体" w:cs="Times New Roman"/>
                <w:color w:val="000000" w:themeColor="text1"/>
                <w:spacing w:val="2"/>
                <w:sz w:val="24"/>
                <w:szCs w:val="24"/>
                <w:highlight w:val="none"/>
                <w:lang w:eastAsia="zh-CN"/>
                <w14:textFill>
                  <w14:solidFill>
                    <w14:schemeClr w14:val="tx1"/>
                  </w14:solidFill>
                </w14:textFill>
              </w:rPr>
              <w:t>解了</w:t>
            </w:r>
            <w:r>
              <w:rPr>
                <w:rFonts w:hint="default" w:ascii="Times New Roman" w:hAnsi="Times New Roman" w:eastAsia="宋体" w:cs="Times New Roman"/>
                <w:color w:val="000000" w:themeColor="text1"/>
                <w:spacing w:val="2"/>
                <w:sz w:val="24"/>
                <w:szCs w:val="24"/>
                <w:highlight w:val="none"/>
                <w:lang w:val="en-US" w:eastAsia="zh-CN"/>
                <w14:textFill>
                  <w14:solidFill>
                    <w14:schemeClr w14:val="tx1"/>
                  </w14:solidFill>
                </w14:textFill>
              </w:rPr>
              <w:t>准格尔旗</w:t>
            </w:r>
            <w:r>
              <w:rPr>
                <w:rFonts w:hint="default" w:ascii="Times New Roman" w:hAnsi="Times New Roman" w:eastAsia="宋体" w:cs="Times New Roman"/>
                <w:color w:val="000000" w:themeColor="text1"/>
                <w:spacing w:val="2"/>
                <w:sz w:val="24"/>
                <w:szCs w:val="24"/>
                <w:highlight w:val="none"/>
                <w14:textFill>
                  <w14:solidFill>
                    <w14:schemeClr w14:val="tx1"/>
                  </w14:solidFill>
                </w14:textFill>
              </w:rPr>
              <w:t>面临的填埋处置占用土地资源等困境，能够推动煤基固</w:t>
            </w:r>
            <w:r>
              <w:rPr>
                <w:rFonts w:hint="default" w:ascii="Times New Roman" w:hAnsi="Times New Roman" w:eastAsia="宋体" w:cs="Times New Roman"/>
                <w:color w:val="000000" w:themeColor="text1"/>
                <w:spacing w:val="2"/>
                <w:sz w:val="24"/>
                <w:szCs w:val="24"/>
                <w:highlight w:val="none"/>
                <w:lang w:eastAsia="zh-CN"/>
                <w14:textFill>
                  <w14:solidFill>
                    <w14:schemeClr w14:val="tx1"/>
                  </w14:solidFill>
                </w14:textFill>
              </w:rPr>
              <w:t>废资</w:t>
            </w:r>
            <w:r>
              <w:rPr>
                <w:rFonts w:hint="default" w:ascii="Times New Roman" w:hAnsi="Times New Roman" w:eastAsia="宋体" w:cs="Times New Roman"/>
                <w:color w:val="000000" w:themeColor="text1"/>
                <w:spacing w:val="2"/>
                <w:sz w:val="24"/>
                <w:szCs w:val="24"/>
                <w:highlight w:val="none"/>
                <w14:textFill>
                  <w14:solidFill>
                    <w14:schemeClr w14:val="tx1"/>
                  </w14:solidFill>
                </w14:textFill>
              </w:rPr>
              <w:t>源化综合利用步伐，助力提高一般工业固废综合利用水平，对于打造煤基固废综合利用循环产业链极为必要。</w:t>
            </w:r>
          </w:p>
          <w:p w14:paraId="3FE1DFB3">
            <w:pPr>
              <w:pStyle w:val="8"/>
              <w:keepNext w:val="0"/>
              <w:keepLines w:val="0"/>
              <w:pageBreakBefore w:val="0"/>
              <w:widowControl w:val="0"/>
              <w:kinsoku/>
              <w:wordWrap/>
              <w:overflowPunct/>
              <w:topLinePunct w:val="0"/>
              <w:autoSpaceDE/>
              <w:autoSpaceDN/>
              <w:bidi w:val="0"/>
              <w:adjustRightInd/>
              <w:snapToGrid/>
              <w:spacing w:line="360" w:lineRule="auto"/>
              <w:ind w:firstLine="488" w:firstLineChars="200"/>
              <w:jc w:val="both"/>
              <w:textAlignment w:val="auto"/>
              <w:rPr>
                <w:rFonts w:hint="default" w:ascii="Times New Roman" w:hAnsi="Times New Roman" w:eastAsia="宋体" w:cs="Times New Roman"/>
                <w:color w:val="000000" w:themeColor="text1"/>
                <w:spacing w:val="2"/>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2"/>
                <w:sz w:val="24"/>
                <w:szCs w:val="24"/>
                <w:highlight w:val="none"/>
                <w14:textFill>
                  <w14:solidFill>
                    <w14:schemeClr w14:val="tx1"/>
                  </w14:solidFill>
                </w14:textFill>
              </w:rPr>
              <w:t>按照《中华人民共和国环境保护法</w:t>
            </w:r>
            <w:r>
              <w:rPr>
                <w:rFonts w:hint="default" w:ascii="Times New Roman" w:hAnsi="Times New Roman" w:eastAsia="宋体" w:cs="Times New Roman"/>
                <w:color w:val="000000" w:themeColor="text1"/>
                <w:spacing w:val="2"/>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2"/>
                <w:sz w:val="24"/>
                <w:szCs w:val="24"/>
                <w:highlight w:val="none"/>
                <w14:textFill>
                  <w14:solidFill>
                    <w14:schemeClr w14:val="tx1"/>
                  </w14:solidFill>
                </w14:textFill>
              </w:rPr>
              <w:t>中华人民共和国环境影响评价法》和《建设项目环境保护管理条例》的相关规定，该项目应进行环境影响评价。对照《建设项目环境影响评价分类管理名录（2021版）》，项目属于“四十七、生态保护和环境治理业—103、一般工业固体废物（含污水处理污泥）、建筑施工废弃物处置及综合利用—其他类别</w:t>
            </w:r>
            <w:r>
              <w:rPr>
                <w:rFonts w:hint="default" w:ascii="Times New Roman" w:hAnsi="Times New Roman" w:cs="Times New Roman"/>
                <w:color w:val="000000" w:themeColor="text1"/>
                <w:spacing w:val="2"/>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pacing w:val="2"/>
                <w:sz w:val="24"/>
                <w:szCs w:val="24"/>
                <w:highlight w:val="none"/>
                <w14:textFill>
                  <w14:solidFill>
                    <w14:schemeClr w14:val="tx1"/>
                  </w14:solidFill>
                </w14:textFill>
              </w:rPr>
              <w:t>类别，应编制环境影响报告表。202</w:t>
            </w:r>
            <w:r>
              <w:rPr>
                <w:rFonts w:hint="default" w:ascii="Times New Roman" w:hAnsi="Times New Roman" w:eastAsia="宋体" w:cs="Times New Roman"/>
                <w:color w:val="000000" w:themeColor="text1"/>
                <w:spacing w:val="2"/>
                <w:sz w:val="24"/>
                <w:szCs w:val="24"/>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pacing w:val="2"/>
                <w:sz w:val="24"/>
                <w:szCs w:val="24"/>
                <w:highlight w:val="none"/>
                <w14:textFill>
                  <w14:solidFill>
                    <w14:schemeClr w14:val="tx1"/>
                  </w14:solidFill>
                </w14:textFill>
              </w:rPr>
              <w:t>年</w:t>
            </w:r>
            <w:r>
              <w:rPr>
                <w:rFonts w:hint="default" w:ascii="Times New Roman" w:hAnsi="Times New Roman" w:eastAsia="宋体" w:cs="Times New Roman"/>
                <w:color w:val="000000" w:themeColor="text1"/>
                <w:spacing w:val="2"/>
                <w:sz w:val="24"/>
                <w:szCs w:val="24"/>
                <w:highlight w:val="none"/>
                <w:lang w:val="en-US" w:eastAsia="zh-CN"/>
                <w14:textFill>
                  <w14:solidFill>
                    <w14:schemeClr w14:val="tx1"/>
                  </w14:solidFill>
                </w14:textFill>
              </w:rPr>
              <w:t>1</w:t>
            </w:r>
            <w:r>
              <w:rPr>
                <w:rFonts w:hint="default" w:ascii="Times New Roman" w:hAnsi="Times New Roman" w:eastAsia="宋体" w:cs="Times New Roman"/>
                <w:color w:val="000000" w:themeColor="text1"/>
                <w:spacing w:val="2"/>
                <w:sz w:val="24"/>
                <w:szCs w:val="24"/>
                <w:highlight w:val="none"/>
                <w14:textFill>
                  <w14:solidFill>
                    <w14:schemeClr w14:val="tx1"/>
                  </w14:solidFill>
                </w14:textFill>
              </w:rPr>
              <w:t>1月，</w:t>
            </w:r>
            <w:r>
              <w:rPr>
                <w:rFonts w:hint="default" w:ascii="Times New Roman" w:hAnsi="Times New Roman" w:eastAsia="宋体" w:cs="Times New Roman"/>
                <w:color w:val="000000" w:themeColor="text1"/>
                <w:sz w:val="24"/>
                <w:highlight w:val="none"/>
                <w14:textFill>
                  <w14:solidFill>
                    <w14:schemeClr w14:val="tx1"/>
                  </w14:solidFill>
                </w14:textFill>
              </w:rPr>
              <w:t>内蒙古伊东东晟新材料有限公司</w:t>
            </w:r>
            <w:r>
              <w:rPr>
                <w:rFonts w:hint="default" w:ascii="Times New Roman" w:hAnsi="Times New Roman" w:eastAsia="宋体" w:cs="Times New Roman"/>
                <w:color w:val="000000" w:themeColor="text1"/>
                <w:spacing w:val="2"/>
                <w:sz w:val="24"/>
                <w:szCs w:val="24"/>
                <w:highlight w:val="none"/>
                <w14:textFill>
                  <w14:solidFill>
                    <w14:schemeClr w14:val="tx1"/>
                  </w14:solidFill>
                </w14:textFill>
              </w:rPr>
              <w:t>委托</w:t>
            </w:r>
            <w:r>
              <w:rPr>
                <w:rFonts w:hint="default" w:ascii="Times New Roman" w:hAnsi="Times New Roman" w:eastAsia="宋体" w:cs="Times New Roman"/>
                <w:color w:val="000000" w:themeColor="text1"/>
                <w:spacing w:val="2"/>
                <w:sz w:val="24"/>
                <w:szCs w:val="24"/>
                <w:highlight w:val="none"/>
                <w:lang w:val="en-US" w:eastAsia="zh-CN"/>
                <w14:textFill>
                  <w14:solidFill>
                    <w14:schemeClr w14:val="tx1"/>
                  </w14:solidFill>
                </w14:textFill>
              </w:rPr>
              <w:t>我</w:t>
            </w:r>
            <w:r>
              <w:rPr>
                <w:rFonts w:hint="default" w:ascii="Times New Roman" w:hAnsi="Times New Roman" w:eastAsia="宋体" w:cs="Times New Roman"/>
                <w:color w:val="000000" w:themeColor="text1"/>
                <w:spacing w:val="2"/>
                <w:sz w:val="24"/>
                <w:szCs w:val="24"/>
                <w:highlight w:val="none"/>
                <w14:textFill>
                  <w14:solidFill>
                    <w14:schemeClr w14:val="tx1"/>
                  </w14:solidFill>
                </w14:textFill>
              </w:rPr>
              <w:t>公司承担本报告表的编制工作。在接受委托后，我公司根据项目方提供的工程资料，结合项目的性质、特点以及该区域环境功能特征，通过实地调查、现场踏勘、资料收集，并依据相关法律法规和环评技术导则的要求，编制完成了《</w:t>
            </w:r>
            <w:r>
              <w:rPr>
                <w:rFonts w:hint="default" w:ascii="Times New Roman" w:hAnsi="Times New Roman" w:eastAsia="宋体" w:cs="Times New Roman"/>
                <w:color w:val="000000" w:themeColor="text1"/>
                <w:sz w:val="24"/>
                <w:highlight w:val="none"/>
                <w14:textFill>
                  <w14:solidFill>
                    <w14:schemeClr w14:val="tx1"/>
                  </w14:solidFill>
                </w14:textFill>
              </w:rPr>
              <w:t>内蒙古伊东东晟公司年产20万吨煤矸石煅烧高岭土项目</w:t>
            </w:r>
            <w:r>
              <w:rPr>
                <w:rFonts w:hint="default" w:ascii="Times New Roman" w:hAnsi="Times New Roman" w:eastAsia="宋体" w:cs="Times New Roman"/>
                <w:color w:val="000000" w:themeColor="text1"/>
                <w:spacing w:val="2"/>
                <w:sz w:val="24"/>
                <w:szCs w:val="24"/>
                <w:highlight w:val="none"/>
                <w14:textFill>
                  <w14:solidFill>
                    <w14:schemeClr w14:val="tx1"/>
                  </w14:solidFill>
                </w14:textFill>
              </w:rPr>
              <w:t>环境影响报告表》，现呈请生态环境部门审查。</w:t>
            </w:r>
          </w:p>
          <w:p w14:paraId="5E98F4D5">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4"/>
                <w:highlight w:val="none"/>
                <w14:textFill>
                  <w14:solidFill>
                    <w14:schemeClr w14:val="tx1"/>
                  </w14:solidFill>
                </w14:textFill>
              </w:rPr>
              <w:t>1.</w:t>
            </w:r>
            <w:r>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t>2项目概况</w:t>
            </w:r>
          </w:p>
          <w:p w14:paraId="57A144A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项目名称：内蒙古伊东东晟公司年产20万吨煤矸石煅烧高岭土项目</w:t>
            </w:r>
          </w:p>
          <w:p w14:paraId="5023A55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建设单位：内蒙古伊东东晟新材料有限公司</w:t>
            </w:r>
          </w:p>
          <w:p w14:paraId="4D954B2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建设性质：新建</w:t>
            </w:r>
          </w:p>
          <w:p w14:paraId="744D8C2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占地面积</w:t>
            </w:r>
            <w:r>
              <w:rPr>
                <w:rFonts w:hint="default" w:ascii="Times New Roman" w:hAnsi="Times New Roman" w:cs="Times New Roman"/>
                <w:color w:val="000000" w:themeColor="text1"/>
                <w:sz w:val="24"/>
                <w:highlight w:val="none"/>
                <w:lang w:eastAsia="zh-CN"/>
                <w14:textFill>
                  <w14:solidFill>
                    <w14:schemeClr w14:val="tx1"/>
                  </w14:solidFill>
                </w14:textFill>
              </w:rPr>
              <w:t>：</w:t>
            </w:r>
            <w:r>
              <w:rPr>
                <w:rFonts w:hint="default" w:ascii="Times New Roman" w:hAnsi="Times New Roman" w:cs="Times New Roman"/>
                <w:color w:val="000000" w:themeColor="text1"/>
                <w:sz w:val="24"/>
                <w:highlight w:val="none"/>
                <w:lang w:val="en-US" w:eastAsia="zh-CN"/>
                <w14:textFill>
                  <w14:solidFill>
                    <w14:schemeClr w14:val="tx1"/>
                  </w14:solidFill>
                </w14:textFill>
              </w:rPr>
              <w:t>35626.85</w:t>
            </w:r>
            <w:r>
              <w:rPr>
                <w:rFonts w:hint="default" w:ascii="Times New Roman" w:hAnsi="Times New Roman" w:eastAsia="宋体" w:cs="Times New Roman"/>
                <w:color w:val="000000" w:themeColor="text1"/>
                <w:sz w:val="24"/>
                <w:highlight w:val="none"/>
                <w14:textFill>
                  <w14:solidFill>
                    <w14:schemeClr w14:val="tx1"/>
                  </w14:solidFill>
                </w14:textFill>
              </w:rPr>
              <w:t>m</w:t>
            </w:r>
            <w:r>
              <w:rPr>
                <w:rFonts w:hint="default" w:ascii="Times New Roman" w:hAnsi="Times New Roman" w:eastAsia="宋体" w:cs="Times New Roman"/>
                <w:color w:val="000000" w:themeColor="text1"/>
                <w:sz w:val="24"/>
                <w:highlight w:val="none"/>
                <w:vertAlign w:val="superscript"/>
                <w14:textFill>
                  <w14:solidFill>
                    <w14:schemeClr w14:val="tx1"/>
                  </w14:solidFill>
                </w14:textFill>
              </w:rPr>
              <w:t>2</w:t>
            </w:r>
          </w:p>
          <w:p w14:paraId="7C32CA7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项目总投资：</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13014.3</w:t>
            </w:r>
            <w:r>
              <w:rPr>
                <w:rFonts w:hint="default" w:ascii="Times New Roman" w:hAnsi="Times New Roman" w:eastAsia="宋体" w:cs="Times New Roman"/>
                <w:color w:val="000000" w:themeColor="text1"/>
                <w:sz w:val="24"/>
                <w:highlight w:val="none"/>
                <w14:textFill>
                  <w14:solidFill>
                    <w14:schemeClr w14:val="tx1"/>
                  </w14:solidFill>
                </w14:textFill>
              </w:rPr>
              <w:t>万元，其中环保投资</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655.5</w:t>
            </w:r>
            <w:r>
              <w:rPr>
                <w:rFonts w:hint="default" w:ascii="Times New Roman" w:hAnsi="Times New Roman" w:eastAsia="宋体" w:cs="Times New Roman"/>
                <w:color w:val="000000" w:themeColor="text1"/>
                <w:sz w:val="24"/>
                <w:highlight w:val="none"/>
                <w14:textFill>
                  <w14:solidFill>
                    <w14:schemeClr w14:val="tx1"/>
                  </w14:solidFill>
                </w14:textFill>
              </w:rPr>
              <w:t>万元。</w:t>
            </w:r>
          </w:p>
          <w:p w14:paraId="172A66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建设时间：202</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6</w:t>
            </w:r>
            <w:r>
              <w:rPr>
                <w:rFonts w:hint="default" w:ascii="Times New Roman" w:hAnsi="Times New Roman" w:eastAsia="宋体" w:cs="Times New Roman"/>
                <w:color w:val="000000" w:themeColor="text1"/>
                <w:sz w:val="24"/>
                <w:highlight w:val="none"/>
                <w14:textFill>
                  <w14:solidFill>
                    <w14:schemeClr w14:val="tx1"/>
                  </w14:solidFill>
                </w14:textFill>
              </w:rPr>
              <w:t>年</w:t>
            </w:r>
            <w:r>
              <w:rPr>
                <w:rFonts w:hint="eastAsia" w:cs="Times New Roman"/>
                <w:color w:val="000000" w:themeColor="text1"/>
                <w:sz w:val="24"/>
                <w:highlight w:val="none"/>
                <w:lang w:val="en-US" w:eastAsia="zh-CN"/>
                <w14:textFill>
                  <w14:solidFill>
                    <w14:schemeClr w14:val="tx1"/>
                  </w14:solidFill>
                </w14:textFill>
              </w:rPr>
              <w:t>6</w:t>
            </w:r>
            <w:r>
              <w:rPr>
                <w:rFonts w:hint="default" w:ascii="Times New Roman" w:hAnsi="Times New Roman" w:eastAsia="宋体" w:cs="Times New Roman"/>
                <w:color w:val="000000" w:themeColor="text1"/>
                <w:sz w:val="24"/>
                <w:highlight w:val="none"/>
                <w14:textFill>
                  <w14:solidFill>
                    <w14:schemeClr w14:val="tx1"/>
                  </w14:solidFill>
                </w14:textFill>
              </w:rPr>
              <w:t>月</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202</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7</w:t>
            </w:r>
            <w:r>
              <w:rPr>
                <w:rFonts w:hint="default" w:ascii="Times New Roman" w:hAnsi="Times New Roman" w:eastAsia="宋体" w:cs="Times New Roman"/>
                <w:color w:val="000000" w:themeColor="text1"/>
                <w:sz w:val="24"/>
                <w:highlight w:val="none"/>
                <w14:textFill>
                  <w14:solidFill>
                    <w14:schemeClr w14:val="tx1"/>
                  </w14:solidFill>
                </w14:textFill>
              </w:rPr>
              <w:t>年</w:t>
            </w:r>
            <w:r>
              <w:rPr>
                <w:rFonts w:hint="eastAsia" w:cs="Times New Roman"/>
                <w:color w:val="000000" w:themeColor="text1"/>
                <w:sz w:val="24"/>
                <w:highlight w:val="none"/>
                <w:lang w:val="en-US" w:eastAsia="zh-CN"/>
                <w14:textFill>
                  <w14:solidFill>
                    <w14:schemeClr w14:val="tx1"/>
                  </w14:solidFill>
                </w14:textFill>
              </w:rPr>
              <w:t>6</w:t>
            </w:r>
            <w:r>
              <w:rPr>
                <w:rFonts w:hint="default" w:ascii="Times New Roman" w:hAnsi="Times New Roman" w:eastAsia="宋体" w:cs="Times New Roman"/>
                <w:color w:val="000000" w:themeColor="text1"/>
                <w:sz w:val="24"/>
                <w:highlight w:val="none"/>
                <w14:textFill>
                  <w14:solidFill>
                    <w14:schemeClr w14:val="tx1"/>
                  </w14:solidFill>
                </w14:textFill>
              </w:rPr>
              <w:t>月。</w:t>
            </w:r>
          </w:p>
          <w:p w14:paraId="7EEBDA3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建设地点：</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内蒙古鄂尔多斯准格尔经济开发区准格尔产业园</w:t>
            </w:r>
            <w:r>
              <w:rPr>
                <w:rFonts w:hint="default" w:ascii="Times New Roman" w:hAnsi="Times New Roman" w:eastAsia="宋体" w:cs="Times New Roman"/>
                <w:color w:val="000000" w:themeColor="text1"/>
                <w:sz w:val="24"/>
                <w:szCs w:val="24"/>
                <w:highlight w:val="none"/>
                <w14:textFill>
                  <w14:solidFill>
                    <w14:schemeClr w14:val="tx1"/>
                  </w14:solidFill>
                </w14:textFill>
              </w:rPr>
              <w:t>，项</w:t>
            </w:r>
            <w:r>
              <w:rPr>
                <w:rFonts w:hint="default" w:ascii="Times New Roman" w:hAnsi="Times New Roman" w:eastAsia="宋体" w:cs="Times New Roman"/>
                <w:color w:val="000000" w:themeColor="text1"/>
                <w:sz w:val="24"/>
                <w:highlight w:val="none"/>
                <w14:textFill>
                  <w14:solidFill>
                    <w14:schemeClr w14:val="tx1"/>
                  </w14:solidFill>
                </w14:textFill>
              </w:rPr>
              <w:t>目中心坐标（E1</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10</w:t>
            </w:r>
            <w:r>
              <w:rPr>
                <w:rFonts w:hint="default" w:ascii="Times New Roman" w:hAnsi="Times New Roman" w:eastAsia="宋体" w:cs="Times New Roman"/>
                <w:color w:val="000000" w:themeColor="text1"/>
                <w:sz w:val="24"/>
                <w:highlight w:val="none"/>
                <w14:textFill>
                  <w14:solidFill>
                    <w14:schemeClr w14:val="tx1"/>
                  </w14:solidFill>
                </w14:textFill>
              </w:rPr>
              <w:t>°51</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′52.82</w:t>
            </w:r>
            <w:r>
              <w:rPr>
                <w:rFonts w:hint="default" w:ascii="Times New Roman" w:hAnsi="Times New Roman" w:eastAsia="宋体" w:cs="Times New Roman"/>
                <w:color w:val="000000" w:themeColor="text1"/>
                <w:sz w:val="24"/>
                <w:highlight w:val="none"/>
                <w14:textFill>
                  <w14:solidFill>
                    <w14:schemeClr w14:val="tx1"/>
                  </w14:solidFill>
                </w14:textFill>
              </w:rPr>
              <w:t>″，N（39°</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42′9.31</w:t>
            </w:r>
            <w:r>
              <w:rPr>
                <w:rFonts w:hint="default" w:ascii="Times New Roman" w:hAnsi="Times New Roman" w:eastAsia="宋体" w:cs="Times New Roman"/>
                <w:color w:val="000000" w:themeColor="text1"/>
                <w:sz w:val="24"/>
                <w:highlight w:val="none"/>
                <w14:textFill>
                  <w14:solidFill>
                    <w14:schemeClr w14:val="tx1"/>
                  </w14:solidFill>
                </w14:textFill>
              </w:rPr>
              <w:t>″）</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项目</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西</w:t>
            </w:r>
            <w:r>
              <w:rPr>
                <w:rFonts w:hint="default" w:ascii="Times New Roman" w:hAnsi="Times New Roman" w:eastAsia="宋体" w:cs="Times New Roman"/>
                <w:color w:val="000000" w:themeColor="text1"/>
                <w:sz w:val="24"/>
                <w:highlight w:val="none"/>
                <w14:textFill>
                  <w14:solidFill>
                    <w14:schemeClr w14:val="tx1"/>
                  </w14:solidFill>
                </w14:textFill>
              </w:rPr>
              <w:t>侧为内蒙古伊东东</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发</w:t>
            </w:r>
            <w:r>
              <w:rPr>
                <w:rFonts w:hint="default" w:ascii="Times New Roman" w:hAnsi="Times New Roman" w:eastAsia="宋体" w:cs="Times New Roman"/>
                <w:color w:val="000000" w:themeColor="text1"/>
                <w:sz w:val="24"/>
                <w:highlight w:val="none"/>
                <w14:textFill>
                  <w14:solidFill>
                    <w14:schemeClr w14:val="tx1"/>
                  </w14:solidFill>
                </w14:textFill>
              </w:rPr>
              <w:t>有限公司，</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东侧为</w:t>
            </w:r>
            <w:r>
              <w:rPr>
                <w:rFonts w:hint="default" w:ascii="Times New Roman" w:hAnsi="Times New Roman" w:eastAsia="宋体" w:cs="Times New Roman"/>
                <w:color w:val="000000" w:themeColor="text1"/>
                <w:sz w:val="24"/>
                <w:highlight w:val="none"/>
                <w14:textFill>
                  <w14:solidFill>
                    <w14:schemeClr w14:val="tx1"/>
                  </w14:solidFill>
                </w14:textFill>
              </w:rPr>
              <w:t>内蒙古伊东</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高</w:t>
            </w:r>
            <w:r>
              <w:rPr>
                <w:rFonts w:hint="default" w:ascii="Times New Roman" w:hAnsi="Times New Roman" w:eastAsia="宋体" w:cs="Times New Roman"/>
                <w:color w:val="000000" w:themeColor="text1"/>
                <w:sz w:val="24"/>
                <w:highlight w:val="none"/>
                <w14:textFill>
                  <w14:solidFill>
                    <w14:schemeClr w14:val="tx1"/>
                  </w14:solidFill>
                </w14:textFill>
              </w:rPr>
              <w:t>新材料有限公司</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，北</w:t>
            </w:r>
            <w:r>
              <w:rPr>
                <w:rFonts w:hint="default" w:ascii="Times New Roman" w:hAnsi="Times New Roman" w:eastAsia="宋体" w:cs="Times New Roman"/>
                <w:color w:val="000000" w:themeColor="text1"/>
                <w:sz w:val="24"/>
                <w:highlight w:val="none"/>
                <w14:textFill>
                  <w14:solidFill>
                    <w14:schemeClr w14:val="tx1"/>
                  </w14:solidFill>
                </w14:textFill>
              </w:rPr>
              <w:t>侧为内蒙古</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励泰生物有限责任</w:t>
            </w:r>
            <w:r>
              <w:rPr>
                <w:rFonts w:hint="default" w:ascii="Times New Roman" w:hAnsi="Times New Roman" w:eastAsia="宋体" w:cs="Times New Roman"/>
                <w:color w:val="000000" w:themeColor="text1"/>
                <w:sz w:val="24"/>
                <w:highlight w:val="none"/>
                <w14:textFill>
                  <w14:solidFill>
                    <w14:schemeClr w14:val="tx1"/>
                  </w14:solidFill>
                </w14:textFill>
              </w:rPr>
              <w:t>公司，南侧为</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园区环城路</w:t>
            </w:r>
            <w:r>
              <w:rPr>
                <w:rFonts w:hint="default" w:ascii="Times New Roman" w:hAnsi="Times New Roman" w:eastAsia="宋体" w:cs="Times New Roman"/>
                <w:color w:val="000000" w:themeColor="text1"/>
                <w:sz w:val="24"/>
                <w:highlight w:val="none"/>
                <w14:textFill>
                  <w14:solidFill>
                    <w14:schemeClr w14:val="tx1"/>
                  </w14:solidFill>
                </w14:textFill>
              </w:rPr>
              <w:t>。</w:t>
            </w:r>
          </w:p>
          <w:p w14:paraId="50EE6EA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劳动定员与劳动时间：本项目全厂劳动定员35人，其中：生产工人30人，管理及服务人员5人；全年劳动时间为300天，产品生产是全年连续生产，煅烧系统年运转率82.19%（300天/年）。</w:t>
            </w:r>
          </w:p>
          <w:p w14:paraId="346E7D0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建设内容及规模：建设内容包括回转窑煅烧装置及配套设施、成品储存仓库、包装、维修车间、办公区等辅助设施建设。</w:t>
            </w:r>
          </w:p>
          <w:p w14:paraId="775F7F5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建设</w:t>
            </w:r>
            <w:r>
              <w:rPr>
                <w:rFonts w:hint="default" w:ascii="Times New Roman" w:hAnsi="Times New Roman" w:cs="Times New Roman"/>
                <w:color w:val="000000" w:themeColor="text1"/>
                <w:sz w:val="24"/>
                <w:highlight w:val="none"/>
                <w:lang w:val="en-US" w:eastAsia="zh-CN"/>
                <w14:textFill>
                  <w14:solidFill>
                    <w14:schemeClr w14:val="tx1"/>
                  </w14:solidFill>
                </w14:textFill>
              </w:rPr>
              <w:t>1</w:t>
            </w:r>
            <w:r>
              <w:rPr>
                <w:rFonts w:hint="default" w:ascii="Times New Roman" w:hAnsi="Times New Roman" w:eastAsia="宋体" w:cs="Times New Roman"/>
                <w:color w:val="000000" w:themeColor="text1"/>
                <w:sz w:val="24"/>
                <w:highlight w:val="none"/>
                <w14:textFill>
                  <w14:solidFill>
                    <w14:schemeClr w14:val="tx1"/>
                  </w14:solidFill>
                </w14:textFill>
              </w:rPr>
              <w:t>条</w:t>
            </w:r>
            <w:r>
              <w:rPr>
                <w:rFonts w:hint="default" w:ascii="Times New Roman" w:hAnsi="Times New Roman" w:cs="Times New Roman"/>
                <w:color w:val="000000" w:themeColor="text1"/>
                <w:sz w:val="24"/>
                <w:highlight w:val="none"/>
                <w:lang w:val="en-US" w:eastAsia="zh-CN"/>
                <w14:textFill>
                  <w14:solidFill>
                    <w14:schemeClr w14:val="tx1"/>
                  </w14:solidFill>
                </w14:textFill>
              </w:rPr>
              <w:t>667t/d煤矸石</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悬浮脱碳煅烧高活性高岭土生产线</w:t>
            </w:r>
            <w:r>
              <w:rPr>
                <w:rFonts w:hint="default" w:ascii="Times New Roman" w:hAnsi="Times New Roman" w:cs="Times New Roman"/>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年产20万吨煅烧高岭土产品，其中煅烧高岭土1号产品（用于陶瓷釉料）和煅烧高岭土2号（用于玻纤原料）产品年产各10万吨。</w:t>
            </w:r>
          </w:p>
          <w:p w14:paraId="449BFF0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全厂生产工作制度见下表。</w:t>
            </w:r>
          </w:p>
          <w:p w14:paraId="3F49F5B5">
            <w:pPr>
              <w:ind w:firstLine="482" w:firstLineChars="200"/>
              <w:jc w:val="center"/>
              <w:rPr>
                <w:rFonts w:hint="default" w:ascii="Times New Roman" w:hAnsi="Times New Roman" w:eastAsia="宋体" w:cs="Times New Roman"/>
                <w:b/>
                <w:bCs/>
                <w:color w:val="000000" w:themeColor="text1"/>
                <w:sz w:val="24"/>
                <w:highlight w:val="none"/>
                <w:lang w:eastAsia="zh-CN"/>
                <w14:textFill>
                  <w14:solidFill>
                    <w14:schemeClr w14:val="tx1"/>
                  </w14:solidFill>
                </w14:textFill>
              </w:rPr>
            </w:pPr>
            <w:r>
              <w:rPr>
                <w:rFonts w:hint="default" w:ascii="Times New Roman" w:hAnsi="Times New Roman" w:eastAsia="宋体" w:cs="Times New Roman"/>
                <w:b/>
                <w:bCs/>
                <w:color w:val="000000" w:themeColor="text1"/>
                <w:sz w:val="24"/>
                <w:highlight w:val="none"/>
                <w14:textFill>
                  <w14:solidFill>
                    <w14:schemeClr w14:val="tx1"/>
                  </w14:solidFill>
                </w14:textFill>
              </w:rPr>
              <w:t>表</w:t>
            </w:r>
            <w:r>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t>2</w:t>
            </w:r>
            <w:r>
              <w:rPr>
                <w:rFonts w:hint="default" w:ascii="Times New Roman" w:hAnsi="Times New Roman" w:eastAsia="宋体" w:cs="Times New Roman"/>
                <w:b/>
                <w:bCs/>
                <w:color w:val="000000" w:themeColor="text1"/>
                <w:sz w:val="24"/>
                <w:highlight w:val="none"/>
                <w14:textFill>
                  <w14:solidFill>
                    <w14:schemeClr w14:val="tx1"/>
                  </w14:solidFill>
                </w14:textFill>
              </w:rPr>
              <w:t>-</w:t>
            </w:r>
            <w:r>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t>1</w:t>
            </w:r>
            <w:r>
              <w:rPr>
                <w:rFonts w:hint="default" w:ascii="Times New Roman" w:hAnsi="Times New Roman" w:eastAsia="宋体" w:cs="Times New Roman"/>
                <w:b/>
                <w:bCs/>
                <w:color w:val="000000" w:themeColor="text1"/>
                <w:sz w:val="24"/>
                <w:highlight w:val="none"/>
                <w14:textFill>
                  <w14:solidFill>
                    <w14:schemeClr w14:val="tx1"/>
                  </w14:solidFill>
                </w14:textFill>
              </w:rPr>
              <w:t>全厂主要生产车间工作制度</w:t>
            </w:r>
          </w:p>
          <w:tbl>
            <w:tblPr>
              <w:tblStyle w:val="2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4"/>
              <w:gridCol w:w="2628"/>
              <w:gridCol w:w="1281"/>
              <w:gridCol w:w="914"/>
              <w:gridCol w:w="2859"/>
            </w:tblGrid>
            <w:tr w14:paraId="343A7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blHeader/>
                <w:jc w:val="center"/>
              </w:trPr>
              <w:tc>
                <w:tcPr>
                  <w:tcW w:w="694" w:type="dxa"/>
                  <w:noWrap w:val="0"/>
                  <w:vAlign w:val="center"/>
                </w:tcPr>
                <w:p w14:paraId="79D36EE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序号</w:t>
                  </w:r>
                </w:p>
              </w:tc>
              <w:tc>
                <w:tcPr>
                  <w:tcW w:w="2628" w:type="dxa"/>
                  <w:noWrap w:val="0"/>
                  <w:vAlign w:val="center"/>
                </w:tcPr>
                <w:p w14:paraId="523CCAB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车间名称</w:t>
                  </w:r>
                </w:p>
              </w:tc>
              <w:tc>
                <w:tcPr>
                  <w:tcW w:w="1281" w:type="dxa"/>
                  <w:noWrap w:val="0"/>
                  <w:vAlign w:val="center"/>
                </w:tcPr>
                <w:p w14:paraId="2A0CBC1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工作制度</w:t>
                  </w:r>
                </w:p>
              </w:tc>
              <w:tc>
                <w:tcPr>
                  <w:tcW w:w="914" w:type="dxa"/>
                  <w:noWrap w:val="0"/>
                  <w:vAlign w:val="center"/>
                </w:tcPr>
                <w:p w14:paraId="3C1FB10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班制</w:t>
                  </w:r>
                </w:p>
              </w:tc>
              <w:tc>
                <w:tcPr>
                  <w:tcW w:w="2859" w:type="dxa"/>
                  <w:noWrap w:val="0"/>
                  <w:vAlign w:val="center"/>
                </w:tcPr>
                <w:p w14:paraId="0647E28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每周工作时间</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h/d×d/w</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w:t>
                  </w:r>
                </w:p>
              </w:tc>
            </w:tr>
            <w:tr w14:paraId="22B42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694" w:type="dxa"/>
                  <w:shd w:val="clear" w:color="auto" w:fill="auto"/>
                  <w:noWrap w:val="0"/>
                  <w:vAlign w:val="center"/>
                </w:tcPr>
                <w:p w14:paraId="66D03D0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w:t>
                  </w:r>
                </w:p>
              </w:tc>
              <w:tc>
                <w:tcPr>
                  <w:tcW w:w="2628" w:type="dxa"/>
                  <w:noWrap w:val="0"/>
                  <w:vAlign w:val="center"/>
                </w:tcPr>
                <w:p w14:paraId="3CF0802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原料筒仓装卸</w:t>
                  </w:r>
                </w:p>
              </w:tc>
              <w:tc>
                <w:tcPr>
                  <w:tcW w:w="1281" w:type="dxa"/>
                  <w:noWrap w:val="0"/>
                  <w:vAlign w:val="center"/>
                </w:tcPr>
                <w:p w14:paraId="2A98980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连续周</w:t>
                  </w:r>
                </w:p>
              </w:tc>
              <w:tc>
                <w:tcPr>
                  <w:tcW w:w="914" w:type="dxa"/>
                  <w:noWrap w:val="0"/>
                  <w:vAlign w:val="center"/>
                </w:tcPr>
                <w:p w14:paraId="5E10797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w:t>
                  </w:r>
                </w:p>
              </w:tc>
              <w:tc>
                <w:tcPr>
                  <w:tcW w:w="2859" w:type="dxa"/>
                  <w:noWrap w:val="0"/>
                  <w:vAlign w:val="center"/>
                </w:tcPr>
                <w:p w14:paraId="7CEE87C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16×7</w:t>
                  </w:r>
                </w:p>
              </w:tc>
            </w:tr>
            <w:tr w14:paraId="5578D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694" w:type="dxa"/>
                  <w:shd w:val="clear" w:color="auto" w:fill="auto"/>
                  <w:noWrap w:val="0"/>
                  <w:vAlign w:val="center"/>
                </w:tcPr>
                <w:p w14:paraId="438BF18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w:t>
                  </w:r>
                </w:p>
              </w:tc>
              <w:tc>
                <w:tcPr>
                  <w:tcW w:w="2628" w:type="dxa"/>
                  <w:noWrap w:val="0"/>
                  <w:vAlign w:val="center"/>
                </w:tcPr>
                <w:p w14:paraId="4D91FB2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转运</w:t>
                  </w:r>
                </w:p>
              </w:tc>
              <w:tc>
                <w:tcPr>
                  <w:tcW w:w="1281" w:type="dxa"/>
                  <w:shd w:val="clear" w:color="auto" w:fill="auto"/>
                  <w:noWrap w:val="0"/>
                  <w:vAlign w:val="center"/>
                </w:tcPr>
                <w:p w14:paraId="3A4303E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连续周</w:t>
                  </w:r>
                </w:p>
              </w:tc>
              <w:tc>
                <w:tcPr>
                  <w:tcW w:w="914" w:type="dxa"/>
                  <w:shd w:val="clear" w:color="auto" w:fill="auto"/>
                  <w:noWrap w:val="0"/>
                  <w:vAlign w:val="center"/>
                </w:tcPr>
                <w:p w14:paraId="2798DB4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w:t>
                  </w:r>
                </w:p>
              </w:tc>
              <w:tc>
                <w:tcPr>
                  <w:tcW w:w="2859" w:type="dxa"/>
                  <w:shd w:val="clear" w:color="auto" w:fill="auto"/>
                  <w:noWrap w:val="0"/>
                  <w:vAlign w:val="center"/>
                </w:tcPr>
                <w:p w14:paraId="7070C26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16×7</w:t>
                  </w:r>
                </w:p>
              </w:tc>
            </w:tr>
            <w:tr w14:paraId="28B43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694" w:type="dxa"/>
                  <w:shd w:val="clear" w:color="auto" w:fill="auto"/>
                  <w:noWrap w:val="0"/>
                  <w:vAlign w:val="center"/>
                </w:tcPr>
                <w:p w14:paraId="04ECA7E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3</w:t>
                  </w:r>
                </w:p>
              </w:tc>
              <w:tc>
                <w:tcPr>
                  <w:tcW w:w="2628" w:type="dxa"/>
                  <w:noWrap w:val="0"/>
                  <w:vAlign w:val="center"/>
                </w:tcPr>
                <w:p w14:paraId="7EBDF6E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喂料仓装卸</w:t>
                  </w:r>
                </w:p>
              </w:tc>
              <w:tc>
                <w:tcPr>
                  <w:tcW w:w="1281" w:type="dxa"/>
                  <w:shd w:val="clear" w:color="auto" w:fill="auto"/>
                  <w:noWrap w:val="0"/>
                  <w:vAlign w:val="center"/>
                </w:tcPr>
                <w:p w14:paraId="14F2501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连续周</w:t>
                  </w:r>
                </w:p>
              </w:tc>
              <w:tc>
                <w:tcPr>
                  <w:tcW w:w="914" w:type="dxa"/>
                  <w:shd w:val="clear" w:color="auto" w:fill="auto"/>
                  <w:noWrap w:val="0"/>
                  <w:vAlign w:val="center"/>
                </w:tcPr>
                <w:p w14:paraId="0F41270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w:t>
                  </w:r>
                </w:p>
              </w:tc>
              <w:tc>
                <w:tcPr>
                  <w:tcW w:w="2859" w:type="dxa"/>
                  <w:shd w:val="clear" w:color="auto" w:fill="auto"/>
                  <w:noWrap w:val="0"/>
                  <w:vAlign w:val="center"/>
                </w:tcPr>
                <w:p w14:paraId="452CB83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16×7</w:t>
                  </w:r>
                </w:p>
              </w:tc>
            </w:tr>
            <w:tr w14:paraId="445EB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694" w:type="dxa"/>
                  <w:shd w:val="clear" w:color="auto" w:fill="auto"/>
                  <w:noWrap w:val="0"/>
                  <w:vAlign w:val="center"/>
                </w:tcPr>
                <w:p w14:paraId="4C4444C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4</w:t>
                  </w:r>
                </w:p>
              </w:tc>
              <w:tc>
                <w:tcPr>
                  <w:tcW w:w="2628" w:type="dxa"/>
                  <w:noWrap w:val="0"/>
                  <w:vAlign w:val="center"/>
                </w:tcPr>
                <w:p w14:paraId="71DE4CC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喂料提升装卸</w:t>
                  </w:r>
                </w:p>
              </w:tc>
              <w:tc>
                <w:tcPr>
                  <w:tcW w:w="1281" w:type="dxa"/>
                  <w:shd w:val="clear" w:color="auto" w:fill="auto"/>
                  <w:noWrap w:val="0"/>
                  <w:vAlign w:val="center"/>
                </w:tcPr>
                <w:p w14:paraId="4870FE9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连续周</w:t>
                  </w:r>
                </w:p>
              </w:tc>
              <w:tc>
                <w:tcPr>
                  <w:tcW w:w="914" w:type="dxa"/>
                  <w:shd w:val="clear" w:color="auto" w:fill="auto"/>
                  <w:noWrap w:val="0"/>
                  <w:vAlign w:val="center"/>
                </w:tcPr>
                <w:p w14:paraId="6B39146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w:t>
                  </w:r>
                </w:p>
              </w:tc>
              <w:tc>
                <w:tcPr>
                  <w:tcW w:w="2859" w:type="dxa"/>
                  <w:shd w:val="clear" w:color="auto" w:fill="auto"/>
                  <w:noWrap w:val="0"/>
                  <w:vAlign w:val="center"/>
                </w:tcPr>
                <w:p w14:paraId="5FAF53A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16×7</w:t>
                  </w:r>
                </w:p>
              </w:tc>
            </w:tr>
            <w:tr w14:paraId="57996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694" w:type="dxa"/>
                  <w:shd w:val="clear" w:color="auto" w:fill="auto"/>
                  <w:noWrap w:val="0"/>
                  <w:vAlign w:val="center"/>
                </w:tcPr>
                <w:p w14:paraId="1254E65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5</w:t>
                  </w:r>
                </w:p>
              </w:tc>
              <w:tc>
                <w:tcPr>
                  <w:tcW w:w="2628" w:type="dxa"/>
                  <w:shd w:val="clear" w:color="auto" w:fill="auto"/>
                  <w:noWrap w:val="0"/>
                  <w:vAlign w:val="center"/>
                </w:tcPr>
                <w:p w14:paraId="3AD48EC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煅烧窑尾</w:t>
                  </w:r>
                </w:p>
              </w:tc>
              <w:tc>
                <w:tcPr>
                  <w:tcW w:w="1281" w:type="dxa"/>
                  <w:shd w:val="clear" w:color="auto" w:fill="auto"/>
                  <w:noWrap w:val="0"/>
                  <w:vAlign w:val="center"/>
                </w:tcPr>
                <w:p w14:paraId="4E95058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连续周</w:t>
                  </w:r>
                </w:p>
              </w:tc>
              <w:tc>
                <w:tcPr>
                  <w:tcW w:w="914" w:type="dxa"/>
                  <w:shd w:val="clear" w:color="auto" w:fill="auto"/>
                  <w:noWrap w:val="0"/>
                  <w:vAlign w:val="center"/>
                </w:tcPr>
                <w:p w14:paraId="1F3E6FC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3</w:t>
                  </w:r>
                </w:p>
              </w:tc>
              <w:tc>
                <w:tcPr>
                  <w:tcW w:w="2859" w:type="dxa"/>
                  <w:shd w:val="clear" w:color="auto" w:fill="auto"/>
                  <w:noWrap w:val="0"/>
                  <w:vAlign w:val="center"/>
                </w:tcPr>
                <w:p w14:paraId="7D15448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24×7</w:t>
                  </w:r>
                </w:p>
              </w:tc>
            </w:tr>
            <w:tr w14:paraId="65B58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694" w:type="dxa"/>
                  <w:shd w:val="clear" w:color="auto" w:fill="auto"/>
                  <w:noWrap w:val="0"/>
                  <w:vAlign w:val="center"/>
                </w:tcPr>
                <w:p w14:paraId="0B292B2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6</w:t>
                  </w:r>
                </w:p>
              </w:tc>
              <w:tc>
                <w:tcPr>
                  <w:tcW w:w="2628" w:type="dxa"/>
                  <w:shd w:val="clear" w:color="auto" w:fill="auto"/>
                  <w:noWrap w:val="0"/>
                  <w:vAlign w:val="center"/>
                </w:tcPr>
                <w:p w14:paraId="53374BA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煅烧窑中</w:t>
                  </w:r>
                </w:p>
              </w:tc>
              <w:tc>
                <w:tcPr>
                  <w:tcW w:w="1281" w:type="dxa"/>
                  <w:shd w:val="clear" w:color="auto" w:fill="auto"/>
                  <w:noWrap w:val="0"/>
                  <w:vAlign w:val="center"/>
                </w:tcPr>
                <w:p w14:paraId="3010D87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连续周</w:t>
                  </w:r>
                </w:p>
              </w:tc>
              <w:tc>
                <w:tcPr>
                  <w:tcW w:w="914" w:type="dxa"/>
                  <w:shd w:val="clear" w:color="auto" w:fill="auto"/>
                  <w:noWrap w:val="0"/>
                  <w:vAlign w:val="center"/>
                </w:tcPr>
                <w:p w14:paraId="76C7265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3</w:t>
                  </w:r>
                </w:p>
              </w:tc>
              <w:tc>
                <w:tcPr>
                  <w:tcW w:w="2859" w:type="dxa"/>
                  <w:shd w:val="clear" w:color="auto" w:fill="auto"/>
                  <w:noWrap w:val="0"/>
                  <w:vAlign w:val="center"/>
                </w:tcPr>
                <w:p w14:paraId="01880AD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24×7</w:t>
                  </w:r>
                </w:p>
              </w:tc>
            </w:tr>
            <w:tr w14:paraId="4B703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694" w:type="dxa"/>
                  <w:shd w:val="clear" w:color="auto" w:fill="auto"/>
                  <w:noWrap w:val="0"/>
                  <w:vAlign w:val="center"/>
                </w:tcPr>
                <w:p w14:paraId="4465998F">
                  <w:pPr>
                    <w:keepNext w:val="0"/>
                    <w:keepLines w:val="0"/>
                    <w:pageBreakBefore w:val="0"/>
                    <w:widowControl w:val="0"/>
                    <w:tabs>
                      <w:tab w:val="left" w:pos="226"/>
                    </w:tabs>
                    <w:kinsoku/>
                    <w:wordWrap/>
                    <w:overflowPunct/>
                    <w:topLinePunct w:val="0"/>
                    <w:autoSpaceDE/>
                    <w:autoSpaceDN/>
                    <w:bidi w:val="0"/>
                    <w:adjustRightInd/>
                    <w:snapToGrid/>
                    <w:jc w:val="left"/>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ab/>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7</w:t>
                  </w:r>
                </w:p>
              </w:tc>
              <w:tc>
                <w:tcPr>
                  <w:tcW w:w="2628" w:type="dxa"/>
                  <w:shd w:val="clear" w:color="auto" w:fill="auto"/>
                  <w:noWrap w:val="0"/>
                  <w:vAlign w:val="center"/>
                </w:tcPr>
                <w:p w14:paraId="7CDD814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高岭土冷却</w:t>
                  </w:r>
                </w:p>
              </w:tc>
              <w:tc>
                <w:tcPr>
                  <w:tcW w:w="1281" w:type="dxa"/>
                  <w:shd w:val="clear" w:color="auto" w:fill="auto"/>
                  <w:noWrap w:val="0"/>
                  <w:vAlign w:val="center"/>
                </w:tcPr>
                <w:p w14:paraId="13B581E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连续周</w:t>
                  </w:r>
                </w:p>
              </w:tc>
              <w:tc>
                <w:tcPr>
                  <w:tcW w:w="914" w:type="dxa"/>
                  <w:shd w:val="clear" w:color="auto" w:fill="auto"/>
                  <w:noWrap w:val="0"/>
                  <w:vAlign w:val="center"/>
                </w:tcPr>
                <w:p w14:paraId="691E12E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3</w:t>
                  </w:r>
                </w:p>
              </w:tc>
              <w:tc>
                <w:tcPr>
                  <w:tcW w:w="2859" w:type="dxa"/>
                  <w:shd w:val="clear" w:color="auto" w:fill="auto"/>
                  <w:noWrap w:val="0"/>
                  <w:vAlign w:val="center"/>
                </w:tcPr>
                <w:p w14:paraId="3FD3A72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24×7</w:t>
                  </w:r>
                </w:p>
              </w:tc>
            </w:tr>
            <w:tr w14:paraId="2BB18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694" w:type="dxa"/>
                  <w:shd w:val="clear" w:color="auto" w:fill="auto"/>
                  <w:noWrap w:val="0"/>
                  <w:vAlign w:val="center"/>
                </w:tcPr>
                <w:p w14:paraId="3354217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8</w:t>
                  </w:r>
                </w:p>
              </w:tc>
              <w:tc>
                <w:tcPr>
                  <w:tcW w:w="2628" w:type="dxa"/>
                  <w:shd w:val="clear" w:color="auto" w:fill="auto"/>
                  <w:noWrap w:val="0"/>
                  <w:vAlign w:val="center"/>
                </w:tcPr>
                <w:p w14:paraId="34501A1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高岭土</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分选（打散、粉磨）</w:t>
                  </w:r>
                </w:p>
              </w:tc>
              <w:tc>
                <w:tcPr>
                  <w:tcW w:w="1281" w:type="dxa"/>
                  <w:shd w:val="clear" w:color="auto" w:fill="auto"/>
                  <w:noWrap w:val="0"/>
                  <w:vAlign w:val="center"/>
                </w:tcPr>
                <w:p w14:paraId="7811097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连续周</w:t>
                  </w:r>
                </w:p>
              </w:tc>
              <w:tc>
                <w:tcPr>
                  <w:tcW w:w="914" w:type="dxa"/>
                  <w:shd w:val="clear" w:color="auto" w:fill="auto"/>
                  <w:noWrap w:val="0"/>
                  <w:vAlign w:val="center"/>
                </w:tcPr>
                <w:p w14:paraId="4277D954">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3</w:t>
                  </w:r>
                </w:p>
              </w:tc>
              <w:tc>
                <w:tcPr>
                  <w:tcW w:w="2859" w:type="dxa"/>
                  <w:shd w:val="clear" w:color="auto" w:fill="auto"/>
                  <w:noWrap w:val="0"/>
                  <w:vAlign w:val="center"/>
                </w:tcPr>
                <w:p w14:paraId="33E4922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24</w:t>
                  </w:r>
                  <w:r>
                    <w:rPr>
                      <w:rFonts w:hint="default" w:ascii="Times New Roman" w:hAnsi="Times New Roman" w:eastAsia="宋体" w:cs="Times New Roman"/>
                      <w:color w:val="000000" w:themeColor="text1"/>
                      <w:sz w:val="21"/>
                      <w:szCs w:val="21"/>
                      <w:highlight w:val="none"/>
                      <w14:textFill>
                        <w14:solidFill>
                          <w14:schemeClr w14:val="tx1"/>
                        </w14:solidFill>
                      </w14:textFill>
                    </w:rPr>
                    <w:t>×7</w:t>
                  </w:r>
                </w:p>
              </w:tc>
            </w:tr>
            <w:tr w14:paraId="6EF03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694" w:type="dxa"/>
                  <w:shd w:val="clear" w:color="auto" w:fill="auto"/>
                  <w:noWrap w:val="0"/>
                  <w:vAlign w:val="center"/>
                </w:tcPr>
                <w:p w14:paraId="1B50951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9</w:t>
                  </w:r>
                </w:p>
              </w:tc>
              <w:tc>
                <w:tcPr>
                  <w:tcW w:w="2628" w:type="dxa"/>
                  <w:shd w:val="clear" w:color="auto" w:fill="auto"/>
                  <w:noWrap w:val="0"/>
                  <w:vAlign w:val="center"/>
                </w:tcPr>
                <w:p w14:paraId="65722B9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包装发运</w:t>
                  </w:r>
                </w:p>
              </w:tc>
              <w:tc>
                <w:tcPr>
                  <w:tcW w:w="1281" w:type="dxa"/>
                  <w:shd w:val="clear" w:color="auto" w:fill="auto"/>
                  <w:noWrap w:val="0"/>
                  <w:vAlign w:val="center"/>
                </w:tcPr>
                <w:p w14:paraId="4399C83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连续周</w:t>
                  </w:r>
                </w:p>
              </w:tc>
              <w:tc>
                <w:tcPr>
                  <w:tcW w:w="914" w:type="dxa"/>
                  <w:shd w:val="clear" w:color="auto" w:fill="auto"/>
                  <w:noWrap w:val="0"/>
                  <w:vAlign w:val="center"/>
                </w:tcPr>
                <w:p w14:paraId="084E5D1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1</w:t>
                  </w:r>
                </w:p>
              </w:tc>
              <w:tc>
                <w:tcPr>
                  <w:tcW w:w="2859" w:type="dxa"/>
                  <w:shd w:val="clear" w:color="auto" w:fill="auto"/>
                  <w:noWrap w:val="0"/>
                  <w:vAlign w:val="center"/>
                </w:tcPr>
                <w:p w14:paraId="678B263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8</w:t>
                  </w:r>
                  <w:r>
                    <w:rPr>
                      <w:rFonts w:hint="default" w:ascii="Times New Roman" w:hAnsi="Times New Roman" w:eastAsia="宋体" w:cs="Times New Roman"/>
                      <w:color w:val="000000" w:themeColor="text1"/>
                      <w:sz w:val="21"/>
                      <w:szCs w:val="21"/>
                      <w:highlight w:val="none"/>
                      <w14:textFill>
                        <w14:solidFill>
                          <w14:schemeClr w14:val="tx1"/>
                        </w14:solidFill>
                      </w14:textFill>
                    </w:rPr>
                    <w:t>×7</w:t>
                  </w:r>
                </w:p>
              </w:tc>
            </w:tr>
            <w:tr w14:paraId="5A7F4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694" w:type="dxa"/>
                  <w:noWrap w:val="0"/>
                  <w:vAlign w:val="center"/>
                </w:tcPr>
                <w:p w14:paraId="2B3A1A4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10</w:t>
                  </w:r>
                </w:p>
              </w:tc>
              <w:tc>
                <w:tcPr>
                  <w:tcW w:w="2628" w:type="dxa"/>
                  <w:shd w:val="clear" w:color="auto" w:fill="auto"/>
                  <w:noWrap w:val="0"/>
                  <w:vAlign w:val="center"/>
                </w:tcPr>
                <w:p w14:paraId="0E4D963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空压机站</w:t>
                  </w:r>
                </w:p>
              </w:tc>
              <w:tc>
                <w:tcPr>
                  <w:tcW w:w="1281" w:type="dxa"/>
                  <w:shd w:val="clear" w:color="auto" w:fill="auto"/>
                  <w:noWrap w:val="0"/>
                  <w:vAlign w:val="center"/>
                </w:tcPr>
                <w:p w14:paraId="4F94D04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连续周</w:t>
                  </w:r>
                </w:p>
              </w:tc>
              <w:tc>
                <w:tcPr>
                  <w:tcW w:w="914" w:type="dxa"/>
                  <w:shd w:val="clear" w:color="auto" w:fill="auto"/>
                  <w:noWrap w:val="0"/>
                  <w:vAlign w:val="center"/>
                </w:tcPr>
                <w:p w14:paraId="1320565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3</w:t>
                  </w:r>
                </w:p>
              </w:tc>
              <w:tc>
                <w:tcPr>
                  <w:tcW w:w="2859" w:type="dxa"/>
                  <w:shd w:val="clear" w:color="auto" w:fill="auto"/>
                  <w:noWrap w:val="0"/>
                  <w:vAlign w:val="center"/>
                </w:tcPr>
                <w:p w14:paraId="07C6940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24×7</w:t>
                  </w:r>
                </w:p>
              </w:tc>
            </w:tr>
          </w:tbl>
          <w:p w14:paraId="02D928E4">
            <w:pPr>
              <w:widowControl/>
              <w:spacing w:line="360" w:lineRule="auto"/>
              <w:ind w:firstLine="480" w:firstLineChars="200"/>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p>
          <w:p w14:paraId="4D3DDB23">
            <w:pPr>
              <w:pStyle w:val="7"/>
              <w:numPr>
                <w:ilvl w:val="0"/>
                <w:numId w:val="0"/>
              </w:numPr>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drawing>
                <wp:inline distT="0" distB="0" distL="114300" distR="114300">
                  <wp:extent cx="5154930" cy="3550285"/>
                  <wp:effectExtent l="0" t="0" r="1270" b="5715"/>
                  <wp:docPr id="4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1"/>
                          <pic:cNvPicPr>
                            <a:picLocks noChangeAspect="1"/>
                          </pic:cNvPicPr>
                        </pic:nvPicPr>
                        <pic:blipFill>
                          <a:blip r:embed="rId16"/>
                          <a:stretch>
                            <a:fillRect/>
                          </a:stretch>
                        </pic:blipFill>
                        <pic:spPr>
                          <a:xfrm>
                            <a:off x="0" y="0"/>
                            <a:ext cx="5154930" cy="3550285"/>
                          </a:xfrm>
                          <a:prstGeom prst="rect">
                            <a:avLst/>
                          </a:prstGeom>
                          <a:noFill/>
                          <a:ln>
                            <a:noFill/>
                          </a:ln>
                        </pic:spPr>
                      </pic:pic>
                    </a:graphicData>
                  </a:graphic>
                </wp:inline>
              </w:drawing>
            </w:r>
          </w:p>
          <w:p w14:paraId="02E25E2B">
            <w:pPr>
              <w:pStyle w:val="7"/>
              <w:numPr>
                <w:ilvl w:val="0"/>
                <w:numId w:val="0"/>
              </w:numPr>
              <w:spacing w:line="360" w:lineRule="auto"/>
              <w:rPr>
                <w:rFonts w:hint="default" w:ascii="Times New Roman" w:hAnsi="Times New Roman" w:eastAsia="宋体" w:cs="Times New Roman"/>
                <w:color w:val="000000" w:themeColor="text1"/>
                <w:sz w:val="24"/>
                <w:szCs w:val="22"/>
                <w:highlight w:val="none"/>
                <w14:textFill>
                  <w14:solidFill>
                    <w14:schemeClr w14:val="tx1"/>
                  </w14:solidFill>
                </w14:textFill>
              </w:rPr>
            </w:pPr>
            <w:r>
              <w:rPr>
                <w:rFonts w:hint="default" w:ascii="Times New Roman" w:hAnsi="Times New Roman" w:eastAsia="宋体" w:cs="Times New Roman"/>
                <w:color w:val="000000" w:themeColor="text1"/>
                <w:sz w:val="24"/>
                <w:szCs w:val="22"/>
                <w:highlight w:val="none"/>
                <w14:textFill>
                  <w14:solidFill>
                    <w14:schemeClr w14:val="tx1"/>
                  </w14:solidFill>
                </w14:textFill>
              </w:rPr>
              <w:t>图2-1项目四邻关系图</w:t>
            </w:r>
          </w:p>
          <w:p w14:paraId="5FEA8D23">
            <w:pPr>
              <w:pStyle w:val="8"/>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color w:val="000000" w:themeColor="text1"/>
                <w:sz w:val="24"/>
                <w:highlight w:val="none"/>
                <w14:textFill>
                  <w14:solidFill>
                    <w14:schemeClr w14:val="tx1"/>
                  </w14:solidFill>
                </w14:textFill>
              </w:rPr>
            </w:pPr>
            <w:r>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t>1.3</w:t>
            </w:r>
            <w:r>
              <w:rPr>
                <w:rFonts w:hint="default" w:ascii="Times New Roman" w:hAnsi="Times New Roman" w:eastAsia="宋体" w:cs="Times New Roman"/>
                <w:b/>
                <w:bCs/>
                <w:color w:val="000000" w:themeColor="text1"/>
                <w:sz w:val="24"/>
                <w:highlight w:val="none"/>
                <w14:textFill>
                  <w14:solidFill>
                    <w14:schemeClr w14:val="tx1"/>
                  </w14:solidFill>
                </w14:textFill>
              </w:rPr>
              <w:t>项目组成</w:t>
            </w:r>
          </w:p>
          <w:p w14:paraId="0BF3CC5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本工程组成详见下表。</w:t>
            </w:r>
          </w:p>
          <w:p w14:paraId="2F8BF055">
            <w:pPr>
              <w:ind w:firstLine="482" w:firstLineChars="200"/>
              <w:jc w:val="center"/>
              <w:rPr>
                <w:rFonts w:hint="default" w:ascii="Times New Roman" w:hAnsi="Times New Roman" w:eastAsia="宋体" w:cs="Times New Roman"/>
                <w:b/>
                <w:bCs/>
                <w:color w:val="000000" w:themeColor="text1"/>
                <w:sz w:val="24"/>
                <w:highlight w:val="none"/>
                <w14:textFill>
                  <w14:solidFill>
                    <w14:schemeClr w14:val="tx1"/>
                  </w14:solidFill>
                </w14:textFill>
              </w:rPr>
            </w:pPr>
            <w:r>
              <w:rPr>
                <w:rFonts w:hint="default" w:ascii="Times New Roman" w:hAnsi="Times New Roman" w:eastAsia="宋体" w:cs="Times New Roman"/>
                <w:b/>
                <w:bCs/>
                <w:color w:val="000000" w:themeColor="text1"/>
                <w:sz w:val="24"/>
                <w:highlight w:val="none"/>
                <w14:textFill>
                  <w14:solidFill>
                    <w14:schemeClr w14:val="tx1"/>
                  </w14:solidFill>
                </w14:textFill>
              </w:rPr>
              <w:t>表</w:t>
            </w:r>
            <w:r>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t>2-2</w:t>
            </w:r>
            <w:r>
              <w:rPr>
                <w:rFonts w:hint="default" w:ascii="Times New Roman" w:hAnsi="Times New Roman" w:eastAsia="宋体" w:cs="Times New Roman"/>
                <w:b/>
                <w:bCs/>
                <w:color w:val="000000" w:themeColor="text1"/>
                <w:sz w:val="24"/>
                <w:highlight w:val="none"/>
                <w14:textFill>
                  <w14:solidFill>
                    <w14:schemeClr w14:val="tx1"/>
                  </w14:solidFill>
                </w14:textFill>
              </w:rPr>
              <w:t>项目组成一览表</w:t>
            </w:r>
          </w:p>
          <w:tbl>
            <w:tblPr>
              <w:tblStyle w:val="2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36"/>
              <w:gridCol w:w="694"/>
              <w:gridCol w:w="6630"/>
              <w:gridCol w:w="416"/>
            </w:tblGrid>
            <w:tr w14:paraId="3EFDB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380" w:type="pct"/>
                  <w:noWrap w:val="0"/>
                  <w:vAlign w:val="center"/>
                </w:tcPr>
                <w:p w14:paraId="41FB1C2E">
                  <w:pPr>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类别</w:t>
                  </w:r>
                </w:p>
              </w:tc>
              <w:tc>
                <w:tcPr>
                  <w:tcW w:w="414" w:type="pct"/>
                  <w:noWrap w:val="0"/>
                  <w:vAlign w:val="center"/>
                </w:tcPr>
                <w:p w14:paraId="1E6DF8B6">
                  <w:pPr>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建设</w:t>
                  </w:r>
                </w:p>
                <w:p w14:paraId="63879338">
                  <w:pPr>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项目</w:t>
                  </w:r>
                </w:p>
              </w:tc>
              <w:tc>
                <w:tcPr>
                  <w:tcW w:w="3957" w:type="pct"/>
                  <w:noWrap w:val="0"/>
                  <w:vAlign w:val="center"/>
                </w:tcPr>
                <w:p w14:paraId="04BBF4D7">
                  <w:pPr>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14:textFill>
                        <w14:solidFill>
                          <w14:schemeClr w14:val="tx1"/>
                        </w14:solidFill>
                      </w14:textFill>
                    </w:rPr>
                    <w:t>建设内容</w:t>
                  </w:r>
                </w:p>
              </w:tc>
              <w:tc>
                <w:tcPr>
                  <w:tcW w:w="248" w:type="pct"/>
                  <w:noWrap w:val="0"/>
                  <w:vAlign w:val="center"/>
                </w:tcPr>
                <w:p w14:paraId="65572C0C">
                  <w:pPr>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备注</w:t>
                  </w:r>
                </w:p>
              </w:tc>
            </w:tr>
            <w:tr w14:paraId="32736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8" w:hRule="atLeast"/>
                <w:jc w:val="center"/>
              </w:trPr>
              <w:tc>
                <w:tcPr>
                  <w:tcW w:w="380" w:type="pct"/>
                  <w:vMerge w:val="restart"/>
                  <w:noWrap w:val="0"/>
                  <w:vAlign w:val="center"/>
                </w:tcPr>
                <w:p w14:paraId="488348AF">
                  <w:pPr>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主体</w:t>
                  </w:r>
                </w:p>
                <w:p w14:paraId="75E54239">
                  <w:pPr>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工程</w:t>
                  </w:r>
                </w:p>
              </w:tc>
              <w:tc>
                <w:tcPr>
                  <w:tcW w:w="414" w:type="pct"/>
                  <w:vMerge w:val="restart"/>
                  <w:noWrap w:val="0"/>
                  <w:vAlign w:val="center"/>
                </w:tcPr>
                <w:p w14:paraId="56DA7F0A">
                  <w:pPr>
                    <w:adjustRightInd w:val="0"/>
                    <w:snapToGrid w:val="0"/>
                    <w:jc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回转窑</w:t>
                  </w:r>
                </w:p>
              </w:tc>
              <w:tc>
                <w:tcPr>
                  <w:tcW w:w="3957" w:type="pct"/>
                  <w:noWrap w:val="0"/>
                  <w:vAlign w:val="center"/>
                </w:tcPr>
                <w:p w14:paraId="37BB05E4">
                  <w:pPr>
                    <w:adjustRightInd w:val="0"/>
                    <w:snapToGrid w:val="0"/>
                    <w:jc w:val="both"/>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回转窑分为</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窑中、窑尾，窑头负责点火燃烧</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窑尾</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进行</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余热利用焙烧</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窑中</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进行煅烧</w:t>
                  </w:r>
                </w:p>
              </w:tc>
              <w:tc>
                <w:tcPr>
                  <w:tcW w:w="248" w:type="pct"/>
                  <w:noWrap w:val="0"/>
                  <w:vAlign w:val="top"/>
                </w:tcPr>
                <w:p w14:paraId="5E090CFE">
                  <w:pPr>
                    <w:pStyle w:val="116"/>
                    <w:spacing w:before="72" w:line="220" w:lineRule="auto"/>
                    <w:ind w:left="158" w:leftChars="0"/>
                    <w:jc w:val="both"/>
                    <w:rPr>
                      <w:rFonts w:hint="default" w:ascii="Times New Roman" w:hAnsi="Times New Roman" w:eastAsia="宋体" w:cs="Times New Roman"/>
                      <w:color w:val="000000" w:themeColor="text1"/>
                      <w:spacing w:val="-3"/>
                      <w:kern w:val="2"/>
                      <w:sz w:val="21"/>
                      <w:szCs w:val="21"/>
                      <w:highlight w:val="none"/>
                      <w:lang w:val="en-US" w:eastAsia="en-US" w:bidi="ar-SA"/>
                      <w14:textFill>
                        <w14:solidFill>
                          <w14:schemeClr w14:val="tx1"/>
                        </w14:solidFill>
                      </w14:textFill>
                    </w:rPr>
                  </w:pPr>
                  <w:r>
                    <w:rPr>
                      <w:rFonts w:hint="default" w:ascii="Times New Roman" w:hAnsi="Times New Roman" w:eastAsia="宋体" w:cs="Times New Roman"/>
                      <w:color w:val="000000" w:themeColor="text1"/>
                      <w:spacing w:val="-3"/>
                      <w:sz w:val="21"/>
                      <w:szCs w:val="21"/>
                      <w:highlight w:val="none"/>
                      <w14:textFill>
                        <w14:solidFill>
                          <w14:schemeClr w14:val="tx1"/>
                        </w14:solidFill>
                      </w14:textFill>
                    </w:rPr>
                    <w:t>新建</w:t>
                  </w:r>
                </w:p>
              </w:tc>
            </w:tr>
            <w:tr w14:paraId="75FAA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1" w:hRule="atLeast"/>
                <w:jc w:val="center"/>
              </w:trPr>
              <w:tc>
                <w:tcPr>
                  <w:tcW w:w="380" w:type="pct"/>
                  <w:vMerge w:val="continue"/>
                  <w:noWrap w:val="0"/>
                  <w:vAlign w:val="center"/>
                </w:tcPr>
                <w:p w14:paraId="09C1AFDF">
                  <w:pPr>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414" w:type="pct"/>
                  <w:vMerge w:val="continue"/>
                  <w:noWrap w:val="0"/>
                  <w:vAlign w:val="center"/>
                </w:tcPr>
                <w:p w14:paraId="32947AE7">
                  <w:pPr>
                    <w:adjustRightInd w:val="0"/>
                    <w:snapToGrid w:val="0"/>
                    <w:jc w:val="cente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p>
              </w:tc>
              <w:tc>
                <w:tcPr>
                  <w:tcW w:w="3957" w:type="pct"/>
                  <w:noWrap w:val="0"/>
                  <w:vAlign w:val="center"/>
                </w:tcPr>
                <w:p w14:paraId="178A10A2">
                  <w:pPr>
                    <w:adjustRightInd w:val="0"/>
                    <w:snapToGrid w:val="0"/>
                    <w:jc w:val="both"/>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窑尾建筑面积为1717.52m</w:t>
                  </w:r>
                  <w:r>
                    <w:rPr>
                      <w:rFonts w:hint="default" w:ascii="Times New Roman" w:hAnsi="Times New Roman" w:eastAsia="宋体" w:cs="Times New Roman"/>
                      <w:b w:val="0"/>
                      <w:bCs w:val="0"/>
                      <w:color w:val="000000" w:themeColor="text1"/>
                      <w:sz w:val="21"/>
                      <w:szCs w:val="21"/>
                      <w:highlight w:val="none"/>
                      <w:vertAlign w:val="superscript"/>
                      <w:lang w:val="en-US" w:eastAsia="zh-CN"/>
                      <w14:textFill>
                        <w14:solidFill>
                          <w14:schemeClr w14:val="tx1"/>
                        </w14:solidFill>
                      </w14:textFill>
                    </w:rPr>
                    <w:t>2</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，设置</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1</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套悬浮焙烧系统，</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燃料为</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煤气</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悬浮炉φ4000mm，旋风筒</w:t>
                  </w:r>
                  <w:r>
                    <w:rPr>
                      <w:rFonts w:hint="default" w:ascii="Times New Roman" w:hAnsi="Times New Roman" w:cs="Times New Roman"/>
                      <w:b w:val="0"/>
                      <w:bCs/>
                      <w:color w:val="000000" w:themeColor="text1"/>
                      <w:sz w:val="21"/>
                      <w:szCs w:val="21"/>
                      <w:highlight w:val="none"/>
                      <w:lang w:val="en-US" w:eastAsia="zh-CN"/>
                      <w14:textFill>
                        <w14:solidFill>
                          <w14:schemeClr w14:val="tx1"/>
                        </w14:solidFill>
                      </w14:textFill>
                    </w:rPr>
                    <w:t>2</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C1φ4300mm、C2-C4φ5500mm</w:t>
                  </w:r>
                </w:p>
              </w:tc>
              <w:tc>
                <w:tcPr>
                  <w:tcW w:w="248" w:type="pct"/>
                  <w:noWrap w:val="0"/>
                  <w:vAlign w:val="center"/>
                </w:tcPr>
                <w:p w14:paraId="1FCF7D5F">
                  <w:pPr>
                    <w:pStyle w:val="116"/>
                    <w:spacing w:before="72" w:line="220" w:lineRule="auto"/>
                    <w:ind w:left="158" w:leftChars="0"/>
                    <w:jc w:val="left"/>
                    <w:rPr>
                      <w:rFonts w:hint="default" w:ascii="Times New Roman" w:hAnsi="Times New Roman" w:eastAsia="宋体" w:cs="Times New Roman"/>
                      <w:color w:val="000000" w:themeColor="text1"/>
                      <w:spacing w:val="-3"/>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3"/>
                      <w:sz w:val="21"/>
                      <w:szCs w:val="21"/>
                      <w:highlight w:val="none"/>
                      <w14:textFill>
                        <w14:solidFill>
                          <w14:schemeClr w14:val="tx1"/>
                        </w14:solidFill>
                      </w14:textFill>
                    </w:rPr>
                    <w:t>新建</w:t>
                  </w:r>
                </w:p>
              </w:tc>
            </w:tr>
            <w:tr w14:paraId="3B85D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1" w:hRule="atLeast"/>
                <w:jc w:val="center"/>
              </w:trPr>
              <w:tc>
                <w:tcPr>
                  <w:tcW w:w="380" w:type="pct"/>
                  <w:vMerge w:val="continue"/>
                  <w:noWrap w:val="0"/>
                  <w:vAlign w:val="center"/>
                </w:tcPr>
                <w:p w14:paraId="7E79C58B">
                  <w:pPr>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414" w:type="pct"/>
                  <w:vMerge w:val="continue"/>
                  <w:noWrap w:val="0"/>
                  <w:vAlign w:val="center"/>
                </w:tcPr>
                <w:p w14:paraId="59E6147D">
                  <w:pPr>
                    <w:adjustRightInd w:val="0"/>
                    <w:snapToGrid w:val="0"/>
                    <w:jc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p>
              </w:tc>
              <w:tc>
                <w:tcPr>
                  <w:tcW w:w="3957" w:type="pct"/>
                  <w:noWrap w:val="0"/>
                  <w:vAlign w:val="top"/>
                </w:tcPr>
                <w:p w14:paraId="48091138">
                  <w:pPr>
                    <w:adjustRightInd w:val="0"/>
                    <w:snapToGrid w:val="0"/>
                    <w:jc w:val="both"/>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回转窑窑中建筑面积为121m</w:t>
                  </w:r>
                  <w:r>
                    <w:rPr>
                      <w:rFonts w:hint="default" w:ascii="Times New Roman" w:hAnsi="Times New Roman" w:eastAsia="宋体" w:cs="Times New Roman"/>
                      <w:b w:val="0"/>
                      <w:bCs w:val="0"/>
                      <w:color w:val="000000" w:themeColor="text1"/>
                      <w:sz w:val="21"/>
                      <w:szCs w:val="21"/>
                      <w:highlight w:val="none"/>
                      <w:vertAlign w:val="superscript"/>
                      <w:lang w:val="en-US" w:eastAsia="zh-CN"/>
                      <w14:textFill>
                        <w14:solidFill>
                          <w14:schemeClr w14:val="tx1"/>
                        </w14:solidFill>
                      </w14:textFill>
                    </w:rPr>
                    <w:t>2</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回转窑φ4.2×70m</w:t>
                  </w:r>
                  <w:r>
                    <w:rPr>
                      <w:rFonts w:hint="default" w:ascii="Times New Roman" w:hAnsi="Times New Roman" w:cs="Times New Roman"/>
                      <w:b w:val="0"/>
                      <w:bCs/>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通过窑中的燃气热风炉煅烧脱碳后的</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原料</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粉</w:t>
                  </w:r>
                </w:p>
              </w:tc>
              <w:tc>
                <w:tcPr>
                  <w:tcW w:w="248" w:type="pct"/>
                  <w:noWrap w:val="0"/>
                  <w:vAlign w:val="center"/>
                </w:tcPr>
                <w:p w14:paraId="1948C5B5">
                  <w:pPr>
                    <w:pStyle w:val="116"/>
                    <w:spacing w:before="72" w:line="220" w:lineRule="auto"/>
                    <w:ind w:left="158" w:leftChars="0"/>
                    <w:jc w:val="both"/>
                    <w:rPr>
                      <w:rFonts w:hint="default" w:ascii="Times New Roman" w:hAnsi="Times New Roman" w:eastAsia="宋体" w:cs="Times New Roman"/>
                      <w:color w:val="000000" w:themeColor="text1"/>
                      <w:spacing w:val="-3"/>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3"/>
                      <w:sz w:val="21"/>
                      <w:szCs w:val="21"/>
                      <w:highlight w:val="none"/>
                      <w14:textFill>
                        <w14:solidFill>
                          <w14:schemeClr w14:val="tx1"/>
                        </w14:solidFill>
                      </w14:textFill>
                    </w:rPr>
                    <w:t>新建</w:t>
                  </w:r>
                </w:p>
              </w:tc>
            </w:tr>
            <w:tr w14:paraId="0483B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1" w:hRule="atLeast"/>
                <w:jc w:val="center"/>
              </w:trPr>
              <w:tc>
                <w:tcPr>
                  <w:tcW w:w="380" w:type="pct"/>
                  <w:vMerge w:val="continue"/>
                  <w:noWrap w:val="0"/>
                  <w:vAlign w:val="center"/>
                </w:tcPr>
                <w:p w14:paraId="5EA1F403">
                  <w:pPr>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414" w:type="pct"/>
                  <w:noWrap w:val="0"/>
                  <w:vAlign w:val="center"/>
                </w:tcPr>
                <w:p w14:paraId="14494FAE">
                  <w:pPr>
                    <w:adjustRightInd w:val="0"/>
                    <w:snapToGrid w:val="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冷却</w:t>
                  </w:r>
                </w:p>
                <w:p w14:paraId="127D77FD">
                  <w:pPr>
                    <w:adjustRightInd w:val="0"/>
                    <w:snapToGrid w:val="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系统</w:t>
                  </w:r>
                </w:p>
              </w:tc>
              <w:tc>
                <w:tcPr>
                  <w:tcW w:w="3957" w:type="pct"/>
                  <w:noWrap w:val="0"/>
                  <w:vAlign w:val="top"/>
                </w:tcPr>
                <w:p w14:paraId="74BDADF3">
                  <w:pPr>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建筑面积约843.03m</w:t>
                  </w:r>
                  <w:r>
                    <w:rPr>
                      <w:rFonts w:hint="default" w:ascii="Times New Roman" w:hAnsi="Times New Roman" w:eastAsia="宋体" w:cs="Times New Roman"/>
                      <w:color w:val="000000" w:themeColor="text1"/>
                      <w:szCs w:val="21"/>
                      <w:highlight w:val="none"/>
                      <w:vertAlign w:val="superscript"/>
                      <w14:textFill>
                        <w14:solidFill>
                          <w14:schemeClr w14:val="tx1"/>
                        </w14:solidFill>
                      </w14:textFill>
                    </w:rPr>
                    <w:t>2</w:t>
                  </w:r>
                  <w:r>
                    <w:rPr>
                      <w:rFonts w:hint="default" w:ascii="Times New Roman" w:hAnsi="Times New Roman" w:eastAsia="宋体" w:cs="Times New Roman"/>
                      <w:color w:val="000000" w:themeColor="text1"/>
                      <w:szCs w:val="21"/>
                      <w:highlight w:val="none"/>
                      <w:vertAlign w:val="baseline"/>
                      <w:lang w:eastAsia="zh-CN"/>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适配</w:t>
                  </w:r>
                  <w:r>
                    <w:rPr>
                      <w:rFonts w:hint="default" w:ascii="Times New Roman" w:hAnsi="Times New Roman" w:cs="Times New Roman"/>
                      <w:b w:val="0"/>
                      <w:bCs/>
                      <w:color w:val="000000" w:themeColor="text1"/>
                      <w:sz w:val="21"/>
                      <w:szCs w:val="21"/>
                      <w:highlight w:val="none"/>
                      <w:lang w:val="en-US" w:eastAsia="zh-CN"/>
                      <w14:textFill>
                        <w14:solidFill>
                          <w14:schemeClr w14:val="tx1"/>
                        </w14:solidFill>
                      </w14:textFill>
                    </w:rPr>
                    <w:t>667</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t/d冷却能力</w:t>
                  </w:r>
                  <w:r>
                    <w:rPr>
                      <w:rFonts w:hint="default" w:ascii="Times New Roman" w:hAnsi="Times New Roman" w:cs="Times New Roman"/>
                      <w:b w:val="0"/>
                      <w:bCs/>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窑头焙烧后的物料</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经过</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两级冷却，分别为高温粉体对流式急冷换热装置和吸风输送管道进行冷却</w:t>
                  </w:r>
                </w:p>
              </w:tc>
              <w:tc>
                <w:tcPr>
                  <w:tcW w:w="248" w:type="pct"/>
                  <w:noWrap w:val="0"/>
                  <w:vAlign w:val="center"/>
                </w:tcPr>
                <w:p w14:paraId="0C8F6784">
                  <w:pPr>
                    <w:pStyle w:val="116"/>
                    <w:spacing w:before="72" w:line="220" w:lineRule="auto"/>
                    <w:ind w:left="158" w:leftChars="0"/>
                    <w:jc w:val="both"/>
                    <w:rPr>
                      <w:rFonts w:hint="default" w:ascii="Times New Roman" w:hAnsi="Times New Roman" w:eastAsia="宋体" w:cs="Times New Roman"/>
                      <w:color w:val="000000" w:themeColor="text1"/>
                      <w:spacing w:val="-3"/>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3"/>
                      <w:sz w:val="21"/>
                      <w:szCs w:val="21"/>
                      <w:highlight w:val="none"/>
                      <w14:textFill>
                        <w14:solidFill>
                          <w14:schemeClr w14:val="tx1"/>
                        </w14:solidFill>
                      </w14:textFill>
                    </w:rPr>
                    <w:t>新建</w:t>
                  </w:r>
                </w:p>
              </w:tc>
            </w:tr>
            <w:tr w14:paraId="41968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1" w:hRule="atLeast"/>
                <w:jc w:val="center"/>
              </w:trPr>
              <w:tc>
                <w:tcPr>
                  <w:tcW w:w="380" w:type="pct"/>
                  <w:vMerge w:val="continue"/>
                  <w:noWrap w:val="0"/>
                  <w:vAlign w:val="center"/>
                </w:tcPr>
                <w:p w14:paraId="1282EB9D">
                  <w:pPr>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414" w:type="pct"/>
                  <w:noWrap w:val="0"/>
                  <w:vAlign w:val="center"/>
                </w:tcPr>
                <w:p w14:paraId="6A93C3D6">
                  <w:pPr>
                    <w:adjustRightInd w:val="0"/>
                    <w:snapToGrid w:val="0"/>
                    <w:jc w:val="cente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分选</w:t>
                  </w:r>
                </w:p>
                <w:p w14:paraId="0C671778">
                  <w:pPr>
                    <w:adjustRightInd w:val="0"/>
                    <w:snapToGrid w:val="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系统</w:t>
                  </w:r>
                </w:p>
              </w:tc>
              <w:tc>
                <w:tcPr>
                  <w:tcW w:w="3957" w:type="pct"/>
                  <w:noWrap w:val="0"/>
                  <w:vAlign w:val="top"/>
                </w:tcPr>
                <w:p w14:paraId="3C34F9DF">
                  <w:pPr>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建筑面积约</w:t>
                  </w:r>
                  <w:r>
                    <w:rPr>
                      <w:rFonts w:hint="default" w:ascii="Times New Roman" w:hAnsi="Times New Roman" w:cs="Times New Roman"/>
                      <w:color w:val="000000" w:themeColor="text1"/>
                      <w:szCs w:val="21"/>
                      <w:highlight w:val="none"/>
                      <w:lang w:val="en-US" w:eastAsia="zh-CN"/>
                      <w14:textFill>
                        <w14:solidFill>
                          <w14:schemeClr w14:val="tx1"/>
                        </w14:solidFill>
                      </w14:textFill>
                    </w:rPr>
                    <w:t>22</w:t>
                  </w: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00</w:t>
                  </w:r>
                  <w:r>
                    <w:rPr>
                      <w:rFonts w:hint="default" w:ascii="Times New Roman" w:hAnsi="Times New Roman" w:eastAsia="宋体" w:cs="Times New Roman"/>
                      <w:color w:val="000000" w:themeColor="text1"/>
                      <w:szCs w:val="21"/>
                      <w:highlight w:val="none"/>
                      <w14:textFill>
                        <w14:solidFill>
                          <w14:schemeClr w14:val="tx1"/>
                        </w14:solidFill>
                      </w14:textFill>
                    </w:rPr>
                    <w:t>m</w:t>
                  </w:r>
                  <w:r>
                    <w:rPr>
                      <w:rFonts w:hint="default" w:ascii="Times New Roman" w:hAnsi="Times New Roman" w:eastAsia="宋体" w:cs="Times New Roman"/>
                      <w:color w:val="000000" w:themeColor="text1"/>
                      <w:szCs w:val="21"/>
                      <w:highlight w:val="none"/>
                      <w:vertAlign w:val="superscript"/>
                      <w14:textFill>
                        <w14:solidFill>
                          <w14:schemeClr w14:val="tx1"/>
                        </w14:solidFill>
                      </w14:textFill>
                    </w:rPr>
                    <w:t>2</w:t>
                  </w:r>
                  <w:r>
                    <w:rPr>
                      <w:rFonts w:hint="default" w:ascii="Times New Roman" w:hAnsi="Times New Roman" w:eastAsia="宋体" w:cs="Times New Roman"/>
                      <w:color w:val="000000" w:themeColor="text1"/>
                      <w:szCs w:val="21"/>
                      <w:highlight w:val="none"/>
                      <w:vertAlign w:val="baseline"/>
                      <w:lang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需要球磨的物料进入球磨机，产品为小包装产品</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冷却后的成品经过打散分级机和粉磨</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成品和不合格品黄料分别气力输送至成品</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仓</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和黄料仓</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w:t>
                  </w:r>
                </w:p>
              </w:tc>
              <w:tc>
                <w:tcPr>
                  <w:tcW w:w="248" w:type="pct"/>
                  <w:noWrap w:val="0"/>
                  <w:vAlign w:val="center"/>
                </w:tcPr>
                <w:p w14:paraId="20126838">
                  <w:pPr>
                    <w:pStyle w:val="116"/>
                    <w:spacing w:before="72" w:line="220" w:lineRule="auto"/>
                    <w:ind w:left="158" w:leftChars="0"/>
                    <w:jc w:val="both"/>
                    <w:rPr>
                      <w:rFonts w:hint="default" w:ascii="Times New Roman" w:hAnsi="Times New Roman" w:eastAsia="宋体" w:cs="Times New Roman"/>
                      <w:color w:val="000000" w:themeColor="text1"/>
                      <w:spacing w:val="-3"/>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3"/>
                      <w:sz w:val="21"/>
                      <w:szCs w:val="21"/>
                      <w:highlight w:val="none"/>
                      <w14:textFill>
                        <w14:solidFill>
                          <w14:schemeClr w14:val="tx1"/>
                        </w14:solidFill>
                      </w14:textFill>
                    </w:rPr>
                    <w:t>新建</w:t>
                  </w:r>
                </w:p>
              </w:tc>
            </w:tr>
            <w:tr w14:paraId="4B4AB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80" w:type="pct"/>
                  <w:vMerge w:val="continue"/>
                  <w:noWrap w:val="0"/>
                  <w:vAlign w:val="center"/>
                </w:tcPr>
                <w:p w14:paraId="4CF6778B">
                  <w:pPr>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414" w:type="pct"/>
                  <w:noWrap w:val="0"/>
                  <w:vAlign w:val="center"/>
                </w:tcPr>
                <w:p w14:paraId="45B35E78">
                  <w:pPr>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包装</w:t>
                  </w:r>
                </w:p>
                <w:p w14:paraId="3CB852E2">
                  <w:pPr>
                    <w:adjustRightInd w:val="0"/>
                    <w:snapToGrid w:val="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存储</w:t>
                  </w:r>
                </w:p>
              </w:tc>
              <w:tc>
                <w:tcPr>
                  <w:tcW w:w="3957" w:type="pct"/>
                  <w:noWrap w:val="0"/>
                  <w:vAlign w:val="top"/>
                </w:tcPr>
                <w:p w14:paraId="7C06A4FA">
                  <w:pPr>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设置</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于产品堆存棚内部，高活性</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高岭石成品</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8</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套</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大包装的</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包装机</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；1套小包装</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的</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八嘴回转包装机（配套有自动插袋机</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，包装袋规格</w:t>
                  </w:r>
                  <w:r>
                    <w:rPr>
                      <w:rFonts w:hint="eastAsia" w:ascii="Times New Roman" w:hAnsi="Times New Roman" w:cs="Times New Roman"/>
                      <w:b w:val="0"/>
                      <w:bCs w:val="0"/>
                      <w:color w:val="000000" w:themeColor="text1"/>
                      <w:sz w:val="21"/>
                      <w:szCs w:val="21"/>
                      <w:highlight w:val="none"/>
                      <w:lang w:eastAsia="zh-CN"/>
                      <w14:textFill>
                        <w14:solidFill>
                          <w14:schemeClr w14:val="tx1"/>
                        </w14:solidFill>
                      </w14:textFill>
                    </w:rPr>
                    <w:t>为1</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.0～1.5</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t</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和0.05t</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w:t>
                  </w:r>
                </w:p>
              </w:tc>
              <w:tc>
                <w:tcPr>
                  <w:tcW w:w="248" w:type="pct"/>
                  <w:noWrap w:val="0"/>
                  <w:vAlign w:val="center"/>
                </w:tcPr>
                <w:p w14:paraId="37654A66">
                  <w:pPr>
                    <w:pStyle w:val="116"/>
                    <w:spacing w:before="72" w:line="220" w:lineRule="auto"/>
                    <w:ind w:left="158" w:leftChars="0"/>
                    <w:jc w:val="both"/>
                    <w:rPr>
                      <w:rFonts w:hint="default" w:ascii="Times New Roman" w:hAnsi="Times New Roman" w:eastAsia="宋体" w:cs="Times New Roman"/>
                      <w:color w:val="000000" w:themeColor="text1"/>
                      <w:spacing w:val="-3"/>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3"/>
                      <w:sz w:val="21"/>
                      <w:szCs w:val="21"/>
                      <w:highlight w:val="none"/>
                      <w14:textFill>
                        <w14:solidFill>
                          <w14:schemeClr w14:val="tx1"/>
                        </w14:solidFill>
                      </w14:textFill>
                    </w:rPr>
                    <w:t>新建</w:t>
                  </w:r>
                </w:p>
              </w:tc>
            </w:tr>
            <w:tr w14:paraId="47673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1" w:hRule="atLeast"/>
                <w:jc w:val="center"/>
              </w:trPr>
              <w:tc>
                <w:tcPr>
                  <w:tcW w:w="380" w:type="pct"/>
                  <w:vMerge w:val="continue"/>
                  <w:noWrap w:val="0"/>
                  <w:vAlign w:val="center"/>
                </w:tcPr>
                <w:p w14:paraId="22B791A6">
                  <w:pPr>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414" w:type="pct"/>
                  <w:noWrap w:val="0"/>
                  <w:vAlign w:val="center"/>
                </w:tcPr>
                <w:p w14:paraId="1F86F137">
                  <w:pPr>
                    <w:adjustRightInd w:val="0"/>
                    <w:snapToGrid w:val="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余热</w:t>
                  </w:r>
                </w:p>
                <w:p w14:paraId="4741AA09">
                  <w:pPr>
                    <w:adjustRightInd w:val="0"/>
                    <w:snapToGrid w:val="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锅炉</w:t>
                  </w:r>
                </w:p>
              </w:tc>
              <w:tc>
                <w:tcPr>
                  <w:tcW w:w="3957" w:type="pct"/>
                  <w:noWrap w:val="0"/>
                  <w:vAlign w:val="center"/>
                </w:tcPr>
                <w:p w14:paraId="79A6FA76">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eastAsia="宋体" w:cs="Times New Roman"/>
                      <w:b w:val="0"/>
                      <w:bCs w:val="0"/>
                      <w:color w:val="000000" w:themeColor="text1"/>
                      <w:sz w:val="21"/>
                      <w:szCs w:val="21"/>
                      <w:highlight w:val="none"/>
                      <w:lang w:val="en-US"/>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建筑面积约</w:t>
                  </w: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600</w:t>
                  </w:r>
                  <w:r>
                    <w:rPr>
                      <w:rFonts w:hint="default" w:ascii="Times New Roman" w:hAnsi="Times New Roman" w:eastAsia="宋体" w:cs="Times New Roman"/>
                      <w:color w:val="000000" w:themeColor="text1"/>
                      <w:szCs w:val="21"/>
                      <w:highlight w:val="none"/>
                      <w14:textFill>
                        <w14:solidFill>
                          <w14:schemeClr w14:val="tx1"/>
                        </w14:solidFill>
                      </w14:textFill>
                    </w:rPr>
                    <w:t>m</w:t>
                  </w:r>
                  <w:r>
                    <w:rPr>
                      <w:rFonts w:hint="default" w:ascii="Times New Roman" w:hAnsi="Times New Roman" w:eastAsia="宋体" w:cs="Times New Roman"/>
                      <w:color w:val="000000" w:themeColor="text1"/>
                      <w:szCs w:val="21"/>
                      <w:highlight w:val="none"/>
                      <w:vertAlign w:val="superscript"/>
                      <w14:textFill>
                        <w14:solidFill>
                          <w14:schemeClr w14:val="tx1"/>
                        </w14:solidFill>
                      </w14:textFill>
                    </w:rPr>
                    <w:t>2</w:t>
                  </w:r>
                  <w:r>
                    <w:rPr>
                      <w:rFonts w:hint="default" w:ascii="Times New Roman" w:hAnsi="Times New Roman" w:eastAsia="宋体" w:cs="Times New Roman"/>
                      <w:color w:val="000000" w:themeColor="text1"/>
                      <w:szCs w:val="21"/>
                      <w:highlight w:val="none"/>
                      <w:vertAlign w:val="baseline"/>
                      <w:lang w:eastAsia="zh-CN"/>
                      <w14:textFill>
                        <w14:solidFill>
                          <w14:schemeClr w14:val="tx1"/>
                        </w14:solidFill>
                      </w14:textFill>
                    </w:rPr>
                    <w:t>，</w:t>
                  </w:r>
                  <w:r>
                    <w:rPr>
                      <w:rFonts w:hint="eastAsia" w:cs="Times New Roman"/>
                      <w:color w:val="000000" w:themeColor="text1"/>
                      <w:szCs w:val="21"/>
                      <w:highlight w:val="none"/>
                      <w:vertAlign w:val="baseline"/>
                      <w:lang w:val="en-US" w:eastAsia="zh-CN"/>
                      <w14:textFill>
                        <w14:solidFill>
                          <w14:schemeClr w14:val="tx1"/>
                        </w14:solidFill>
                      </w14:textFill>
                    </w:rPr>
                    <w:t>设置1台余热锅炉，热力工艺系统主要包括：主蒸汽系统、疏放水及放气系统、给水系统、锅炉排污系统、给水回热系统等。余热供汽</w:t>
                  </w:r>
                  <w:r>
                    <w:rPr>
                      <w:rFonts w:hint="default" w:ascii="Times New Roman" w:hAnsi="Times New Roman" w:eastAsia="宋体" w:cs="Times New Roman"/>
                      <w:color w:val="000000" w:themeColor="text1"/>
                      <w:szCs w:val="21"/>
                      <w:highlight w:val="none"/>
                      <w:vertAlign w:val="baseline"/>
                      <w:lang w:val="en-US" w:eastAsia="zh-CN"/>
                      <w14:textFill>
                        <w14:solidFill>
                          <w14:schemeClr w14:val="tx1"/>
                        </w14:solidFill>
                      </w14:textFill>
                    </w:rPr>
                    <w:t>系统产生1MPa-420℃的过热蒸汽15.09t/h，除去锅炉自身给水加热及供汽管道疏水，可以对蒸汽用户提供约9.5t/h的蒸汽。</w:t>
                  </w:r>
                  <w:r>
                    <w:rPr>
                      <w:rFonts w:hint="default" w:ascii="Times New Roman" w:hAnsi="Times New Roman" w:cs="Times New Roman"/>
                      <w:color w:val="000000" w:themeColor="text1"/>
                      <w:szCs w:val="21"/>
                      <w:highlight w:val="none"/>
                      <w:vertAlign w:val="baseline"/>
                      <w:lang w:val="en-US" w:eastAsia="zh-CN"/>
                      <w14:textFill>
                        <w14:solidFill>
                          <w14:schemeClr w14:val="tx1"/>
                        </w14:solidFill>
                      </w14:textFill>
                    </w:rPr>
                    <w:t>在预热器出口的烟气送余热锅炉</w:t>
                  </w:r>
                  <w:r>
                    <w:rPr>
                      <w:rFonts w:hint="default" w:ascii="Times New Roman" w:hAnsi="Times New Roman" w:eastAsia="宋体" w:cs="Times New Roman"/>
                      <w:color w:val="000000" w:themeColor="text1"/>
                      <w:szCs w:val="21"/>
                      <w:highlight w:val="none"/>
                      <w:vertAlign w:val="baseline"/>
                      <w:lang w:val="en-US" w:eastAsia="zh-CN"/>
                      <w14:textFill>
                        <w14:solidFill>
                          <w14:schemeClr w14:val="tx1"/>
                        </w14:solidFill>
                      </w14:textFill>
                    </w:rPr>
                    <w:t>回收烟气余热。</w:t>
                  </w:r>
                </w:p>
              </w:tc>
              <w:tc>
                <w:tcPr>
                  <w:tcW w:w="248" w:type="pct"/>
                  <w:noWrap w:val="0"/>
                  <w:vAlign w:val="center"/>
                </w:tcPr>
                <w:p w14:paraId="19411132">
                  <w:pPr>
                    <w:pStyle w:val="116"/>
                    <w:spacing w:before="72" w:line="220" w:lineRule="auto"/>
                    <w:ind w:left="158" w:leftChars="0"/>
                    <w:jc w:val="both"/>
                    <w:rPr>
                      <w:rFonts w:hint="default" w:ascii="Times New Roman" w:hAnsi="Times New Roman" w:eastAsia="宋体" w:cs="Times New Roman"/>
                      <w:color w:val="000000" w:themeColor="text1"/>
                      <w:spacing w:val="-3"/>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3"/>
                      <w:sz w:val="21"/>
                      <w:szCs w:val="21"/>
                      <w:highlight w:val="none"/>
                      <w14:textFill>
                        <w14:solidFill>
                          <w14:schemeClr w14:val="tx1"/>
                        </w14:solidFill>
                      </w14:textFill>
                    </w:rPr>
                    <w:t>新建</w:t>
                  </w:r>
                </w:p>
              </w:tc>
            </w:tr>
            <w:tr w14:paraId="4604F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1" w:hRule="atLeast"/>
                <w:jc w:val="center"/>
              </w:trPr>
              <w:tc>
                <w:tcPr>
                  <w:tcW w:w="380" w:type="pct"/>
                  <w:vMerge w:val="restart"/>
                  <w:noWrap w:val="0"/>
                  <w:vAlign w:val="center"/>
                </w:tcPr>
                <w:p w14:paraId="242F219B">
                  <w:pPr>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辅助</w:t>
                  </w:r>
                </w:p>
                <w:p w14:paraId="3C3C1AC7">
                  <w:pPr>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工程</w:t>
                  </w:r>
                </w:p>
              </w:tc>
              <w:tc>
                <w:tcPr>
                  <w:tcW w:w="414" w:type="pct"/>
                  <w:noWrap w:val="0"/>
                  <w:vAlign w:val="center"/>
                </w:tcPr>
                <w:p w14:paraId="54BDF851">
                  <w:pPr>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空压</w:t>
                  </w:r>
                </w:p>
                <w:p w14:paraId="6C3EED35">
                  <w:pPr>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机站</w:t>
                  </w:r>
                </w:p>
              </w:tc>
              <w:tc>
                <w:tcPr>
                  <w:tcW w:w="3957" w:type="pct"/>
                  <w:noWrap w:val="0"/>
                  <w:vAlign w:val="center"/>
                </w:tcPr>
                <w:p w14:paraId="5B57AC4F">
                  <w:pPr>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b w:val="0"/>
                      <w:bCs w:val="0"/>
                      <w:color w:val="000000" w:themeColor="text1"/>
                      <w:sz w:val="21"/>
                      <w:szCs w:val="21"/>
                      <w:highlight w:val="none"/>
                      <w:lang w:val="en-US"/>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14:textFill>
                        <w14:solidFill>
                          <w14:schemeClr w14:val="tx1"/>
                        </w14:solidFill>
                      </w14:textFill>
                    </w:rPr>
                    <w:t>本项目设置一座空气压缩机站，</w:t>
                  </w:r>
                  <w:r>
                    <w:rPr>
                      <w:rFonts w:hint="default" w:ascii="Times New Roman" w:hAnsi="Times New Roman" w:eastAsia="宋体" w:cs="Times New Roman"/>
                      <w:color w:val="000000" w:themeColor="text1"/>
                      <w:szCs w:val="21"/>
                      <w:highlight w:val="none"/>
                      <w14:textFill>
                        <w14:solidFill>
                          <w14:schemeClr w14:val="tx1"/>
                        </w14:solidFill>
                      </w14:textFill>
                    </w:rPr>
                    <w:t>建筑面积约</w:t>
                  </w:r>
                  <w:r>
                    <w:rPr>
                      <w:rFonts w:hint="default" w:ascii="Times New Roman" w:hAnsi="Times New Roman" w:cs="Times New Roman"/>
                      <w:color w:val="000000" w:themeColor="text1"/>
                      <w:szCs w:val="21"/>
                      <w:highlight w:val="none"/>
                      <w:lang w:val="en-US" w:eastAsia="zh-CN"/>
                      <w14:textFill>
                        <w14:solidFill>
                          <w14:schemeClr w14:val="tx1"/>
                        </w14:solidFill>
                      </w14:textFill>
                    </w:rPr>
                    <w:t>300</w:t>
                  </w:r>
                  <w:r>
                    <w:rPr>
                      <w:rFonts w:hint="default" w:ascii="Times New Roman" w:hAnsi="Times New Roman" w:eastAsia="宋体" w:cs="Times New Roman"/>
                      <w:color w:val="000000" w:themeColor="text1"/>
                      <w:szCs w:val="21"/>
                      <w:highlight w:val="none"/>
                      <w14:textFill>
                        <w14:solidFill>
                          <w14:schemeClr w14:val="tx1"/>
                        </w14:solidFill>
                      </w14:textFill>
                    </w:rPr>
                    <w:t>m</w:t>
                  </w:r>
                  <w:r>
                    <w:rPr>
                      <w:rFonts w:hint="default" w:ascii="Times New Roman" w:hAnsi="Times New Roman" w:eastAsia="宋体" w:cs="Times New Roman"/>
                      <w:color w:val="000000" w:themeColor="text1"/>
                      <w:szCs w:val="21"/>
                      <w:highlight w:val="none"/>
                      <w:vertAlign w:val="superscript"/>
                      <w14:textFill>
                        <w14:solidFill>
                          <w14:schemeClr w14:val="tx1"/>
                        </w14:solidFill>
                      </w14:textFill>
                    </w:rPr>
                    <w:t>2</w:t>
                  </w:r>
                  <w:r>
                    <w:rPr>
                      <w:rFonts w:hint="default" w:ascii="Times New Roman" w:hAnsi="Times New Roman" w:eastAsia="宋体" w:cs="Times New Roman"/>
                      <w:color w:val="000000" w:themeColor="text1"/>
                      <w:szCs w:val="21"/>
                      <w:highlight w:val="none"/>
                      <w:vertAlign w:val="baseline"/>
                      <w:lang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lang w:val="en-US"/>
                      <w14:textFill>
                        <w14:solidFill>
                          <w14:schemeClr w14:val="tx1"/>
                        </w14:solidFill>
                      </w14:textFill>
                    </w:rPr>
                    <w:t>配置</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w:t>
                  </w:r>
                  <w:r>
                    <w:rPr>
                      <w:rFonts w:hint="default" w:ascii="Times New Roman" w:hAnsi="Times New Roman" w:eastAsia="宋体" w:cs="Times New Roman"/>
                      <w:b w:val="0"/>
                      <w:bCs w:val="0"/>
                      <w:color w:val="000000" w:themeColor="text1"/>
                      <w:sz w:val="21"/>
                      <w:szCs w:val="21"/>
                      <w:highlight w:val="none"/>
                      <w:lang w:val="en-US"/>
                      <w14:textFill>
                        <w14:solidFill>
                          <w14:schemeClr w14:val="tx1"/>
                        </w14:solidFill>
                      </w14:textFill>
                    </w:rPr>
                    <w:t>台空压机，供各车间的气控阀门、预热器吹堵、测量仪表及袋式收尘器等对压缩空气的需要</w:t>
                  </w:r>
                </w:p>
              </w:tc>
              <w:tc>
                <w:tcPr>
                  <w:tcW w:w="248" w:type="pct"/>
                  <w:noWrap w:val="0"/>
                  <w:vAlign w:val="center"/>
                </w:tcPr>
                <w:p w14:paraId="2F53F4D6">
                  <w:pPr>
                    <w:pStyle w:val="116"/>
                    <w:spacing w:before="72" w:line="220" w:lineRule="auto"/>
                    <w:ind w:left="158" w:leftChars="0"/>
                    <w:jc w:val="both"/>
                    <w:rPr>
                      <w:rFonts w:hint="default" w:ascii="Times New Roman" w:hAnsi="Times New Roman" w:eastAsia="宋体" w:cs="Times New Roman"/>
                      <w:color w:val="000000" w:themeColor="text1"/>
                      <w:spacing w:val="-3"/>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pacing w:val="-3"/>
                      <w:sz w:val="21"/>
                      <w:szCs w:val="21"/>
                      <w:highlight w:val="none"/>
                      <w14:textFill>
                        <w14:solidFill>
                          <w14:schemeClr w14:val="tx1"/>
                        </w14:solidFill>
                      </w14:textFill>
                    </w:rPr>
                    <w:t>新建</w:t>
                  </w:r>
                </w:p>
              </w:tc>
            </w:tr>
            <w:tr w14:paraId="00871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1" w:hRule="atLeast"/>
                <w:jc w:val="center"/>
              </w:trPr>
              <w:tc>
                <w:tcPr>
                  <w:tcW w:w="380" w:type="pct"/>
                  <w:vMerge w:val="continue"/>
                  <w:noWrap w:val="0"/>
                  <w:vAlign w:val="center"/>
                </w:tcPr>
                <w:p w14:paraId="0BB12C73">
                  <w:pPr>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414" w:type="pct"/>
                  <w:noWrap w:val="0"/>
                  <w:vAlign w:val="center"/>
                </w:tcPr>
                <w:p w14:paraId="740A82B0">
                  <w:pPr>
                    <w:adjustRightInd w:val="0"/>
                    <w:snapToGrid w:val="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软水</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处理站</w:t>
                  </w:r>
                </w:p>
              </w:tc>
              <w:tc>
                <w:tcPr>
                  <w:tcW w:w="3957" w:type="pct"/>
                  <w:noWrap w:val="0"/>
                  <w:vAlign w:val="center"/>
                </w:tcPr>
                <w:p w14:paraId="1887CE59">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厂区西北侧设置1座</w:t>
                  </w:r>
                  <w:r>
                    <w:rPr>
                      <w:rFonts w:hint="eastAsia" w:cs="Times New Roman"/>
                      <w:b w:val="0"/>
                      <w:bCs w:val="0"/>
                      <w:color w:val="000000" w:themeColor="text1"/>
                      <w:sz w:val="21"/>
                      <w:szCs w:val="21"/>
                      <w:highlight w:val="none"/>
                      <w:lang w:val="en-US" w:eastAsia="zh-CN"/>
                      <w14:textFill>
                        <w14:solidFill>
                          <w14:schemeClr w14:val="tx1"/>
                        </w14:solidFill>
                      </w14:textFill>
                    </w:rPr>
                    <w:t>软水</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处理站，</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建筑面积约275m</w:t>
                  </w:r>
                  <w:r>
                    <w:rPr>
                      <w:rFonts w:hint="default" w:ascii="Times New Roman" w:hAnsi="Times New Roman" w:eastAsia="宋体" w:cs="Times New Roman"/>
                      <w:b w:val="0"/>
                      <w:bCs/>
                      <w:color w:val="000000" w:themeColor="text1"/>
                      <w:sz w:val="21"/>
                      <w:szCs w:val="21"/>
                      <w:highlight w:val="none"/>
                      <w:vertAlign w:val="superscript"/>
                      <w14:textFill>
                        <w14:solidFill>
                          <w14:schemeClr w14:val="tx1"/>
                        </w14:solidFill>
                      </w14:textFill>
                    </w:rPr>
                    <w:t>2</w:t>
                  </w:r>
                  <w:r>
                    <w:rPr>
                      <w:rFonts w:hint="default" w:ascii="Times New Roman" w:hAnsi="Times New Roman" w:cs="Times New Roman"/>
                      <w:b w:val="0"/>
                      <w:bCs/>
                      <w:color w:val="000000" w:themeColor="text1"/>
                      <w:sz w:val="21"/>
                      <w:szCs w:val="21"/>
                      <w:highlight w:val="none"/>
                      <w:vertAlign w:val="baseline"/>
                      <w:lang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新鲜水通过多介质过滤器，活性炭过滤器，一级反渗透机组，二级反渗透机组等设备处理后，出水供给余热锅炉用水，处理规模为15m</w:t>
                  </w:r>
                  <w:r>
                    <w:rPr>
                      <w:rFonts w:hint="default" w:ascii="Times New Roman" w:hAnsi="Times New Roman" w:eastAsia="宋体" w:cs="Times New Roman"/>
                      <w:b w:val="0"/>
                      <w:bCs w:val="0"/>
                      <w:color w:val="000000" w:themeColor="text1"/>
                      <w:sz w:val="21"/>
                      <w:szCs w:val="21"/>
                      <w:highlight w:val="none"/>
                      <w:vertAlign w:val="superscript"/>
                      <w:lang w:val="en-US" w:eastAsia="zh-CN"/>
                      <w14:textFill>
                        <w14:solidFill>
                          <w14:schemeClr w14:val="tx1"/>
                        </w14:solidFill>
                      </w14:textFill>
                    </w:rPr>
                    <w:t>3</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/h，生产的纯水供给余热锅炉，供水水质满足《火力发电机组及蒸汽动力设备水汽质量》的要求。</w:t>
                  </w:r>
                </w:p>
              </w:tc>
              <w:tc>
                <w:tcPr>
                  <w:tcW w:w="248" w:type="pct"/>
                  <w:noWrap w:val="0"/>
                  <w:vAlign w:val="center"/>
                </w:tcPr>
                <w:p w14:paraId="3C30C510">
                  <w:pPr>
                    <w:pStyle w:val="116"/>
                    <w:spacing w:before="72" w:line="220" w:lineRule="auto"/>
                    <w:ind w:left="158" w:leftChars="0"/>
                    <w:jc w:val="both"/>
                    <w:rPr>
                      <w:rFonts w:hint="default" w:ascii="Times New Roman" w:hAnsi="Times New Roman" w:eastAsia="宋体" w:cs="Times New Roman"/>
                      <w:color w:val="000000" w:themeColor="text1"/>
                      <w:spacing w:val="-3"/>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3"/>
                      <w:sz w:val="21"/>
                      <w:szCs w:val="21"/>
                      <w:highlight w:val="none"/>
                      <w14:textFill>
                        <w14:solidFill>
                          <w14:schemeClr w14:val="tx1"/>
                        </w14:solidFill>
                      </w14:textFill>
                    </w:rPr>
                    <w:t>新建</w:t>
                  </w:r>
                </w:p>
              </w:tc>
            </w:tr>
            <w:tr w14:paraId="1FEBC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1" w:hRule="atLeast"/>
                <w:jc w:val="center"/>
              </w:trPr>
              <w:tc>
                <w:tcPr>
                  <w:tcW w:w="380" w:type="pct"/>
                  <w:vMerge w:val="continue"/>
                  <w:noWrap w:val="0"/>
                  <w:vAlign w:val="center"/>
                </w:tcPr>
                <w:p w14:paraId="28829D72">
                  <w:pPr>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414" w:type="pct"/>
                  <w:noWrap w:val="0"/>
                  <w:vAlign w:val="center"/>
                </w:tcPr>
                <w:p w14:paraId="28C942C5">
                  <w:pPr>
                    <w:adjustRightInd w:val="0"/>
                    <w:snapToGrid w:val="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中控室</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及办公楼</w:t>
                  </w:r>
                </w:p>
              </w:tc>
              <w:tc>
                <w:tcPr>
                  <w:tcW w:w="3957" w:type="pct"/>
                  <w:noWrap w:val="0"/>
                  <w:vAlign w:val="center"/>
                </w:tcPr>
                <w:p w14:paraId="71477673">
                  <w:pPr>
                    <w:keepNext w:val="0"/>
                    <w:keepLines w:val="0"/>
                    <w:pageBreakBefore w:val="0"/>
                    <w:widowControl w:val="0"/>
                    <w:kinsoku/>
                    <w:wordWrap/>
                    <w:overflowPunct/>
                    <w:topLinePunct w:val="0"/>
                    <w:autoSpaceDE/>
                    <w:autoSpaceDN/>
                    <w:bidi w:val="0"/>
                    <w:ind w:firstLine="0" w:firstLineChars="0"/>
                    <w:jc w:val="left"/>
                    <w:textAlignment w:val="auto"/>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建筑面积约1361.36m</w:t>
                  </w:r>
                  <w:r>
                    <w:rPr>
                      <w:rFonts w:hint="default" w:ascii="Times New Roman" w:hAnsi="Times New Roman" w:eastAsia="宋体" w:cs="Times New Roman"/>
                      <w:b w:val="0"/>
                      <w:bCs/>
                      <w:color w:val="000000" w:themeColor="text1"/>
                      <w:sz w:val="21"/>
                      <w:szCs w:val="21"/>
                      <w:highlight w:val="none"/>
                      <w:vertAlign w:val="superscript"/>
                      <w14:textFill>
                        <w14:solidFill>
                          <w14:schemeClr w14:val="tx1"/>
                        </w14:solidFill>
                      </w14:textFill>
                    </w:rPr>
                    <w:t>2</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主要负责生产全流程集中监控与实时预警、智能化流程控制与优化调度、安全联锁与应急处理、数据管理与工艺优化、远程协作与系统扩展等</w:t>
                  </w:r>
                  <w:r>
                    <w:rPr>
                      <w:rFonts w:hint="default" w:ascii="Times New Roman" w:hAnsi="Times New Roman" w:cs="Times New Roman"/>
                      <w:b w:val="0"/>
                      <w:bCs w:val="0"/>
                      <w:color w:val="000000" w:themeColor="text1"/>
                      <w:sz w:val="21"/>
                      <w:szCs w:val="21"/>
                      <w:highlight w:val="none"/>
                      <w:lang w:eastAsia="zh-CN"/>
                      <w14:textFill>
                        <w14:solidFill>
                          <w14:schemeClr w14:val="tx1"/>
                        </w14:solidFill>
                      </w14:textFill>
                    </w:rPr>
                    <w:t>。</w:t>
                  </w:r>
                </w:p>
              </w:tc>
              <w:tc>
                <w:tcPr>
                  <w:tcW w:w="248" w:type="pct"/>
                  <w:noWrap w:val="0"/>
                  <w:vAlign w:val="center"/>
                </w:tcPr>
                <w:p w14:paraId="152AB0EA">
                  <w:pPr>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新建</w:t>
                  </w:r>
                </w:p>
              </w:tc>
            </w:tr>
            <w:tr w14:paraId="253F2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80" w:type="pct"/>
                  <w:vMerge w:val="continue"/>
                  <w:noWrap w:val="0"/>
                  <w:vAlign w:val="center"/>
                </w:tcPr>
                <w:p w14:paraId="09FF24A3">
                  <w:pPr>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414" w:type="pct"/>
                  <w:noWrap w:val="0"/>
                  <w:vAlign w:val="center"/>
                </w:tcPr>
                <w:p w14:paraId="6B9B56C4">
                  <w:pPr>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机修和材料库</w:t>
                  </w:r>
                </w:p>
              </w:tc>
              <w:tc>
                <w:tcPr>
                  <w:tcW w:w="3957" w:type="pct"/>
                  <w:noWrap w:val="0"/>
                  <w:vAlign w:val="center"/>
                </w:tcPr>
                <w:p w14:paraId="10E2FB37">
                  <w:pPr>
                    <w:keepNext w:val="0"/>
                    <w:keepLines w:val="0"/>
                    <w:pageBreakBefore w:val="0"/>
                    <w:widowControl w:val="0"/>
                    <w:kinsoku/>
                    <w:wordWrap/>
                    <w:overflowPunct/>
                    <w:topLinePunct w:val="0"/>
                    <w:autoSpaceDE/>
                    <w:autoSpaceDN/>
                    <w:bidi w:val="0"/>
                    <w:ind w:firstLine="0" w:firstLineChars="0"/>
                    <w:jc w:val="left"/>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新建一座机修和材料库，占地面积为243.5m</w:t>
                  </w:r>
                  <w:r>
                    <w:rPr>
                      <w:rFonts w:hint="default" w:ascii="Times New Roman" w:hAnsi="Times New Roman" w:eastAsia="宋体" w:cs="Times New Roman"/>
                      <w:b w:val="0"/>
                      <w:bCs w:val="0"/>
                      <w:color w:val="000000" w:themeColor="text1"/>
                      <w:sz w:val="21"/>
                      <w:szCs w:val="21"/>
                      <w:highlight w:val="none"/>
                      <w:vertAlign w:val="superscript"/>
                      <w:lang w:val="en-US" w:eastAsia="zh-CN"/>
                      <w14:textFill>
                        <w14:solidFill>
                          <w14:schemeClr w14:val="tx1"/>
                        </w14:solidFill>
                      </w14:textFill>
                    </w:rPr>
                    <w:t>2</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，主要检修设备包括电动葫芦、悬臂吊、电梯、电动单梁桥式起重机</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w:t>
                  </w:r>
                </w:p>
              </w:tc>
              <w:tc>
                <w:tcPr>
                  <w:tcW w:w="248" w:type="pct"/>
                  <w:noWrap w:val="0"/>
                  <w:vAlign w:val="center"/>
                </w:tcPr>
                <w:p w14:paraId="02B14229">
                  <w:pPr>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新建</w:t>
                  </w:r>
                </w:p>
              </w:tc>
            </w:tr>
            <w:tr w14:paraId="1C515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1" w:hRule="atLeast"/>
                <w:jc w:val="center"/>
              </w:trPr>
              <w:tc>
                <w:tcPr>
                  <w:tcW w:w="380" w:type="pct"/>
                  <w:vMerge w:val="continue"/>
                  <w:noWrap w:val="0"/>
                  <w:vAlign w:val="center"/>
                </w:tcPr>
                <w:p w14:paraId="331BEF80">
                  <w:pPr>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414" w:type="pct"/>
                  <w:noWrap w:val="0"/>
                  <w:vAlign w:val="center"/>
                </w:tcPr>
                <w:p w14:paraId="60632A14">
                  <w:pPr>
                    <w:adjustRightInd w:val="0"/>
                    <w:snapToGrid w:val="0"/>
                    <w:jc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循环冷却水系统</w:t>
                  </w:r>
                </w:p>
              </w:tc>
              <w:tc>
                <w:tcPr>
                  <w:tcW w:w="3957" w:type="pct"/>
                  <w:noWrap w:val="0"/>
                  <w:vAlign w:val="center"/>
                </w:tcPr>
                <w:p w14:paraId="10ACA3A2">
                  <w:pPr>
                    <w:pStyle w:val="20"/>
                    <w:keepNext w:val="0"/>
                    <w:keepLines w:val="0"/>
                    <w:widowControl/>
                    <w:suppressLineNumbers w:val="0"/>
                    <w:spacing w:before="0" w:beforeAutospacing="0" w:after="0" w:afterAutospacing="0"/>
                    <w:ind w:left="0" w:right="0" w:firstLine="0"/>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设置</w:t>
                  </w:r>
                  <w:r>
                    <w:rPr>
                      <w:rFonts w:hint="default" w:ascii="Times New Roman" w:hAnsi="Times New Roman" w:cs="Times New Roman"/>
                      <w:color w:val="000000" w:themeColor="text1"/>
                      <w:spacing w:val="-2"/>
                      <w:sz w:val="21"/>
                      <w:szCs w:val="21"/>
                      <w:highlight w:val="none"/>
                      <w:lang w:val="zh-CN"/>
                      <w14:textFill>
                        <w14:solidFill>
                          <w14:schemeClr w14:val="tx1"/>
                        </w14:solidFill>
                      </w14:textFill>
                    </w:rPr>
                    <w:t>循环水泵两台（</w:t>
                  </w:r>
                  <w:r>
                    <w:rPr>
                      <w:rFonts w:hint="default" w:ascii="Times New Roman" w:hAnsi="Times New Roman" w:cs="Times New Roman"/>
                      <w:color w:val="000000" w:themeColor="text1"/>
                      <w:spacing w:val="-2"/>
                      <w:sz w:val="21"/>
                      <w:szCs w:val="21"/>
                      <w:highlight w:val="none"/>
                      <w:lang w:val="en-US" w:eastAsia="zh-CN"/>
                      <w14:textFill>
                        <w14:solidFill>
                          <w14:schemeClr w14:val="tx1"/>
                        </w14:solidFill>
                      </w14:textFill>
                    </w:rPr>
                    <w:t>Q=82m</w:t>
                  </w:r>
                  <w:r>
                    <w:rPr>
                      <w:rFonts w:hint="default" w:ascii="Times New Roman" w:hAnsi="Times New Roman" w:cs="Times New Roman"/>
                      <w:color w:val="000000" w:themeColor="text1"/>
                      <w:spacing w:val="-2"/>
                      <w:sz w:val="21"/>
                      <w:szCs w:val="21"/>
                      <w:highlight w:val="none"/>
                      <w:vertAlign w:val="superscript"/>
                      <w:lang w:val="en-US" w:eastAsia="zh-CN"/>
                      <w14:textFill>
                        <w14:solidFill>
                          <w14:schemeClr w14:val="tx1"/>
                        </w14:solidFill>
                      </w14:textFill>
                    </w:rPr>
                    <w:t>3</w:t>
                  </w:r>
                  <w:r>
                    <w:rPr>
                      <w:rFonts w:hint="default" w:ascii="Times New Roman" w:hAnsi="Times New Roman" w:cs="Times New Roman"/>
                      <w:color w:val="000000" w:themeColor="text1"/>
                      <w:spacing w:val="-2"/>
                      <w:sz w:val="21"/>
                      <w:szCs w:val="21"/>
                      <w:highlight w:val="none"/>
                      <w:lang w:val="en-US" w:eastAsia="zh-CN"/>
                      <w14:textFill>
                        <w14:solidFill>
                          <w14:schemeClr w14:val="tx1"/>
                        </w14:solidFill>
                      </w14:textFill>
                    </w:rPr>
                    <w:t>/h，H=85m，N=37kW</w:t>
                  </w:r>
                  <w:r>
                    <w:rPr>
                      <w:rFonts w:hint="default" w:ascii="Times New Roman" w:hAnsi="Times New Roman" w:cs="Times New Roman"/>
                      <w:color w:val="000000" w:themeColor="text1"/>
                      <w:spacing w:val="-2"/>
                      <w:sz w:val="21"/>
                      <w:szCs w:val="21"/>
                      <w:highlight w:val="none"/>
                      <w:lang w:val="zh-CN"/>
                      <w14:textFill>
                        <w14:solidFill>
                          <w14:schemeClr w14:val="tx1"/>
                        </w14:solidFill>
                      </w14:textFill>
                    </w:rPr>
                    <w:t>），一用一备</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，依托厂区</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西南侧</w:t>
                  </w:r>
                  <w:r>
                    <w:rPr>
                      <w:rFonts w:hint="default" w:ascii="Times New Roman" w:hAnsi="Times New Roman" w:cs="Times New Roman"/>
                      <w:color w:val="000000" w:themeColor="text1"/>
                      <w:sz w:val="21"/>
                      <w:szCs w:val="21"/>
                      <w:highlight w:val="none"/>
                      <w14:textFill>
                        <w14:solidFill>
                          <w14:schemeClr w14:val="tx1"/>
                        </w14:solidFill>
                      </w14:textFill>
                    </w:rPr>
                    <w:t>内蒙古伊东东发新材料有限责任公司</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原料系统泵房供水。</w:t>
                  </w:r>
                </w:p>
              </w:tc>
              <w:tc>
                <w:tcPr>
                  <w:tcW w:w="248" w:type="pct"/>
                  <w:noWrap w:val="0"/>
                  <w:vAlign w:val="center"/>
                </w:tcPr>
                <w:p w14:paraId="440F38C0">
                  <w:pPr>
                    <w:adjustRightInd w:val="0"/>
                    <w:snapToGrid w:val="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依托</w:t>
                  </w:r>
                </w:p>
              </w:tc>
            </w:tr>
            <w:tr w14:paraId="08E96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1" w:hRule="atLeast"/>
                <w:jc w:val="center"/>
              </w:trPr>
              <w:tc>
                <w:tcPr>
                  <w:tcW w:w="380" w:type="pct"/>
                  <w:vMerge w:val="continue"/>
                  <w:noWrap w:val="0"/>
                  <w:vAlign w:val="center"/>
                </w:tcPr>
                <w:p w14:paraId="56BA72A5">
                  <w:pPr>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414" w:type="pct"/>
                  <w:noWrap w:val="0"/>
                  <w:vAlign w:val="center"/>
                </w:tcPr>
                <w:p w14:paraId="4813A943">
                  <w:pPr>
                    <w:adjustRightInd w:val="0"/>
                    <w:snapToGrid w:val="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换热站</w:t>
                  </w:r>
                </w:p>
              </w:tc>
              <w:tc>
                <w:tcPr>
                  <w:tcW w:w="3957" w:type="pct"/>
                  <w:noWrap w:val="0"/>
                  <w:vAlign w:val="center"/>
                </w:tcPr>
                <w:p w14:paraId="159A07DA">
                  <w:pPr>
                    <w:keepNext w:val="0"/>
                    <w:keepLines w:val="0"/>
                    <w:pageBreakBefore w:val="0"/>
                    <w:widowControl w:val="0"/>
                    <w:kinsoku/>
                    <w:wordWrap/>
                    <w:overflowPunct/>
                    <w:topLinePunct w:val="0"/>
                    <w:autoSpaceDE/>
                    <w:autoSpaceDN/>
                    <w:bidi w:val="0"/>
                    <w:ind w:firstLine="0" w:firstLineChars="0"/>
                    <w:jc w:val="left"/>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建筑面积约</w:t>
                  </w: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40</w:t>
                  </w:r>
                  <w:r>
                    <w:rPr>
                      <w:rFonts w:hint="default" w:ascii="Times New Roman" w:hAnsi="Times New Roman" w:eastAsia="宋体" w:cs="Times New Roman"/>
                      <w:color w:val="000000" w:themeColor="text1"/>
                      <w:szCs w:val="21"/>
                      <w:highlight w:val="none"/>
                      <w14:textFill>
                        <w14:solidFill>
                          <w14:schemeClr w14:val="tx1"/>
                        </w14:solidFill>
                      </w14:textFill>
                    </w:rPr>
                    <w:t>m</w:t>
                  </w:r>
                  <w:r>
                    <w:rPr>
                      <w:rFonts w:hint="default" w:ascii="Times New Roman" w:hAnsi="Times New Roman" w:eastAsia="宋体" w:cs="Times New Roman"/>
                      <w:color w:val="000000" w:themeColor="text1"/>
                      <w:szCs w:val="21"/>
                      <w:highlight w:val="none"/>
                      <w:vertAlign w:val="superscript"/>
                      <w14:textFill>
                        <w14:solidFill>
                          <w14:schemeClr w14:val="tx1"/>
                        </w14:solidFill>
                      </w14:textFill>
                    </w:rPr>
                    <w:t>2</w:t>
                  </w:r>
                  <w:r>
                    <w:rPr>
                      <w:rFonts w:hint="default" w:ascii="Times New Roman" w:hAnsi="Times New Roman" w:eastAsia="宋体" w:cs="Times New Roman"/>
                      <w:color w:val="000000" w:themeColor="text1"/>
                      <w:szCs w:val="21"/>
                      <w:highlight w:val="none"/>
                      <w:vertAlign w:val="baseline"/>
                      <w:lang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换热站设置在靠近厂区负荷中心处。</w:t>
                  </w:r>
                </w:p>
              </w:tc>
              <w:tc>
                <w:tcPr>
                  <w:tcW w:w="248" w:type="pct"/>
                  <w:noWrap w:val="0"/>
                  <w:vAlign w:val="center"/>
                </w:tcPr>
                <w:p w14:paraId="081DE440">
                  <w:pPr>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新建</w:t>
                  </w:r>
                </w:p>
              </w:tc>
            </w:tr>
            <w:tr w14:paraId="1E980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1" w:hRule="atLeast"/>
                <w:jc w:val="center"/>
              </w:trPr>
              <w:tc>
                <w:tcPr>
                  <w:tcW w:w="380" w:type="pct"/>
                  <w:vMerge w:val="continue"/>
                  <w:noWrap w:val="0"/>
                  <w:vAlign w:val="center"/>
                </w:tcPr>
                <w:p w14:paraId="28A4293D">
                  <w:pPr>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414" w:type="pct"/>
                  <w:noWrap w:val="0"/>
                  <w:vAlign w:val="center"/>
                </w:tcPr>
                <w:p w14:paraId="539AA7B7">
                  <w:pPr>
                    <w:adjustRightInd w:val="0"/>
                    <w:snapToGrid w:val="0"/>
                    <w:jc w:val="cente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地磅</w:t>
                  </w:r>
                </w:p>
              </w:tc>
              <w:tc>
                <w:tcPr>
                  <w:tcW w:w="3957" w:type="pct"/>
                  <w:noWrap w:val="0"/>
                  <w:vAlign w:val="center"/>
                </w:tcPr>
                <w:p w14:paraId="1E3DC904">
                  <w:pPr>
                    <w:keepNext w:val="0"/>
                    <w:keepLines w:val="0"/>
                    <w:pageBreakBefore w:val="0"/>
                    <w:widowControl w:val="0"/>
                    <w:kinsoku/>
                    <w:wordWrap/>
                    <w:overflowPunct/>
                    <w:topLinePunct w:val="0"/>
                    <w:autoSpaceDE/>
                    <w:autoSpaceDN/>
                    <w:bidi w:val="0"/>
                    <w:ind w:firstLine="0" w:firstLineChars="0"/>
                    <w:jc w:val="left"/>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1台1</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5</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0吨的下沉式地磅</w:t>
                  </w: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地磅房（</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10</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m</w:t>
                  </w:r>
                  <w:r>
                    <w:rPr>
                      <w:rFonts w:hint="default" w:ascii="Times New Roman" w:hAnsi="Times New Roman" w:eastAsia="宋体" w:cs="Times New Roman"/>
                      <w:b w:val="0"/>
                      <w:bCs w:val="0"/>
                      <w:color w:val="000000" w:themeColor="text1"/>
                      <w:sz w:val="21"/>
                      <w:szCs w:val="21"/>
                      <w:highlight w:val="none"/>
                      <w:vertAlign w:val="superscript"/>
                      <w14:textFill>
                        <w14:solidFill>
                          <w14:schemeClr w14:val="tx1"/>
                        </w14:solidFill>
                      </w14:textFill>
                    </w:rPr>
                    <w:t>2</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w:t>
                  </w:r>
                </w:p>
              </w:tc>
              <w:tc>
                <w:tcPr>
                  <w:tcW w:w="248" w:type="pct"/>
                  <w:noWrap w:val="0"/>
                  <w:vAlign w:val="center"/>
                </w:tcPr>
                <w:p w14:paraId="0E75F202">
                  <w:pPr>
                    <w:adjustRightInd w:val="0"/>
                    <w:snapToGrid w:val="0"/>
                    <w:jc w:val="cente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新建</w:t>
                  </w:r>
                </w:p>
              </w:tc>
            </w:tr>
            <w:tr w14:paraId="1C073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1" w:hRule="atLeast"/>
                <w:jc w:val="center"/>
              </w:trPr>
              <w:tc>
                <w:tcPr>
                  <w:tcW w:w="380" w:type="pct"/>
                  <w:vMerge w:val="restart"/>
                  <w:noWrap w:val="0"/>
                  <w:vAlign w:val="center"/>
                </w:tcPr>
                <w:p w14:paraId="20BA8896">
                  <w:pPr>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储运</w:t>
                  </w:r>
                </w:p>
                <w:p w14:paraId="6C9F69AE">
                  <w:pPr>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工程</w:t>
                  </w:r>
                </w:p>
              </w:tc>
              <w:tc>
                <w:tcPr>
                  <w:tcW w:w="414" w:type="pct"/>
                  <w:vMerge w:val="restart"/>
                  <w:noWrap w:val="0"/>
                  <w:vAlign w:val="center"/>
                </w:tcPr>
                <w:p w14:paraId="7E4A6858">
                  <w:pPr>
                    <w:adjustRightInd w:val="0"/>
                    <w:snapToGrid w:val="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原</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辅</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料</w:t>
                  </w: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成品</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等存储</w:t>
                  </w:r>
                </w:p>
              </w:tc>
              <w:tc>
                <w:tcPr>
                  <w:tcW w:w="3957" w:type="pct"/>
                  <w:noWrap w:val="0"/>
                  <w:vAlign w:val="center"/>
                </w:tcPr>
                <w:p w14:paraId="740B236D">
                  <w:pPr>
                    <w:pStyle w:val="12"/>
                    <w:keepNext w:val="0"/>
                    <w:keepLines w:val="0"/>
                    <w:pageBreakBefore w:val="0"/>
                    <w:widowControl w:val="0"/>
                    <w:kinsoku/>
                    <w:wordWrap/>
                    <w:overflowPunct/>
                    <w:topLinePunct w:val="0"/>
                    <w:autoSpaceDE/>
                    <w:autoSpaceDN/>
                    <w:bidi w:val="0"/>
                    <w:ind w:firstLine="0" w:firstLineChars="0"/>
                    <w:jc w:val="both"/>
                    <w:textAlignment w:val="auto"/>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厂区北侧</w:t>
                  </w: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新建</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2个</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原料粉</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储存罐</w:t>
                  </w: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利浦仓规格φ12×</w:t>
                  </w:r>
                  <w:r>
                    <w:rPr>
                      <w:rFonts w:hint="default" w:ascii="Times New Roman" w:hAnsi="Times New Roman" w:cs="Times New Roman"/>
                      <w:b w:val="0"/>
                      <w:bCs/>
                      <w:color w:val="000000" w:themeColor="text1"/>
                      <w:sz w:val="21"/>
                      <w:szCs w:val="21"/>
                      <w:highlight w:val="none"/>
                      <w:lang w:val="en-US" w:eastAsia="zh-CN"/>
                      <w14:textFill>
                        <w14:solidFill>
                          <w14:schemeClr w14:val="tx1"/>
                        </w14:solidFill>
                      </w14:textFill>
                    </w:rPr>
                    <w:t>24m</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w:t>
                  </w:r>
                  <w:r>
                    <w:rPr>
                      <w:rFonts w:hint="default" w:ascii="Times New Roman" w:hAnsi="Times New Roman" w:cs="Times New Roman"/>
                      <w:b w:val="0"/>
                      <w:bCs/>
                      <w:color w:val="000000" w:themeColor="text1"/>
                      <w:sz w:val="21"/>
                      <w:szCs w:val="21"/>
                      <w:highlight w:val="none"/>
                      <w:lang w:val="en-US" w:eastAsia="zh-CN"/>
                      <w14:textFill>
                        <w14:solidFill>
                          <w14:schemeClr w14:val="tx1"/>
                        </w14:solidFill>
                      </w14:textFill>
                    </w:rPr>
                    <w:t>单个</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储量</w:t>
                  </w:r>
                  <w:r>
                    <w:rPr>
                      <w:rFonts w:hint="default" w:ascii="Times New Roman" w:hAnsi="Times New Roman" w:cs="Times New Roman"/>
                      <w:b w:val="0"/>
                      <w:bCs/>
                      <w:color w:val="000000" w:themeColor="text1"/>
                      <w:sz w:val="21"/>
                      <w:szCs w:val="21"/>
                      <w:highlight w:val="none"/>
                      <w:lang w:val="en-US" w:eastAsia="zh-CN"/>
                      <w14:textFill>
                        <w14:solidFill>
                          <w14:schemeClr w14:val="tx1"/>
                        </w14:solidFill>
                      </w14:textFill>
                    </w:rPr>
                    <w:t>165</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0</w:t>
                  </w:r>
                  <w:r>
                    <w:rPr>
                      <w:rFonts w:hint="default" w:ascii="Times New Roman" w:hAnsi="Times New Roman" w:cs="Times New Roman"/>
                      <w:b w:val="0"/>
                      <w:bCs/>
                      <w:color w:val="000000" w:themeColor="text1"/>
                      <w:sz w:val="21"/>
                      <w:szCs w:val="21"/>
                      <w:highlight w:val="none"/>
                      <w:lang w:val="en-US" w:eastAsia="zh-CN"/>
                      <w14:textFill>
                        <w14:solidFill>
                          <w14:schemeClr w14:val="tx1"/>
                        </w14:solidFill>
                      </w14:textFill>
                    </w:rPr>
                    <w:t>t</w:t>
                  </w:r>
                </w:p>
              </w:tc>
              <w:tc>
                <w:tcPr>
                  <w:tcW w:w="248" w:type="pct"/>
                  <w:noWrap w:val="0"/>
                  <w:vAlign w:val="center"/>
                </w:tcPr>
                <w:p w14:paraId="0EC92DDC">
                  <w:pPr>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新建</w:t>
                  </w:r>
                </w:p>
              </w:tc>
            </w:tr>
            <w:tr w14:paraId="20810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1" w:hRule="atLeast"/>
                <w:jc w:val="center"/>
              </w:trPr>
              <w:tc>
                <w:tcPr>
                  <w:tcW w:w="380" w:type="pct"/>
                  <w:vMerge w:val="continue"/>
                  <w:noWrap w:val="0"/>
                  <w:vAlign w:val="center"/>
                </w:tcPr>
                <w:p w14:paraId="55911842">
                  <w:pPr>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414" w:type="pct"/>
                  <w:vMerge w:val="continue"/>
                  <w:noWrap w:val="0"/>
                  <w:vAlign w:val="center"/>
                </w:tcPr>
                <w:p w14:paraId="0C51E927">
                  <w:pPr>
                    <w:adjustRightInd w:val="0"/>
                    <w:snapToGrid w:val="0"/>
                    <w:jc w:val="cente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pPr>
                </w:p>
              </w:tc>
              <w:tc>
                <w:tcPr>
                  <w:tcW w:w="3957" w:type="pct"/>
                  <w:noWrap w:val="0"/>
                  <w:vAlign w:val="center"/>
                </w:tcPr>
                <w:p w14:paraId="33ACE6FE">
                  <w:pPr>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厂区东北侧2个黄料库/仓，ф6×11m，最大储量</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200</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t/个。</w:t>
                  </w:r>
                </w:p>
              </w:tc>
              <w:tc>
                <w:tcPr>
                  <w:tcW w:w="248" w:type="pct"/>
                  <w:noWrap w:val="0"/>
                  <w:vAlign w:val="center"/>
                </w:tcPr>
                <w:p w14:paraId="7CC0B4C7">
                  <w:pPr>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新建</w:t>
                  </w:r>
                </w:p>
              </w:tc>
            </w:tr>
            <w:tr w14:paraId="3C8E1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1" w:hRule="atLeast"/>
                <w:jc w:val="center"/>
              </w:trPr>
              <w:tc>
                <w:tcPr>
                  <w:tcW w:w="380" w:type="pct"/>
                  <w:vMerge w:val="continue"/>
                  <w:noWrap w:val="0"/>
                  <w:vAlign w:val="center"/>
                </w:tcPr>
                <w:p w14:paraId="1B20362B">
                  <w:pPr>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414" w:type="pct"/>
                  <w:vMerge w:val="continue"/>
                  <w:noWrap w:val="0"/>
                  <w:vAlign w:val="center"/>
                </w:tcPr>
                <w:p w14:paraId="4EA15E6D">
                  <w:pPr>
                    <w:adjustRightInd w:val="0"/>
                    <w:snapToGrid w:val="0"/>
                    <w:jc w:val="cente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pPr>
                </w:p>
              </w:tc>
              <w:tc>
                <w:tcPr>
                  <w:tcW w:w="3957" w:type="pct"/>
                  <w:noWrap w:val="0"/>
                  <w:vAlign w:val="center"/>
                </w:tcPr>
                <w:p w14:paraId="130FB414">
                  <w:pPr>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成品堆棚内建设5个成品仓库，单个尺寸ф12×24m</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最大储量</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2000</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t/个。大袋包装存储</w:t>
                  </w:r>
                  <w:r>
                    <w:rPr>
                      <w:rFonts w:hint="default" w:ascii="Times New Roman" w:hAnsi="Times New Roman" w:eastAsia="宋体" w:cs="Times New Roman"/>
                      <w:color w:val="000000" w:themeColor="text1"/>
                      <w:szCs w:val="21"/>
                      <w:highlight w:val="none"/>
                      <w14:textFill>
                        <w14:solidFill>
                          <w14:schemeClr w14:val="tx1"/>
                        </w14:solidFill>
                      </w14:textFill>
                    </w:rPr>
                    <w:t>建筑面积约</w:t>
                  </w: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2693.43</w:t>
                  </w:r>
                  <w:r>
                    <w:rPr>
                      <w:rFonts w:hint="default" w:ascii="Times New Roman" w:hAnsi="Times New Roman" w:eastAsia="宋体" w:cs="Times New Roman"/>
                      <w:color w:val="000000" w:themeColor="text1"/>
                      <w:szCs w:val="21"/>
                      <w:highlight w:val="none"/>
                      <w14:textFill>
                        <w14:solidFill>
                          <w14:schemeClr w14:val="tx1"/>
                        </w14:solidFill>
                      </w14:textFill>
                    </w:rPr>
                    <w:t>m</w:t>
                  </w:r>
                  <w:r>
                    <w:rPr>
                      <w:rFonts w:hint="default" w:ascii="Times New Roman" w:hAnsi="Times New Roman" w:eastAsia="宋体" w:cs="Times New Roman"/>
                      <w:color w:val="000000" w:themeColor="text1"/>
                      <w:szCs w:val="21"/>
                      <w:highlight w:val="none"/>
                      <w:vertAlign w:val="superscript"/>
                      <w14:textFill>
                        <w14:solidFill>
                          <w14:schemeClr w14:val="tx1"/>
                        </w14:solidFill>
                      </w14:textFill>
                    </w:rPr>
                    <w:t>2</w:t>
                  </w:r>
                  <w:r>
                    <w:rPr>
                      <w:rFonts w:hint="default" w:ascii="Times New Roman" w:hAnsi="Times New Roman" w:eastAsia="宋体" w:cs="Times New Roman"/>
                      <w:color w:val="000000" w:themeColor="text1"/>
                      <w:szCs w:val="21"/>
                      <w:highlight w:val="none"/>
                      <w:vertAlign w:val="baseline"/>
                      <w:lang w:eastAsia="zh-CN"/>
                      <w14:textFill>
                        <w14:solidFill>
                          <w14:schemeClr w14:val="tx1"/>
                        </w14:solidFill>
                      </w14:textFill>
                    </w:rPr>
                    <w:t>，</w:t>
                  </w:r>
                  <w:r>
                    <w:rPr>
                      <w:rFonts w:hint="default" w:ascii="Times New Roman" w:hAnsi="Times New Roman" w:eastAsia="宋体" w:cs="Times New Roman"/>
                      <w:color w:val="000000" w:themeColor="text1"/>
                      <w:szCs w:val="21"/>
                      <w:highlight w:val="none"/>
                      <w:vertAlign w:val="baseline"/>
                      <w:lang w:val="en-US" w:eastAsia="zh-CN"/>
                      <w14:textFill>
                        <w14:solidFill>
                          <w14:schemeClr w14:val="tx1"/>
                        </w14:solidFill>
                      </w14:textFill>
                    </w:rPr>
                    <w:t>小</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袋包装存储</w:t>
                  </w:r>
                  <w:r>
                    <w:rPr>
                      <w:rFonts w:hint="default" w:ascii="Times New Roman" w:hAnsi="Times New Roman" w:eastAsia="宋体" w:cs="Times New Roman"/>
                      <w:color w:val="000000" w:themeColor="text1"/>
                      <w:szCs w:val="21"/>
                      <w:highlight w:val="none"/>
                      <w14:textFill>
                        <w14:solidFill>
                          <w14:schemeClr w14:val="tx1"/>
                        </w14:solidFill>
                      </w14:textFill>
                    </w:rPr>
                    <w:t>建筑面积约</w:t>
                  </w: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3722.88</w:t>
                  </w:r>
                  <w:r>
                    <w:rPr>
                      <w:rFonts w:hint="default" w:ascii="Times New Roman" w:hAnsi="Times New Roman" w:eastAsia="宋体" w:cs="Times New Roman"/>
                      <w:color w:val="000000" w:themeColor="text1"/>
                      <w:szCs w:val="21"/>
                      <w:highlight w:val="none"/>
                      <w14:textFill>
                        <w14:solidFill>
                          <w14:schemeClr w14:val="tx1"/>
                        </w14:solidFill>
                      </w14:textFill>
                    </w:rPr>
                    <w:t>m</w:t>
                  </w:r>
                  <w:r>
                    <w:rPr>
                      <w:rFonts w:hint="default" w:ascii="Times New Roman" w:hAnsi="Times New Roman" w:eastAsia="宋体" w:cs="Times New Roman"/>
                      <w:color w:val="000000" w:themeColor="text1"/>
                      <w:szCs w:val="21"/>
                      <w:highlight w:val="none"/>
                      <w:vertAlign w:val="superscript"/>
                      <w14:textFill>
                        <w14:solidFill>
                          <w14:schemeClr w14:val="tx1"/>
                        </w14:solidFill>
                      </w14:textFill>
                    </w:rPr>
                    <w:t>2</w:t>
                  </w:r>
                </w:p>
              </w:tc>
              <w:tc>
                <w:tcPr>
                  <w:tcW w:w="248" w:type="pct"/>
                  <w:noWrap w:val="0"/>
                  <w:vAlign w:val="center"/>
                </w:tcPr>
                <w:p w14:paraId="6EE2BCB6">
                  <w:pPr>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新建</w:t>
                  </w:r>
                </w:p>
              </w:tc>
            </w:tr>
            <w:tr w14:paraId="2EDBD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1" w:hRule="atLeast"/>
                <w:jc w:val="center"/>
              </w:trPr>
              <w:tc>
                <w:tcPr>
                  <w:tcW w:w="380" w:type="pct"/>
                  <w:vMerge w:val="continue"/>
                  <w:noWrap w:val="0"/>
                  <w:vAlign w:val="center"/>
                </w:tcPr>
                <w:p w14:paraId="3486E003">
                  <w:pPr>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414" w:type="pct"/>
                  <w:vMerge w:val="continue"/>
                  <w:noWrap w:val="0"/>
                  <w:vAlign w:val="center"/>
                </w:tcPr>
                <w:p w14:paraId="4FAFB8C7">
                  <w:pPr>
                    <w:adjustRightInd w:val="0"/>
                    <w:snapToGrid w:val="0"/>
                    <w:jc w:val="cente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pPr>
                </w:p>
              </w:tc>
              <w:tc>
                <w:tcPr>
                  <w:tcW w:w="3957" w:type="pct"/>
                  <w:noWrap w:val="0"/>
                  <w:vAlign w:val="center"/>
                </w:tcPr>
                <w:p w14:paraId="199A6373">
                  <w:pPr>
                    <w:keepNext w:val="0"/>
                    <w:keepLines w:val="0"/>
                    <w:pageBreakBefore w:val="0"/>
                    <w:widowControl w:val="0"/>
                    <w:kinsoku/>
                    <w:wordWrap/>
                    <w:overflowPunct/>
                    <w:topLinePunct w:val="0"/>
                    <w:autoSpaceDE/>
                    <w:autoSpaceDN/>
                    <w:bidi w:val="0"/>
                    <w:ind w:firstLine="0" w:firstLineChars="0"/>
                    <w:jc w:val="both"/>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采用外购脱硫剂石灰石粉制备石灰石浆液。</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石灰石粉</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由密闭罐车运输，通过气力输送至石灰石粉仓。</w:t>
                  </w:r>
                  <w:r>
                    <w:rPr>
                      <w:rFonts w:hint="default" w:ascii="Times New Roman" w:hAnsi="Times New Roman" w:cs="Times New Roman"/>
                      <w:color w:val="000000" w:themeColor="text1"/>
                      <w:kern w:val="0"/>
                      <w:sz w:val="21"/>
                      <w:szCs w:val="21"/>
                      <w:highlight w:val="none"/>
                      <w:lang w:val="en-US" w:eastAsia="zh-CN" w:bidi="ar"/>
                      <w14:textFill>
                        <w14:solidFill>
                          <w14:schemeClr w14:val="tx1"/>
                        </w14:solidFill>
                      </w14:textFill>
                    </w:rPr>
                    <w:t>脱硫剂气力输送存储于1座120m</w:t>
                  </w:r>
                  <w:r>
                    <w:rPr>
                      <w:rFonts w:hint="default" w:ascii="Times New Roman" w:hAnsi="Times New Roman" w:cs="Times New Roman"/>
                      <w:color w:val="000000" w:themeColor="text1"/>
                      <w:kern w:val="0"/>
                      <w:sz w:val="21"/>
                      <w:szCs w:val="21"/>
                      <w:highlight w:val="none"/>
                      <w:vertAlign w:val="superscript"/>
                      <w:lang w:val="en-US" w:eastAsia="zh-CN" w:bidi="ar"/>
                      <w14:textFill>
                        <w14:solidFill>
                          <w14:schemeClr w14:val="tx1"/>
                        </w14:solidFill>
                      </w14:textFill>
                    </w:rPr>
                    <w:t>3</w:t>
                  </w:r>
                  <w:r>
                    <w:rPr>
                      <w:rFonts w:hint="default" w:ascii="Times New Roman" w:hAnsi="Times New Roman" w:cs="Times New Roman"/>
                      <w:color w:val="000000" w:themeColor="text1"/>
                      <w:kern w:val="0"/>
                      <w:sz w:val="21"/>
                      <w:szCs w:val="21"/>
                      <w:highlight w:val="none"/>
                      <w:lang w:val="en-US" w:eastAsia="zh-CN" w:bidi="ar"/>
                      <w14:textFill>
                        <w14:solidFill>
                          <w14:schemeClr w14:val="tx1"/>
                        </w14:solidFill>
                      </w14:textFill>
                    </w:rPr>
                    <w:t>高18m石灰石粉仓。</w:t>
                  </w:r>
                </w:p>
              </w:tc>
              <w:tc>
                <w:tcPr>
                  <w:tcW w:w="248" w:type="pct"/>
                  <w:noWrap w:val="0"/>
                  <w:vAlign w:val="center"/>
                </w:tcPr>
                <w:p w14:paraId="6B7DA515">
                  <w:pPr>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新建</w:t>
                  </w:r>
                </w:p>
              </w:tc>
            </w:tr>
            <w:tr w14:paraId="6FD08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1" w:hRule="atLeast"/>
                <w:jc w:val="center"/>
              </w:trPr>
              <w:tc>
                <w:tcPr>
                  <w:tcW w:w="380" w:type="pct"/>
                  <w:vMerge w:val="continue"/>
                  <w:noWrap w:val="0"/>
                  <w:vAlign w:val="center"/>
                </w:tcPr>
                <w:p w14:paraId="33F193F6">
                  <w:pPr>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414" w:type="pct"/>
                  <w:vMerge w:val="continue"/>
                  <w:noWrap w:val="0"/>
                  <w:vAlign w:val="center"/>
                </w:tcPr>
                <w:p w14:paraId="7132190B">
                  <w:pPr>
                    <w:adjustRightInd w:val="0"/>
                    <w:snapToGrid w:val="0"/>
                    <w:jc w:val="cente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pPr>
                </w:p>
              </w:tc>
              <w:tc>
                <w:tcPr>
                  <w:tcW w:w="3957" w:type="pct"/>
                  <w:noWrap w:val="0"/>
                  <w:vAlign w:val="center"/>
                </w:tcPr>
                <w:p w14:paraId="421CB038">
                  <w:pPr>
                    <w:keepNext w:val="0"/>
                    <w:keepLines w:val="0"/>
                    <w:pageBreakBefore w:val="0"/>
                    <w:widowControl w:val="0"/>
                    <w:kinsoku/>
                    <w:wordWrap/>
                    <w:overflowPunct/>
                    <w:topLinePunct w:val="0"/>
                    <w:autoSpaceDE/>
                    <w:autoSpaceDN/>
                    <w:bidi w:val="0"/>
                    <w:ind w:firstLine="0" w:firstLineChars="0"/>
                    <w:jc w:val="left"/>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新建一个氨水</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罐</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区，设置1个12m</w:t>
                  </w:r>
                  <w:r>
                    <w:rPr>
                      <w:rFonts w:hint="default" w:ascii="Times New Roman" w:hAnsi="Times New Roman" w:eastAsia="宋体" w:cs="Times New Roman"/>
                      <w:b w:val="0"/>
                      <w:bCs w:val="0"/>
                      <w:color w:val="000000" w:themeColor="text1"/>
                      <w:sz w:val="21"/>
                      <w:szCs w:val="21"/>
                      <w:highlight w:val="none"/>
                      <w:vertAlign w:val="superscript"/>
                      <w:lang w:val="en-US" w:eastAsia="zh-CN"/>
                      <w14:textFill>
                        <w14:solidFill>
                          <w14:schemeClr w14:val="tx1"/>
                        </w14:solidFill>
                      </w14:textFill>
                    </w:rPr>
                    <w:t>3</w:t>
                  </w: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的立式</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氨水（</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2</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0%）储罐，用于煅烧废气脱硝还原剂存储。</w:t>
                  </w:r>
                </w:p>
              </w:tc>
              <w:tc>
                <w:tcPr>
                  <w:tcW w:w="248" w:type="pct"/>
                  <w:noWrap w:val="0"/>
                  <w:vAlign w:val="center"/>
                </w:tcPr>
                <w:p w14:paraId="4AB4DFCC">
                  <w:pPr>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新建</w:t>
                  </w:r>
                </w:p>
              </w:tc>
            </w:tr>
            <w:tr w14:paraId="0A58B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1" w:hRule="atLeast"/>
                <w:jc w:val="center"/>
              </w:trPr>
              <w:tc>
                <w:tcPr>
                  <w:tcW w:w="380" w:type="pct"/>
                  <w:vMerge w:val="continue"/>
                  <w:noWrap w:val="0"/>
                  <w:vAlign w:val="center"/>
                </w:tcPr>
                <w:p w14:paraId="1A23B991">
                  <w:pPr>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414" w:type="pct"/>
                  <w:noWrap w:val="0"/>
                  <w:vAlign w:val="center"/>
                </w:tcPr>
                <w:p w14:paraId="76819F17">
                  <w:pPr>
                    <w:adjustRightInd w:val="0"/>
                    <w:snapToGrid w:val="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一般固废库</w:t>
                  </w:r>
                </w:p>
              </w:tc>
              <w:tc>
                <w:tcPr>
                  <w:tcW w:w="3957" w:type="pct"/>
                  <w:noWrap w:val="0"/>
                  <w:vAlign w:val="center"/>
                </w:tcPr>
                <w:p w14:paraId="79B2CDF7">
                  <w:pPr>
                    <w:keepNext w:val="0"/>
                    <w:keepLines w:val="0"/>
                    <w:pageBreakBefore w:val="0"/>
                    <w:widowControl w:val="0"/>
                    <w:kinsoku/>
                    <w:wordWrap/>
                    <w:overflowPunct/>
                    <w:topLinePunct w:val="0"/>
                    <w:autoSpaceDE/>
                    <w:autoSpaceDN/>
                    <w:bidi w:val="0"/>
                    <w:ind w:firstLine="0" w:firstLineChars="0"/>
                    <w:jc w:val="left"/>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新建1间一般固废库，</w:t>
                  </w:r>
                  <w:r>
                    <w:rPr>
                      <w:rFonts w:hint="default" w:ascii="Times New Roman" w:hAnsi="Times New Roman" w:eastAsia="宋体" w:cs="Times New Roman"/>
                      <w:color w:val="000000" w:themeColor="text1"/>
                      <w:szCs w:val="21"/>
                      <w:highlight w:val="none"/>
                      <w14:textFill>
                        <w14:solidFill>
                          <w14:schemeClr w14:val="tx1"/>
                        </w14:solidFill>
                      </w14:textFill>
                    </w:rPr>
                    <w:t>建筑面积约</w:t>
                  </w: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50</w:t>
                  </w:r>
                  <w:r>
                    <w:rPr>
                      <w:rFonts w:hint="default" w:ascii="Times New Roman" w:hAnsi="Times New Roman" w:eastAsia="宋体" w:cs="Times New Roman"/>
                      <w:color w:val="000000" w:themeColor="text1"/>
                      <w:szCs w:val="21"/>
                      <w:highlight w:val="none"/>
                      <w14:textFill>
                        <w14:solidFill>
                          <w14:schemeClr w14:val="tx1"/>
                        </w14:solidFill>
                      </w14:textFill>
                    </w:rPr>
                    <w:t>m</w:t>
                  </w:r>
                  <w:r>
                    <w:rPr>
                      <w:rFonts w:hint="default" w:ascii="Times New Roman" w:hAnsi="Times New Roman" w:eastAsia="宋体" w:cs="Times New Roman"/>
                      <w:color w:val="000000" w:themeColor="text1"/>
                      <w:szCs w:val="21"/>
                      <w:highlight w:val="none"/>
                      <w:vertAlign w:val="superscript"/>
                      <w14:textFill>
                        <w14:solidFill>
                          <w14:schemeClr w14:val="tx1"/>
                        </w14:solidFill>
                      </w14:textFill>
                    </w:rPr>
                    <w:t>2</w:t>
                  </w:r>
                  <w:r>
                    <w:rPr>
                      <w:rFonts w:hint="default" w:ascii="Times New Roman" w:hAnsi="Times New Roman" w:eastAsia="宋体" w:cs="Times New Roman"/>
                      <w:color w:val="000000" w:themeColor="text1"/>
                      <w:szCs w:val="21"/>
                      <w:highlight w:val="none"/>
                      <w:vertAlign w:val="baseline"/>
                      <w:lang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暂存空压站废过滤器、软水制备废滤材等一般固废。</w:t>
                  </w:r>
                </w:p>
              </w:tc>
              <w:tc>
                <w:tcPr>
                  <w:tcW w:w="248" w:type="pct"/>
                  <w:noWrap w:val="0"/>
                  <w:vAlign w:val="center"/>
                </w:tcPr>
                <w:p w14:paraId="70E77CF7">
                  <w:pPr>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新建</w:t>
                  </w:r>
                </w:p>
              </w:tc>
            </w:tr>
            <w:tr w14:paraId="141B2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1" w:hRule="atLeast"/>
                <w:jc w:val="center"/>
              </w:trPr>
              <w:tc>
                <w:tcPr>
                  <w:tcW w:w="380" w:type="pct"/>
                  <w:vMerge w:val="continue"/>
                  <w:noWrap w:val="0"/>
                  <w:vAlign w:val="center"/>
                </w:tcPr>
                <w:p w14:paraId="211268BF">
                  <w:pPr>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414" w:type="pct"/>
                  <w:noWrap w:val="0"/>
                  <w:vAlign w:val="center"/>
                </w:tcPr>
                <w:p w14:paraId="38922E15">
                  <w:pPr>
                    <w:adjustRightInd w:val="0"/>
                    <w:snapToGrid w:val="0"/>
                    <w:jc w:val="cente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危废</w:t>
                  </w:r>
                </w:p>
                <w:p w14:paraId="23007FD1">
                  <w:pPr>
                    <w:adjustRightInd w:val="0"/>
                    <w:snapToGrid w:val="0"/>
                    <w:jc w:val="cente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暂存间</w:t>
                  </w:r>
                </w:p>
              </w:tc>
              <w:tc>
                <w:tcPr>
                  <w:tcW w:w="3957" w:type="pct"/>
                  <w:noWrap w:val="0"/>
                  <w:vAlign w:val="center"/>
                </w:tcPr>
                <w:p w14:paraId="05FD7133">
                  <w:pPr>
                    <w:pStyle w:val="12"/>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新建1间</w:t>
                  </w: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危废暂存间，</w:t>
                  </w:r>
                  <w:r>
                    <w:rPr>
                      <w:rFonts w:hint="default" w:ascii="Times New Roman" w:hAnsi="Times New Roman" w:eastAsia="宋体" w:cs="Times New Roman"/>
                      <w:color w:val="000000" w:themeColor="text1"/>
                      <w:sz w:val="21"/>
                      <w:szCs w:val="21"/>
                      <w:highlight w:val="none"/>
                      <w14:textFill>
                        <w14:solidFill>
                          <w14:schemeClr w14:val="tx1"/>
                        </w14:solidFill>
                      </w14:textFill>
                    </w:rPr>
                    <w:t>建筑面积约</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30</w:t>
                  </w:r>
                  <w:r>
                    <w:rPr>
                      <w:rFonts w:hint="default" w:ascii="Times New Roman" w:hAnsi="Times New Roman" w:eastAsia="宋体" w:cs="Times New Roman"/>
                      <w:color w:val="000000" w:themeColor="text1"/>
                      <w:sz w:val="21"/>
                      <w:szCs w:val="21"/>
                      <w:highlight w:val="none"/>
                      <w14:textFill>
                        <w14:solidFill>
                          <w14:schemeClr w14:val="tx1"/>
                        </w14:solidFill>
                      </w14:textFill>
                    </w:rPr>
                    <w:t>m</w:t>
                  </w:r>
                  <w:r>
                    <w:rPr>
                      <w:rFonts w:hint="default" w:ascii="Times New Roman" w:hAnsi="Times New Roman" w:eastAsia="宋体" w:cs="Times New Roman"/>
                      <w:color w:val="000000" w:themeColor="text1"/>
                      <w:sz w:val="21"/>
                      <w:szCs w:val="21"/>
                      <w:highlight w:val="none"/>
                      <w:vertAlign w:val="superscript"/>
                      <w14:textFill>
                        <w14:solidFill>
                          <w14:schemeClr w14:val="tx1"/>
                        </w14:solidFill>
                      </w14:textFill>
                    </w:rPr>
                    <w:t>2</w:t>
                  </w:r>
                  <w:r>
                    <w:rPr>
                      <w:rFonts w:hint="default" w:ascii="Times New Roman" w:hAnsi="Times New Roman" w:eastAsia="宋体" w:cs="Times New Roman"/>
                      <w:color w:val="000000" w:themeColor="text1"/>
                      <w:sz w:val="21"/>
                      <w:szCs w:val="21"/>
                      <w:highlight w:val="none"/>
                      <w:vertAlign w:val="baseline"/>
                      <w:lang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暂存</w:t>
                  </w: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脱硫废水处理产生的污泥、废油和废油桶等危废。</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内部地面设置</w:t>
                  </w:r>
                  <w:r>
                    <w:rPr>
                      <w:rFonts w:hint="default" w:ascii="Times New Roman" w:hAnsi="Times New Roman" w:cs="Times New Roman"/>
                      <w:color w:val="000000" w:themeColor="text1"/>
                      <w:sz w:val="21"/>
                      <w:szCs w:val="21"/>
                      <w:highlight w:val="none"/>
                      <w14:textFill>
                        <w14:solidFill>
                          <w14:schemeClr w14:val="tx1"/>
                        </w14:solidFill>
                      </w14:textFill>
                    </w:rPr>
                    <w:t>导流渠和</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0.25m</w:t>
                  </w:r>
                  <w:r>
                    <w:rPr>
                      <w:rFonts w:hint="default" w:ascii="Times New Roman" w:hAnsi="Times New Roman" w:cs="Times New Roman"/>
                      <w:color w:val="000000" w:themeColor="text1"/>
                      <w:sz w:val="21"/>
                      <w:szCs w:val="21"/>
                      <w:highlight w:val="none"/>
                      <w:vertAlign w:val="superscript"/>
                      <w:lang w:val="en-US" w:eastAsia="zh-CN"/>
                      <w14:textFill>
                        <w14:solidFill>
                          <w14:schemeClr w14:val="tx1"/>
                        </w14:solidFill>
                      </w14:textFill>
                    </w:rPr>
                    <w:t>3</w:t>
                  </w:r>
                  <w:r>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t>的</w:t>
                  </w:r>
                  <w:r>
                    <w:rPr>
                      <w:rFonts w:hint="default" w:ascii="Times New Roman" w:hAnsi="Times New Roman" w:cs="Times New Roman"/>
                      <w:color w:val="000000" w:themeColor="text1"/>
                      <w:sz w:val="21"/>
                      <w:szCs w:val="21"/>
                      <w:highlight w:val="none"/>
                      <w14:textFill>
                        <w14:solidFill>
                          <w14:schemeClr w14:val="tx1"/>
                        </w14:solidFill>
                      </w14:textFill>
                    </w:rPr>
                    <w:t>集液</w:t>
                  </w:r>
                  <w:r>
                    <w:rPr>
                      <w:rFonts w:hint="default" w:ascii="Times New Roman" w:hAnsi="Times New Roman" w:cs="Times New Roman"/>
                      <w:color w:val="000000" w:themeColor="text1"/>
                      <w:sz w:val="21"/>
                      <w:szCs w:val="16"/>
                      <w:highlight w:val="none"/>
                      <w14:textFill>
                        <w14:solidFill>
                          <w14:schemeClr w14:val="tx1"/>
                        </w14:solidFill>
                      </w14:textFill>
                    </w:rPr>
                    <w:t>池</w:t>
                  </w:r>
                </w:p>
              </w:tc>
              <w:tc>
                <w:tcPr>
                  <w:tcW w:w="248" w:type="pct"/>
                  <w:noWrap w:val="0"/>
                  <w:vAlign w:val="center"/>
                </w:tcPr>
                <w:p w14:paraId="4D7FB924">
                  <w:pPr>
                    <w:adjustRightInd w:val="0"/>
                    <w:snapToGrid w:val="0"/>
                    <w:jc w:val="cente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新建</w:t>
                  </w:r>
                </w:p>
              </w:tc>
            </w:tr>
            <w:tr w14:paraId="1FE01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380" w:type="pct"/>
                  <w:vMerge w:val="restart"/>
                  <w:noWrap w:val="0"/>
                  <w:vAlign w:val="center"/>
                </w:tcPr>
                <w:p w14:paraId="7D6C72AF">
                  <w:pPr>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公用</w:t>
                  </w:r>
                </w:p>
                <w:p w14:paraId="779ED7CD">
                  <w:pPr>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工程</w:t>
                  </w:r>
                </w:p>
              </w:tc>
              <w:tc>
                <w:tcPr>
                  <w:tcW w:w="414" w:type="pct"/>
                  <w:noWrap w:val="0"/>
                  <w:vAlign w:val="center"/>
                </w:tcPr>
                <w:p w14:paraId="7C1DA3EF">
                  <w:pPr>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供暖</w:t>
                  </w:r>
                </w:p>
              </w:tc>
              <w:tc>
                <w:tcPr>
                  <w:tcW w:w="3957" w:type="pct"/>
                  <w:noWrap w:val="0"/>
                  <w:vAlign w:val="center"/>
                </w:tcPr>
                <w:p w14:paraId="31459650">
                  <w:pPr>
                    <w:keepNext w:val="0"/>
                    <w:keepLines w:val="0"/>
                    <w:pageBreakBefore w:val="0"/>
                    <w:widowControl w:val="0"/>
                    <w:kinsoku/>
                    <w:wordWrap/>
                    <w:overflowPunct/>
                    <w:topLinePunct w:val="0"/>
                    <w:autoSpaceDE/>
                    <w:autoSpaceDN/>
                    <w:bidi w:val="0"/>
                    <w:adjustRightInd w:val="0"/>
                    <w:snapToGrid w:val="0"/>
                    <w:ind w:firstLine="0" w:firstLineChars="0"/>
                    <w:jc w:val="both"/>
                    <w:textAlignment w:val="auto"/>
                    <w:rPr>
                      <w:rFonts w:hint="default" w:ascii="Times New Roman" w:hAnsi="Times New Roman" w:eastAsia="宋体" w:cs="Times New Roman"/>
                      <w:b w:val="0"/>
                      <w:bCs w:val="0"/>
                      <w:color w:val="000000" w:themeColor="text1"/>
                      <w:sz w:val="21"/>
                      <w:szCs w:val="21"/>
                      <w:highlight w:val="none"/>
                      <w:lang w:val="en-US"/>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本项目热源来自市政热源和厂区蒸汽，有市政热源时，在热交换站经水-水板式换热器换热后，供采暖使用。当没有市政热源，由厂区提供蒸汽，经热交换站</w:t>
                  </w:r>
                  <w:r>
                    <w:rPr>
                      <w:rFonts w:hint="eastAsia" w:ascii="Times New Roman" w:hAnsi="Times New Roman" w:cs="Times New Roman"/>
                      <w:b w:val="0"/>
                      <w:bCs w:val="0"/>
                      <w:color w:val="000000" w:themeColor="text1"/>
                      <w:sz w:val="21"/>
                      <w:szCs w:val="21"/>
                      <w:highlight w:val="none"/>
                      <w:lang w:eastAsia="zh-CN"/>
                      <w14:textFill>
                        <w14:solidFill>
                          <w14:schemeClr w14:val="tx1"/>
                        </w14:solidFill>
                      </w14:textFill>
                    </w:rPr>
                    <w:t>的</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汽-水板式换热器换热后，供采暖使用</w:t>
                  </w: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。中控室、脱硫、水泵房等区域设置散热器供暖系统。室外采暖管网埋地敷设</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w:t>
                  </w:r>
                  <w:r>
                    <w:rPr>
                      <w:rFonts w:hint="default" w:ascii="Times New Roman" w:hAnsi="Times New Roman" w:cs="Times New Roman"/>
                      <w:b w:val="0"/>
                      <w:bCs w:val="0"/>
                      <w:color w:val="000000" w:themeColor="text1"/>
                      <w:sz w:val="21"/>
                      <w:szCs w:val="21"/>
                      <w:highlight w:val="none"/>
                      <w:lang w:eastAsia="zh-CN"/>
                      <w14:textFill>
                        <w14:solidFill>
                          <w14:schemeClr w14:val="tx1"/>
                        </w14:solidFill>
                      </w14:textFill>
                    </w:rPr>
                    <w:t>能</w:t>
                  </w:r>
                  <w:r>
                    <w:rPr>
                      <w:rFonts w:hint="default" w:ascii="Times New Roman" w:hAnsi="Times New Roman" w:cs="Times New Roman"/>
                      <w:color w:val="000000" w:themeColor="text1"/>
                      <w:highlight w:val="none"/>
                      <w:lang w:val="en-US" w:eastAsia="zh-CN"/>
                      <w14:textFill>
                        <w14:solidFill>
                          <w14:schemeClr w14:val="tx1"/>
                        </w14:solidFill>
                      </w14:textFill>
                    </w:rPr>
                    <w:t>满足供热需求。</w:t>
                  </w:r>
                </w:p>
              </w:tc>
              <w:tc>
                <w:tcPr>
                  <w:tcW w:w="248" w:type="pct"/>
                  <w:noWrap w:val="0"/>
                  <w:vAlign w:val="center"/>
                </w:tcPr>
                <w:p w14:paraId="32CFA642">
                  <w:pPr>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新建</w:t>
                  </w:r>
                </w:p>
              </w:tc>
            </w:tr>
            <w:tr w14:paraId="6DD4E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380" w:type="pct"/>
                  <w:vMerge w:val="continue"/>
                  <w:noWrap w:val="0"/>
                  <w:vAlign w:val="center"/>
                </w:tcPr>
                <w:p w14:paraId="74611D06">
                  <w:pPr>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414" w:type="pct"/>
                  <w:noWrap w:val="0"/>
                  <w:vAlign w:val="center"/>
                </w:tcPr>
                <w:p w14:paraId="2185B746">
                  <w:pPr>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供电</w:t>
                  </w:r>
                </w:p>
              </w:tc>
              <w:tc>
                <w:tcPr>
                  <w:tcW w:w="3957" w:type="pct"/>
                  <w:noWrap w:val="0"/>
                  <w:vAlign w:val="center"/>
                </w:tcPr>
                <w:p w14:paraId="126874C9">
                  <w:pPr>
                    <w:pStyle w:val="79"/>
                    <w:keepNext w:val="0"/>
                    <w:keepLines w:val="0"/>
                    <w:pageBreakBefore w:val="0"/>
                    <w:widowControl w:val="0"/>
                    <w:kinsoku/>
                    <w:wordWrap/>
                    <w:overflowPunct/>
                    <w:topLinePunct w:val="0"/>
                    <w:autoSpaceDE/>
                    <w:autoSpaceDN/>
                    <w:bidi w:val="0"/>
                    <w:spacing w:line="240" w:lineRule="auto"/>
                    <w:ind w:left="0" w:leftChars="0" w:firstLine="0" w:firstLineChars="0"/>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本工程整体为二级供电负荷，在厂区设10KV开关站1座，位于煅烧窑尾电气室。采用10KV电缆由总降经过室外电缆桥架把10kV电源引至上述开关站，作为本项目的生产用电电源。</w:t>
                  </w:r>
                </w:p>
              </w:tc>
              <w:tc>
                <w:tcPr>
                  <w:tcW w:w="248" w:type="pct"/>
                  <w:noWrap w:val="0"/>
                  <w:vAlign w:val="center"/>
                </w:tcPr>
                <w:p w14:paraId="43906819">
                  <w:pPr>
                    <w:adjustRightInd w:val="0"/>
                    <w:snapToGrid w:val="0"/>
                    <w:jc w:val="cente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新建</w:t>
                  </w:r>
                </w:p>
              </w:tc>
            </w:tr>
            <w:tr w14:paraId="63CD4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80" w:type="pct"/>
                  <w:vMerge w:val="continue"/>
                  <w:noWrap w:val="0"/>
                  <w:vAlign w:val="center"/>
                </w:tcPr>
                <w:p w14:paraId="361C24B7">
                  <w:pPr>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414" w:type="pct"/>
                  <w:noWrap w:val="0"/>
                  <w:vAlign w:val="center"/>
                </w:tcPr>
                <w:p w14:paraId="0AF2B6FF">
                  <w:pPr>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给水</w:t>
                  </w:r>
                </w:p>
              </w:tc>
              <w:tc>
                <w:tcPr>
                  <w:tcW w:w="3957" w:type="pct"/>
                  <w:noWrap w:val="0"/>
                  <w:vAlign w:val="center"/>
                </w:tcPr>
                <w:p w14:paraId="4DAA2831">
                  <w:pPr>
                    <w:pStyle w:val="79"/>
                    <w:keepNext w:val="0"/>
                    <w:keepLines w:val="0"/>
                    <w:pageBreakBefore w:val="0"/>
                    <w:widowControl w:val="0"/>
                    <w:kinsoku/>
                    <w:wordWrap/>
                    <w:overflowPunct/>
                    <w:topLinePunct w:val="0"/>
                    <w:autoSpaceDE/>
                    <w:autoSpaceDN/>
                    <w:bidi w:val="0"/>
                    <w:spacing w:line="240" w:lineRule="auto"/>
                    <w:ind w:left="0" w:leftChars="0" w:firstLine="0" w:firstLineChars="0"/>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本项目生产用水由园区供水系统供给</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中水</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w:t>
                  </w:r>
                </w:p>
                <w:p w14:paraId="0075446B">
                  <w:pPr>
                    <w:pStyle w:val="79"/>
                    <w:keepNext w:val="0"/>
                    <w:keepLines w:val="0"/>
                    <w:pageBreakBefore w:val="0"/>
                    <w:widowControl w:val="0"/>
                    <w:kinsoku/>
                    <w:wordWrap/>
                    <w:overflowPunct/>
                    <w:topLinePunct w:val="0"/>
                    <w:autoSpaceDE/>
                    <w:autoSpaceDN/>
                    <w:bidi w:val="0"/>
                    <w:spacing w:line="240" w:lineRule="auto"/>
                    <w:ind w:left="0" w:leftChars="0" w:firstLine="0" w:firstLineChars="0"/>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本工程生活用水引自科源水务公司。</w:t>
                  </w:r>
                </w:p>
                <w:p w14:paraId="4DDAC7A5">
                  <w:pPr>
                    <w:pStyle w:val="79"/>
                    <w:keepNext w:val="0"/>
                    <w:keepLines w:val="0"/>
                    <w:pageBreakBefore w:val="0"/>
                    <w:widowControl w:val="0"/>
                    <w:kinsoku/>
                    <w:wordWrap/>
                    <w:overflowPunct/>
                    <w:topLinePunct w:val="0"/>
                    <w:autoSpaceDE/>
                    <w:autoSpaceDN/>
                    <w:bidi w:val="0"/>
                    <w:spacing w:line="240" w:lineRule="auto"/>
                    <w:ind w:left="0" w:leftChars="0" w:firstLine="0" w:firstLineChars="0"/>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生产用水采用准格尔旗国资燃气热力有限责任公司污水处理厂中水，委托外部车辆拉运至本项目生产水池，通过2台生产水泵供应生产用水。</w:t>
                  </w:r>
                </w:p>
              </w:tc>
              <w:tc>
                <w:tcPr>
                  <w:tcW w:w="248" w:type="pct"/>
                  <w:noWrap w:val="0"/>
                  <w:vAlign w:val="center"/>
                </w:tcPr>
                <w:p w14:paraId="434C4BF4">
                  <w:pPr>
                    <w:adjustRightInd w:val="0"/>
                    <w:snapToGrid w:val="0"/>
                    <w:jc w:val="cente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新建</w:t>
                  </w:r>
                </w:p>
              </w:tc>
            </w:tr>
            <w:tr w14:paraId="40DFC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380" w:type="pct"/>
                  <w:vMerge w:val="continue"/>
                  <w:noWrap w:val="0"/>
                  <w:vAlign w:val="center"/>
                </w:tcPr>
                <w:p w14:paraId="38A7915F">
                  <w:pPr>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414" w:type="pct"/>
                  <w:noWrap w:val="0"/>
                  <w:vAlign w:val="center"/>
                </w:tcPr>
                <w:p w14:paraId="1065B21B">
                  <w:pPr>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排水</w:t>
                  </w:r>
                </w:p>
              </w:tc>
              <w:tc>
                <w:tcPr>
                  <w:tcW w:w="3957" w:type="pct"/>
                  <w:noWrap w:val="0"/>
                  <w:vAlign w:val="center"/>
                </w:tcPr>
                <w:p w14:paraId="0BED107E">
                  <w:pPr>
                    <w:pStyle w:val="79"/>
                    <w:keepNext w:val="0"/>
                    <w:keepLines w:val="0"/>
                    <w:pageBreakBefore w:val="0"/>
                    <w:widowControl w:val="0"/>
                    <w:kinsoku/>
                    <w:wordWrap/>
                    <w:overflowPunct/>
                    <w:topLinePunct w:val="0"/>
                    <w:autoSpaceDE/>
                    <w:autoSpaceDN/>
                    <w:bidi w:val="0"/>
                    <w:spacing w:line="240" w:lineRule="auto"/>
                    <w:ind w:left="0" w:leftChars="0" w:firstLine="0" w:firstLineChars="0"/>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本项目新建</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1座生活污水</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防渗化粪池</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，收集</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后通过罐车拉运至园区污水处理厂；</w:t>
                  </w:r>
                  <w:bookmarkStart w:id="2" w:name="_Toc528587375"/>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本项目生活污水</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排水满足纳管标准，</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排入</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园区</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污水处理厂，处理后回用，实现污水零排放。</w:t>
                  </w:r>
                  <w:bookmarkEnd w:id="2"/>
                </w:p>
                <w:p w14:paraId="5B4E04FD">
                  <w:pPr>
                    <w:pStyle w:val="79"/>
                    <w:keepNext w:val="0"/>
                    <w:keepLines w:val="0"/>
                    <w:pageBreakBefore w:val="0"/>
                    <w:widowControl w:val="0"/>
                    <w:kinsoku/>
                    <w:wordWrap/>
                    <w:overflowPunct/>
                    <w:topLinePunct w:val="0"/>
                    <w:autoSpaceDN/>
                    <w:bidi w:val="0"/>
                    <w:spacing w:line="240" w:lineRule="auto"/>
                    <w:ind w:left="0" w:leftChars="0" w:firstLine="0" w:firstLineChars="0"/>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highlight w:val="none"/>
                      <w:lang w:eastAsia="zh-CN"/>
                      <w14:textFill>
                        <w14:solidFill>
                          <w14:schemeClr w14:val="tx1"/>
                        </w14:solidFill>
                      </w14:textFill>
                    </w:rPr>
                    <w:t>软水</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制备</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产生</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废水、余热锅炉</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产生</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废水</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通过罐车拉运至园区生产废水处理处理</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脱硫废水</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经三联箱装置处理后</w:t>
                  </w:r>
                  <w:r>
                    <w:rPr>
                      <w:rFonts w:hint="default" w:ascii="Times New Roman" w:hAnsi="Times New Roman" w:cs="Times New Roman"/>
                      <w:color w:val="000000" w:themeColor="text1"/>
                      <w:kern w:val="0"/>
                      <w:sz w:val="21"/>
                      <w:szCs w:val="21"/>
                      <w:highlight w:val="none"/>
                      <w:lang w:val="en-US" w:eastAsia="zh-CN" w:bidi="ar"/>
                      <w14:textFill>
                        <w14:solidFill>
                          <w14:schemeClr w14:val="tx1"/>
                        </w14:solidFill>
                      </w14:textFill>
                    </w:rPr>
                    <w:t>回用</w:t>
                  </w:r>
                  <w:r>
                    <w:rPr>
                      <w:rFonts w:hint="eastAsia" w:ascii="Times New Roman" w:hAnsi="Times New Roman" w:cs="Times New Roman"/>
                      <w:color w:val="000000" w:themeColor="text1"/>
                      <w:kern w:val="0"/>
                      <w:sz w:val="21"/>
                      <w:szCs w:val="21"/>
                      <w:highlight w:val="none"/>
                      <w:lang w:val="en-US" w:eastAsia="zh-CN" w:bidi="ar"/>
                      <w14:textFill>
                        <w14:solidFill>
                          <w14:schemeClr w14:val="tx1"/>
                        </w14:solidFill>
                      </w14:textFill>
                    </w:rPr>
                    <w:t>于脱硫浆液用水</w:t>
                  </w:r>
                  <w:r>
                    <w:rPr>
                      <w:rFonts w:hint="default" w:ascii="Times New Roman" w:hAnsi="Times New Roman" w:cs="Times New Roman"/>
                      <w:color w:val="000000" w:themeColor="text1"/>
                      <w:kern w:val="0"/>
                      <w:sz w:val="21"/>
                      <w:szCs w:val="21"/>
                      <w:highlight w:val="none"/>
                      <w:lang w:val="en-US" w:eastAsia="zh-CN" w:bidi="ar"/>
                      <w14:textFill>
                        <w14:solidFill>
                          <w14:schemeClr w14:val="tx1"/>
                        </w14:solidFill>
                      </w14:textFill>
                    </w:rPr>
                    <w:t>。</w:t>
                  </w:r>
                </w:p>
              </w:tc>
              <w:tc>
                <w:tcPr>
                  <w:tcW w:w="248" w:type="pct"/>
                  <w:noWrap w:val="0"/>
                  <w:vAlign w:val="center"/>
                </w:tcPr>
                <w:p w14:paraId="16E611B9">
                  <w:pPr>
                    <w:adjustRightInd w:val="0"/>
                    <w:snapToGrid w:val="0"/>
                    <w:jc w:val="cente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新建</w:t>
                  </w:r>
                </w:p>
              </w:tc>
            </w:tr>
            <w:tr w14:paraId="1F34E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380" w:type="pct"/>
                  <w:vMerge w:val="restart"/>
                  <w:noWrap w:val="0"/>
                  <w:vAlign w:val="center"/>
                </w:tcPr>
                <w:p w14:paraId="3D20B549">
                  <w:pPr>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环保</w:t>
                  </w:r>
                </w:p>
                <w:p w14:paraId="6EFC385A">
                  <w:pPr>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工程</w:t>
                  </w:r>
                </w:p>
              </w:tc>
              <w:tc>
                <w:tcPr>
                  <w:tcW w:w="414" w:type="pct"/>
                  <w:vMerge w:val="restart"/>
                  <w:noWrap w:val="0"/>
                  <w:vAlign w:val="center"/>
                </w:tcPr>
                <w:p w14:paraId="59A992D8">
                  <w:pPr>
                    <w:adjustRightInd w:val="0"/>
                    <w:snapToGrid w:val="0"/>
                    <w:jc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废气</w:t>
                  </w:r>
                </w:p>
              </w:tc>
              <w:tc>
                <w:tcPr>
                  <w:tcW w:w="3957" w:type="pct"/>
                  <w:noWrap w:val="0"/>
                  <w:vAlign w:val="center"/>
                </w:tcPr>
                <w:p w14:paraId="2E66E035">
                  <w:pPr>
                    <w:pStyle w:val="79"/>
                    <w:keepNext w:val="0"/>
                    <w:keepLines w:val="0"/>
                    <w:pageBreakBefore w:val="0"/>
                    <w:widowControl w:val="0"/>
                    <w:kinsoku/>
                    <w:wordWrap/>
                    <w:overflowPunct/>
                    <w:topLinePunct w:val="0"/>
                    <w:autoSpaceDN/>
                    <w:bidi w:val="0"/>
                    <w:spacing w:line="240" w:lineRule="auto"/>
                    <w:ind w:left="0" w:leftChars="0" w:firstLine="0" w:firstLineChars="0"/>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2座</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原料粉</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仓装卸料产生</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粉尘</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废气，经</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布袋除尘器（覆膜袋式）</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除尘后分别通过</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4</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2m高</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排气</w:t>
                  </w:r>
                  <w:r>
                    <w:rPr>
                      <w:rFonts w:hint="eastAsia" w:cs="Times New Roman"/>
                      <w:color w:val="000000" w:themeColor="text1"/>
                      <w:sz w:val="24"/>
                      <w:szCs w:val="24"/>
                      <w:highlight w:val="none"/>
                      <w:lang w:val="en-US" w:eastAsia="zh-CN"/>
                      <w14:textFill>
                        <w14:solidFill>
                          <w14:schemeClr w14:val="tx1"/>
                        </w14:solidFill>
                      </w14:textFill>
                    </w:rPr>
                    <w:t>口</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（DA001、DA002）达标排放；</w:t>
                  </w:r>
                </w:p>
              </w:tc>
              <w:tc>
                <w:tcPr>
                  <w:tcW w:w="248" w:type="pct"/>
                  <w:noWrap w:val="0"/>
                  <w:vAlign w:val="center"/>
                </w:tcPr>
                <w:p w14:paraId="125286D5">
                  <w:pPr>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新建</w:t>
                  </w:r>
                </w:p>
              </w:tc>
            </w:tr>
            <w:tr w14:paraId="41258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380" w:type="pct"/>
                  <w:vMerge w:val="continue"/>
                  <w:noWrap w:val="0"/>
                  <w:vAlign w:val="center"/>
                </w:tcPr>
                <w:p w14:paraId="5F27337B">
                  <w:pPr>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414" w:type="pct"/>
                  <w:vMerge w:val="continue"/>
                  <w:noWrap w:val="0"/>
                  <w:vAlign w:val="center"/>
                </w:tcPr>
                <w:p w14:paraId="160F4A0B">
                  <w:pPr>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3957" w:type="pct"/>
                  <w:noWrap w:val="0"/>
                  <w:vAlign w:val="center"/>
                </w:tcPr>
                <w:p w14:paraId="70EBC89C">
                  <w:pPr>
                    <w:pStyle w:val="79"/>
                    <w:keepNext w:val="0"/>
                    <w:keepLines w:val="0"/>
                    <w:pageBreakBefore w:val="0"/>
                    <w:widowControl w:val="0"/>
                    <w:kinsoku/>
                    <w:wordWrap/>
                    <w:overflowPunct/>
                    <w:topLinePunct w:val="0"/>
                    <w:autoSpaceDN/>
                    <w:bidi w:val="0"/>
                    <w:spacing w:line="240" w:lineRule="auto"/>
                    <w:ind w:left="0" w:leftChars="0" w:firstLine="0" w:firstLineChars="0"/>
                    <w:rPr>
                      <w:rFonts w:hint="default" w:ascii="Times New Roman" w:hAnsi="Times New Roman" w:eastAsia="宋体" w:cs="Times New Roman"/>
                      <w:color w:val="000000" w:themeColor="text1"/>
                      <w:spacing w:val="-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1"/>
                      <w:sz w:val="21"/>
                      <w:szCs w:val="21"/>
                      <w:highlight w:val="none"/>
                      <w:lang w:val="en-US" w:eastAsia="zh-CN"/>
                      <w14:textFill>
                        <w14:solidFill>
                          <w14:schemeClr w14:val="tx1"/>
                        </w14:solidFill>
                      </w14:textFill>
                    </w:rPr>
                    <w:t>输送转运产生粉尘废气</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，经</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布袋除尘器（覆膜袋式）</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除尘后通过15m高</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排气</w:t>
                  </w:r>
                  <w:r>
                    <w:rPr>
                      <w:rFonts w:hint="eastAsia" w:cs="Times New Roman"/>
                      <w:color w:val="000000" w:themeColor="text1"/>
                      <w:sz w:val="24"/>
                      <w:szCs w:val="24"/>
                      <w:highlight w:val="none"/>
                      <w:lang w:val="en-US" w:eastAsia="zh-CN"/>
                      <w14:textFill>
                        <w14:solidFill>
                          <w14:schemeClr w14:val="tx1"/>
                        </w14:solidFill>
                      </w14:textFill>
                    </w:rPr>
                    <w:t>口</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（DA003）达标排放；</w:t>
                  </w:r>
                </w:p>
              </w:tc>
              <w:tc>
                <w:tcPr>
                  <w:tcW w:w="248" w:type="pct"/>
                  <w:noWrap w:val="0"/>
                  <w:vAlign w:val="center"/>
                </w:tcPr>
                <w:p w14:paraId="5C3A892B">
                  <w:pPr>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新建</w:t>
                  </w:r>
                </w:p>
              </w:tc>
            </w:tr>
            <w:tr w14:paraId="12E1E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380" w:type="pct"/>
                  <w:vMerge w:val="continue"/>
                  <w:noWrap w:val="0"/>
                  <w:vAlign w:val="center"/>
                </w:tcPr>
                <w:p w14:paraId="506FBE70">
                  <w:pPr>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414" w:type="pct"/>
                  <w:vMerge w:val="continue"/>
                  <w:noWrap w:val="0"/>
                  <w:vAlign w:val="center"/>
                </w:tcPr>
                <w:p w14:paraId="2701B015">
                  <w:pPr>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3957" w:type="pct"/>
                  <w:noWrap w:val="0"/>
                  <w:vAlign w:val="center"/>
                </w:tcPr>
                <w:p w14:paraId="11F54A82">
                  <w:pPr>
                    <w:pStyle w:val="79"/>
                    <w:keepNext w:val="0"/>
                    <w:keepLines w:val="0"/>
                    <w:pageBreakBefore w:val="0"/>
                    <w:widowControl w:val="0"/>
                    <w:kinsoku/>
                    <w:wordWrap/>
                    <w:overflowPunct/>
                    <w:topLinePunct w:val="0"/>
                    <w:autoSpaceDN/>
                    <w:bidi w:val="0"/>
                    <w:spacing w:line="240" w:lineRule="auto"/>
                    <w:ind w:left="0" w:leftChars="0" w:firstLine="0" w:firstLineChars="0"/>
                    <w:rPr>
                      <w:rFonts w:hint="default" w:ascii="Times New Roman" w:hAnsi="Times New Roman" w:eastAsia="宋体" w:cs="Times New Roman"/>
                      <w:color w:val="000000" w:themeColor="text1"/>
                      <w:spacing w:val="-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pacing w:val="-1"/>
                      <w:sz w:val="21"/>
                      <w:szCs w:val="21"/>
                      <w:highlight w:val="none"/>
                      <w:lang w:val="en-US" w:eastAsia="zh-CN"/>
                      <w14:textFill>
                        <w14:solidFill>
                          <w14:schemeClr w14:val="tx1"/>
                        </w14:solidFill>
                      </w14:textFill>
                    </w:rPr>
                    <w:t>窑尾喂料仓卸料粉尘</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通过“封闭设备+收集+</w:t>
                  </w:r>
                  <w:r>
                    <w:rPr>
                      <w:rFonts w:hint="default" w:ascii="Times New Roman" w:hAnsi="Times New Roman" w:cs="Times New Roman"/>
                      <w:color w:val="000000" w:themeColor="text1"/>
                      <w:kern w:val="0"/>
                      <w:sz w:val="21"/>
                      <w:szCs w:val="21"/>
                      <w:highlight w:val="none"/>
                      <w:lang w:val="en-US" w:eastAsia="zh-CN" w:bidi="ar"/>
                      <w14:textFill>
                        <w14:solidFill>
                          <w14:schemeClr w14:val="tx1"/>
                        </w14:solidFill>
                      </w14:textFill>
                    </w:rPr>
                    <w:t>布袋除尘器（覆膜袋式）</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”处理后经1根</w:t>
                  </w:r>
                  <w:r>
                    <w:rPr>
                      <w:rFonts w:hint="default" w:ascii="Times New Roman" w:hAnsi="Times New Roman" w:cs="Times New Roman"/>
                      <w:color w:val="000000" w:themeColor="text1"/>
                      <w:kern w:val="0"/>
                      <w:sz w:val="21"/>
                      <w:szCs w:val="21"/>
                      <w:highlight w:val="none"/>
                      <w:lang w:val="en-US" w:eastAsia="zh-CN" w:bidi="ar"/>
                      <w14:textFill>
                        <w14:solidFill>
                          <w14:schemeClr w14:val="tx1"/>
                        </w14:solidFill>
                      </w14:textFill>
                    </w:rPr>
                    <w:t>3</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0m高（DA004）</w:t>
                  </w:r>
                  <w:r>
                    <w:rPr>
                      <w:rFonts w:hint="eastAsia" w:ascii="Times New Roman" w:hAnsi="Times New Roman" w:cs="Times New Roman"/>
                      <w:color w:val="000000" w:themeColor="text1"/>
                      <w:kern w:val="0"/>
                      <w:sz w:val="21"/>
                      <w:szCs w:val="21"/>
                      <w:highlight w:val="none"/>
                      <w:lang w:val="en-US" w:eastAsia="zh-CN" w:bidi="ar"/>
                      <w14:textFill>
                        <w14:solidFill>
                          <w14:schemeClr w14:val="tx1"/>
                        </w14:solidFill>
                      </w14:textFill>
                    </w:rPr>
                    <w:t>排气</w:t>
                  </w:r>
                  <w:r>
                    <w:rPr>
                      <w:rFonts w:hint="eastAsia" w:cs="Times New Roman"/>
                      <w:color w:val="000000" w:themeColor="text1"/>
                      <w:sz w:val="24"/>
                      <w:szCs w:val="24"/>
                      <w:highlight w:val="none"/>
                      <w:lang w:val="en-US" w:eastAsia="zh-CN"/>
                      <w14:textFill>
                        <w14:solidFill>
                          <w14:schemeClr w14:val="tx1"/>
                        </w14:solidFill>
                      </w14:textFill>
                    </w:rPr>
                    <w:t>口</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排放；</w:t>
                  </w:r>
                </w:p>
              </w:tc>
              <w:tc>
                <w:tcPr>
                  <w:tcW w:w="248" w:type="pct"/>
                  <w:noWrap w:val="0"/>
                  <w:vAlign w:val="center"/>
                </w:tcPr>
                <w:p w14:paraId="39DF14CD">
                  <w:pPr>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新建</w:t>
                  </w:r>
                </w:p>
              </w:tc>
            </w:tr>
            <w:tr w14:paraId="5BFB3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380" w:type="pct"/>
                  <w:vMerge w:val="continue"/>
                  <w:noWrap w:val="0"/>
                  <w:vAlign w:val="center"/>
                </w:tcPr>
                <w:p w14:paraId="10B69983">
                  <w:pPr>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414" w:type="pct"/>
                  <w:vMerge w:val="continue"/>
                  <w:noWrap w:val="0"/>
                  <w:vAlign w:val="center"/>
                </w:tcPr>
                <w:p w14:paraId="79BFE2AB">
                  <w:pPr>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3957" w:type="pct"/>
                  <w:noWrap w:val="0"/>
                  <w:vAlign w:val="center"/>
                </w:tcPr>
                <w:p w14:paraId="678793BE">
                  <w:pPr>
                    <w:pStyle w:val="79"/>
                    <w:keepNext w:val="0"/>
                    <w:keepLines w:val="0"/>
                    <w:pageBreakBefore w:val="0"/>
                    <w:widowControl w:val="0"/>
                    <w:kinsoku/>
                    <w:wordWrap/>
                    <w:overflowPunct/>
                    <w:topLinePunct w:val="0"/>
                    <w:autoSpaceDN/>
                    <w:bidi w:val="0"/>
                    <w:spacing w:line="240" w:lineRule="auto"/>
                    <w:ind w:left="0" w:leftChars="0" w:firstLine="0" w:firstLineChars="0"/>
                    <w:rPr>
                      <w:rFonts w:hint="default" w:ascii="Times New Roman" w:hAnsi="Times New Roman" w:eastAsia="宋体" w:cs="Times New Roman"/>
                      <w:color w:val="000000" w:themeColor="text1"/>
                      <w:spacing w:val="-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pacing w:val="-1"/>
                      <w:sz w:val="21"/>
                      <w:szCs w:val="21"/>
                      <w:highlight w:val="none"/>
                      <w:lang w:val="en-US" w:eastAsia="zh-CN"/>
                      <w14:textFill>
                        <w14:solidFill>
                          <w14:schemeClr w14:val="tx1"/>
                        </w14:solidFill>
                      </w14:textFill>
                    </w:rPr>
                    <w:t>窑尾提升机卸料粉尘</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通过“封闭设备+收集+</w:t>
                  </w:r>
                  <w:r>
                    <w:rPr>
                      <w:rFonts w:hint="default" w:ascii="Times New Roman" w:hAnsi="Times New Roman" w:cs="Times New Roman"/>
                      <w:color w:val="000000" w:themeColor="text1"/>
                      <w:kern w:val="0"/>
                      <w:sz w:val="21"/>
                      <w:szCs w:val="21"/>
                      <w:highlight w:val="none"/>
                      <w:lang w:val="en-US" w:eastAsia="zh-CN" w:bidi="ar"/>
                      <w14:textFill>
                        <w14:solidFill>
                          <w14:schemeClr w14:val="tx1"/>
                        </w14:solidFill>
                      </w14:textFill>
                    </w:rPr>
                    <w:t>布袋除尘器（覆膜袋式）</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”处理后经1根</w:t>
                  </w:r>
                  <w:r>
                    <w:rPr>
                      <w:rFonts w:hint="default" w:ascii="Times New Roman" w:hAnsi="Times New Roman" w:cs="Times New Roman"/>
                      <w:color w:val="000000" w:themeColor="text1"/>
                      <w:kern w:val="0"/>
                      <w:sz w:val="21"/>
                      <w:szCs w:val="21"/>
                      <w:highlight w:val="none"/>
                      <w:lang w:val="en-US" w:eastAsia="zh-CN" w:bidi="ar"/>
                      <w14:textFill>
                        <w14:solidFill>
                          <w14:schemeClr w14:val="tx1"/>
                        </w14:solidFill>
                      </w14:textFill>
                    </w:rPr>
                    <w:t>9</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0m高（DA00</w:t>
                  </w:r>
                  <w:r>
                    <w:rPr>
                      <w:rFonts w:hint="default" w:ascii="Times New Roman" w:hAnsi="Times New Roman" w:cs="Times New Roman"/>
                      <w:color w:val="000000" w:themeColor="text1"/>
                      <w:kern w:val="0"/>
                      <w:sz w:val="21"/>
                      <w:szCs w:val="21"/>
                      <w:highlight w:val="none"/>
                      <w:lang w:val="en-US" w:eastAsia="zh-CN" w:bidi="ar"/>
                      <w14:textFill>
                        <w14:solidFill>
                          <w14:schemeClr w14:val="tx1"/>
                        </w14:solidFill>
                      </w14:textFill>
                    </w:rPr>
                    <w:t>5</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w:t>
                  </w:r>
                  <w:r>
                    <w:rPr>
                      <w:rFonts w:hint="eastAsia" w:ascii="Times New Roman" w:hAnsi="Times New Roman" w:cs="Times New Roman"/>
                      <w:color w:val="000000" w:themeColor="text1"/>
                      <w:kern w:val="0"/>
                      <w:sz w:val="21"/>
                      <w:szCs w:val="21"/>
                      <w:highlight w:val="none"/>
                      <w:lang w:val="en-US" w:eastAsia="zh-CN" w:bidi="ar"/>
                      <w14:textFill>
                        <w14:solidFill>
                          <w14:schemeClr w14:val="tx1"/>
                        </w14:solidFill>
                      </w14:textFill>
                    </w:rPr>
                    <w:t>排气</w:t>
                  </w:r>
                  <w:r>
                    <w:rPr>
                      <w:rFonts w:hint="eastAsia" w:cs="Times New Roman"/>
                      <w:color w:val="000000" w:themeColor="text1"/>
                      <w:sz w:val="24"/>
                      <w:szCs w:val="24"/>
                      <w:highlight w:val="none"/>
                      <w:lang w:val="en-US" w:eastAsia="zh-CN"/>
                      <w14:textFill>
                        <w14:solidFill>
                          <w14:schemeClr w14:val="tx1"/>
                        </w14:solidFill>
                      </w14:textFill>
                    </w:rPr>
                    <w:t>口</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排放；</w:t>
                  </w:r>
                </w:p>
              </w:tc>
              <w:tc>
                <w:tcPr>
                  <w:tcW w:w="248" w:type="pct"/>
                  <w:noWrap w:val="0"/>
                  <w:vAlign w:val="center"/>
                </w:tcPr>
                <w:p w14:paraId="6FBCFF58">
                  <w:pPr>
                    <w:adjustRightInd w:val="0"/>
                    <w:snapToGrid w:val="0"/>
                    <w:jc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新建</w:t>
                  </w:r>
                </w:p>
              </w:tc>
            </w:tr>
            <w:tr w14:paraId="5BA52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380" w:type="pct"/>
                  <w:vMerge w:val="continue"/>
                  <w:noWrap w:val="0"/>
                  <w:vAlign w:val="center"/>
                </w:tcPr>
                <w:p w14:paraId="737E1122">
                  <w:pPr>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414" w:type="pct"/>
                  <w:vMerge w:val="continue"/>
                  <w:noWrap w:val="0"/>
                  <w:vAlign w:val="center"/>
                </w:tcPr>
                <w:p w14:paraId="69E09CB6">
                  <w:pPr>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3957" w:type="pct"/>
                  <w:noWrap w:val="0"/>
                  <w:vAlign w:val="center"/>
                </w:tcPr>
                <w:p w14:paraId="3C275E06">
                  <w:pPr>
                    <w:pStyle w:val="79"/>
                    <w:keepNext w:val="0"/>
                    <w:keepLines w:val="0"/>
                    <w:pageBreakBefore w:val="0"/>
                    <w:widowControl w:val="0"/>
                    <w:kinsoku/>
                    <w:wordWrap/>
                    <w:overflowPunct/>
                    <w:topLinePunct w:val="0"/>
                    <w:autoSpaceDN/>
                    <w:bidi w:val="0"/>
                    <w:spacing w:line="240" w:lineRule="auto"/>
                    <w:ind w:left="0" w:leftChars="0" w:firstLine="0" w:firstLineChars="0"/>
                    <w:rPr>
                      <w:rFonts w:hint="default" w:ascii="Times New Roman" w:hAnsi="Times New Roman" w:eastAsia="宋体" w:cs="Times New Roman"/>
                      <w:color w:val="000000" w:themeColor="text1"/>
                      <w:spacing w:val="-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pacing w:val="-1"/>
                      <w:sz w:val="21"/>
                      <w:szCs w:val="21"/>
                      <w:highlight w:val="none"/>
                      <w:lang w:val="en-US" w:eastAsia="zh-CN"/>
                      <w14:textFill>
                        <w14:solidFill>
                          <w14:schemeClr w14:val="tx1"/>
                        </w14:solidFill>
                      </w14:textFill>
                    </w:rPr>
                    <w:t>窑尾</w:t>
                  </w:r>
                  <w:r>
                    <w:rPr>
                      <w:rFonts w:hint="default" w:ascii="Times New Roman" w:hAnsi="Times New Roman" w:cs="Times New Roman"/>
                      <w:color w:val="000000" w:themeColor="text1"/>
                      <w:spacing w:val="-1"/>
                      <w:sz w:val="21"/>
                      <w:szCs w:val="21"/>
                      <w:highlight w:val="none"/>
                      <w:lang w:val="en-US" w:eastAsia="zh-CN"/>
                      <w14:textFill>
                        <w14:solidFill>
                          <w14:schemeClr w14:val="tx1"/>
                        </w14:solidFill>
                      </w14:textFill>
                    </w:rPr>
                    <w:t>采用</w:t>
                  </w:r>
                  <w:r>
                    <w:rPr>
                      <w:rFonts w:hint="default" w:ascii="Times New Roman" w:hAnsi="Times New Roman" w:eastAsia="宋体" w:cs="Times New Roman"/>
                      <w:color w:val="000000" w:themeColor="text1"/>
                      <w:spacing w:val="-1"/>
                      <w:sz w:val="21"/>
                      <w:szCs w:val="21"/>
                      <w:highlight w:val="none"/>
                      <w:lang w:val="en-US" w:eastAsia="zh-CN"/>
                      <w14:textFill>
                        <w14:solidFill>
                          <w14:schemeClr w14:val="tx1"/>
                        </w14:solidFill>
                      </w14:textFill>
                    </w:rPr>
                    <w:t>“分级燃烧+缺氧燃烧+烟气再循环（FGR）”组合低氮燃烧焙烧后产生的废气</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经脱余热锅炉+</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脱</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硝（</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SNCR</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）装置（脱硝效率</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50</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布袋除尘器（覆膜袋式）</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除尘</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（除尘效率99%）</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+石灰石</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石膏法装置脱硫</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脱硫效率90%，除氨效率50%</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后通过</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42m</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高</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排气</w:t>
                  </w:r>
                  <w:r>
                    <w:rPr>
                      <w:rFonts w:hint="eastAsia" w:cs="Times New Roman"/>
                      <w:color w:val="000000" w:themeColor="text1"/>
                      <w:sz w:val="24"/>
                      <w:szCs w:val="24"/>
                      <w:highlight w:val="none"/>
                      <w:lang w:val="en-US" w:eastAsia="zh-CN"/>
                      <w14:textFill>
                        <w14:solidFill>
                          <w14:schemeClr w14:val="tx1"/>
                        </w14:solidFill>
                      </w14:textFill>
                    </w:rPr>
                    <w:t>口</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（DA006）达标排放；</w:t>
                  </w:r>
                </w:p>
              </w:tc>
              <w:tc>
                <w:tcPr>
                  <w:tcW w:w="248" w:type="pct"/>
                  <w:noWrap w:val="0"/>
                  <w:vAlign w:val="center"/>
                </w:tcPr>
                <w:p w14:paraId="2B3FBC7D">
                  <w:pPr>
                    <w:adjustRightInd w:val="0"/>
                    <w:snapToGrid w:val="0"/>
                    <w:jc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新建</w:t>
                  </w:r>
                </w:p>
              </w:tc>
            </w:tr>
            <w:tr w14:paraId="089C9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380" w:type="pct"/>
                  <w:vMerge w:val="continue"/>
                  <w:noWrap w:val="0"/>
                  <w:vAlign w:val="center"/>
                </w:tcPr>
                <w:p w14:paraId="58862EC8">
                  <w:pPr>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414" w:type="pct"/>
                  <w:vMerge w:val="continue"/>
                  <w:noWrap w:val="0"/>
                  <w:vAlign w:val="center"/>
                </w:tcPr>
                <w:p w14:paraId="649B6E05">
                  <w:pPr>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3957" w:type="pct"/>
                  <w:noWrap w:val="0"/>
                  <w:vAlign w:val="center"/>
                </w:tcPr>
                <w:p w14:paraId="0C74D81A">
                  <w:pPr>
                    <w:pStyle w:val="79"/>
                    <w:keepNext w:val="0"/>
                    <w:keepLines w:val="0"/>
                    <w:pageBreakBefore w:val="0"/>
                    <w:widowControl w:val="0"/>
                    <w:kinsoku/>
                    <w:wordWrap/>
                    <w:overflowPunct/>
                    <w:topLinePunct w:val="0"/>
                    <w:autoSpaceDN/>
                    <w:bidi w:val="0"/>
                    <w:spacing w:line="240" w:lineRule="auto"/>
                    <w:ind w:left="0" w:leftChars="0" w:firstLine="0" w:firstLineChars="0"/>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cs="Times New Roman"/>
                      <w:color w:val="000000" w:themeColor="text1"/>
                      <w:kern w:val="0"/>
                      <w:sz w:val="21"/>
                      <w:szCs w:val="21"/>
                      <w:highlight w:val="none"/>
                      <w:lang w:val="en-US" w:eastAsia="zh-CN" w:bidi="ar"/>
                      <w14:textFill>
                        <w14:solidFill>
                          <w14:schemeClr w14:val="tx1"/>
                        </w14:solidFill>
                      </w14:textFill>
                    </w:rPr>
                    <w:t>分选系统中</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打散</w:t>
                  </w:r>
                  <w:r>
                    <w:rPr>
                      <w:rFonts w:hint="default" w:ascii="Times New Roman" w:hAnsi="Times New Roman" w:cs="Times New Roman"/>
                      <w:color w:val="000000" w:themeColor="text1"/>
                      <w:kern w:val="0"/>
                      <w:sz w:val="21"/>
                      <w:szCs w:val="21"/>
                      <w:highlight w:val="none"/>
                      <w:lang w:val="en-US" w:eastAsia="zh-CN" w:bidi="ar"/>
                      <w14:textFill>
                        <w14:solidFill>
                          <w14:schemeClr w14:val="tx1"/>
                        </w14:solidFill>
                      </w14:textFill>
                    </w:rPr>
                    <w:t>分级</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机废气和粉磨机废气</w:t>
                  </w:r>
                  <w:r>
                    <w:rPr>
                      <w:rFonts w:hint="default" w:ascii="Times New Roman" w:hAnsi="Times New Roman" w:cs="Times New Roman"/>
                      <w:color w:val="000000" w:themeColor="text1"/>
                      <w:kern w:val="0"/>
                      <w:sz w:val="21"/>
                      <w:szCs w:val="21"/>
                      <w:highlight w:val="none"/>
                      <w:lang w:val="en-US" w:eastAsia="zh-CN" w:bidi="ar"/>
                      <w14:textFill>
                        <w14:solidFill>
                          <w14:schemeClr w14:val="tx1"/>
                        </w14:solidFill>
                      </w14:textFill>
                    </w:rPr>
                    <w:t>分别</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采用“封闭设备+高浓度气箱收集+</w:t>
                  </w:r>
                  <w:r>
                    <w:rPr>
                      <w:rFonts w:hint="default" w:ascii="Times New Roman" w:hAnsi="Times New Roman" w:cs="Times New Roman"/>
                      <w:color w:val="000000" w:themeColor="text1"/>
                      <w:kern w:val="0"/>
                      <w:sz w:val="21"/>
                      <w:szCs w:val="21"/>
                      <w:highlight w:val="none"/>
                      <w:lang w:val="en-US" w:eastAsia="zh-CN" w:bidi="ar"/>
                      <w14:textFill>
                        <w14:solidFill>
                          <w14:schemeClr w14:val="tx1"/>
                        </w14:solidFill>
                      </w14:textFill>
                    </w:rPr>
                    <w:t>布袋除尘器（覆膜袋式）</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”处理后经</w:t>
                  </w:r>
                  <w:r>
                    <w:rPr>
                      <w:rFonts w:hint="default" w:ascii="Times New Roman" w:hAnsi="Times New Roman" w:cs="Times New Roman"/>
                      <w:color w:val="000000" w:themeColor="text1"/>
                      <w:kern w:val="0"/>
                      <w:sz w:val="21"/>
                      <w:szCs w:val="21"/>
                      <w:highlight w:val="none"/>
                      <w:lang w:val="en-US" w:eastAsia="zh-CN" w:bidi="ar"/>
                      <w14:textFill>
                        <w14:solidFill>
                          <w14:schemeClr w14:val="tx1"/>
                        </w14:solidFill>
                      </w14:textFill>
                    </w:rPr>
                    <w:t>30</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m高</w:t>
                  </w:r>
                  <w:r>
                    <w:rPr>
                      <w:rFonts w:hint="eastAsia" w:ascii="Times New Roman" w:hAnsi="Times New Roman" w:cs="Times New Roman"/>
                      <w:color w:val="000000" w:themeColor="text1"/>
                      <w:kern w:val="0"/>
                      <w:sz w:val="21"/>
                      <w:szCs w:val="21"/>
                      <w:highlight w:val="none"/>
                      <w:lang w:val="en-US" w:eastAsia="zh-CN" w:bidi="ar"/>
                      <w14:textFill>
                        <w14:solidFill>
                          <w14:schemeClr w14:val="tx1"/>
                        </w14:solidFill>
                      </w14:textFill>
                    </w:rPr>
                    <w:t>排气</w:t>
                  </w:r>
                  <w:r>
                    <w:rPr>
                      <w:rFonts w:hint="eastAsia" w:cs="Times New Roman"/>
                      <w:color w:val="000000" w:themeColor="text1"/>
                      <w:sz w:val="24"/>
                      <w:szCs w:val="24"/>
                      <w:highlight w:val="none"/>
                      <w:lang w:val="en-US" w:eastAsia="zh-CN"/>
                      <w14:textFill>
                        <w14:solidFill>
                          <w14:schemeClr w14:val="tx1"/>
                        </w14:solidFill>
                      </w14:textFill>
                    </w:rPr>
                    <w:t>口</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（DA00</w:t>
                  </w:r>
                  <w:r>
                    <w:rPr>
                      <w:rFonts w:hint="default" w:ascii="Times New Roman" w:hAnsi="Times New Roman" w:cs="Times New Roman"/>
                      <w:color w:val="000000" w:themeColor="text1"/>
                      <w:kern w:val="0"/>
                      <w:sz w:val="21"/>
                      <w:szCs w:val="21"/>
                      <w:highlight w:val="none"/>
                      <w:lang w:val="en-US" w:eastAsia="zh-CN" w:bidi="ar"/>
                      <w14:textFill>
                        <w14:solidFill>
                          <w14:schemeClr w14:val="tx1"/>
                        </w14:solidFill>
                      </w14:textFill>
                    </w:rPr>
                    <w:t>7、</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DA00</w:t>
                  </w:r>
                  <w:r>
                    <w:rPr>
                      <w:rFonts w:hint="default" w:ascii="Times New Roman" w:hAnsi="Times New Roman" w:cs="Times New Roman"/>
                      <w:color w:val="000000" w:themeColor="text1"/>
                      <w:kern w:val="0"/>
                      <w:sz w:val="21"/>
                      <w:szCs w:val="21"/>
                      <w:highlight w:val="none"/>
                      <w:lang w:val="en-US" w:eastAsia="zh-CN" w:bidi="ar"/>
                      <w14:textFill>
                        <w14:solidFill>
                          <w14:schemeClr w14:val="tx1"/>
                        </w14:solidFill>
                      </w14:textFill>
                    </w:rPr>
                    <w:t>8</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）排放；</w:t>
                  </w:r>
                </w:p>
              </w:tc>
              <w:tc>
                <w:tcPr>
                  <w:tcW w:w="248" w:type="pct"/>
                  <w:noWrap w:val="0"/>
                  <w:vAlign w:val="center"/>
                </w:tcPr>
                <w:p w14:paraId="3C3EB763">
                  <w:pPr>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新建</w:t>
                  </w:r>
                </w:p>
              </w:tc>
            </w:tr>
            <w:tr w14:paraId="16AA6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380" w:type="pct"/>
                  <w:vMerge w:val="continue"/>
                  <w:noWrap w:val="0"/>
                  <w:vAlign w:val="center"/>
                </w:tcPr>
                <w:p w14:paraId="4DF50EB2">
                  <w:pPr>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414" w:type="pct"/>
                  <w:vMerge w:val="continue"/>
                  <w:noWrap w:val="0"/>
                  <w:vAlign w:val="center"/>
                </w:tcPr>
                <w:p w14:paraId="1F1B0419">
                  <w:pPr>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3957" w:type="pct"/>
                  <w:noWrap w:val="0"/>
                  <w:vAlign w:val="center"/>
                </w:tcPr>
                <w:p w14:paraId="475627F9">
                  <w:pPr>
                    <w:pStyle w:val="79"/>
                    <w:keepNext w:val="0"/>
                    <w:keepLines w:val="0"/>
                    <w:pageBreakBefore w:val="0"/>
                    <w:widowControl w:val="0"/>
                    <w:kinsoku/>
                    <w:wordWrap/>
                    <w:overflowPunct/>
                    <w:topLinePunct w:val="0"/>
                    <w:autoSpaceDN/>
                    <w:bidi w:val="0"/>
                    <w:spacing w:line="240" w:lineRule="auto"/>
                    <w:ind w:left="0" w:leftChars="0" w:firstLine="0" w:firstLineChars="0"/>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4个成品筒仓产生的装卸呼吸</w:t>
                  </w:r>
                  <w:r>
                    <w:rPr>
                      <w:rFonts w:hint="default" w:ascii="Times New Roman" w:hAnsi="Times New Roman" w:cs="Times New Roman"/>
                      <w:color w:val="000000" w:themeColor="text1"/>
                      <w:kern w:val="0"/>
                      <w:sz w:val="21"/>
                      <w:szCs w:val="21"/>
                      <w:highlight w:val="none"/>
                      <w:lang w:val="en-US" w:eastAsia="zh-CN" w:bidi="ar"/>
                      <w14:textFill>
                        <w14:solidFill>
                          <w14:schemeClr w14:val="tx1"/>
                        </w14:solidFill>
                      </w14:textFill>
                    </w:rPr>
                    <w:t>粉尘两两为一组，</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采用“封闭设备+高浓度气箱收集+</w:t>
                  </w:r>
                  <w:r>
                    <w:rPr>
                      <w:rFonts w:hint="default" w:ascii="Times New Roman" w:hAnsi="Times New Roman" w:cs="Times New Roman"/>
                      <w:color w:val="000000" w:themeColor="text1"/>
                      <w:kern w:val="0"/>
                      <w:sz w:val="21"/>
                      <w:szCs w:val="21"/>
                      <w:highlight w:val="none"/>
                      <w:lang w:val="en-US" w:eastAsia="zh-CN" w:bidi="ar"/>
                      <w14:textFill>
                        <w14:solidFill>
                          <w14:schemeClr w14:val="tx1"/>
                        </w14:solidFill>
                      </w14:textFill>
                    </w:rPr>
                    <w:t>布袋除尘器（覆膜袋式）</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”处理后经</w:t>
                  </w:r>
                  <w:r>
                    <w:rPr>
                      <w:rFonts w:hint="default" w:ascii="Times New Roman" w:hAnsi="Times New Roman" w:cs="Times New Roman"/>
                      <w:color w:val="000000" w:themeColor="text1"/>
                      <w:kern w:val="0"/>
                      <w:sz w:val="21"/>
                      <w:szCs w:val="21"/>
                      <w:highlight w:val="none"/>
                      <w:lang w:val="en-US" w:eastAsia="zh-CN" w:bidi="ar"/>
                      <w14:textFill>
                        <w14:solidFill>
                          <w14:schemeClr w14:val="tx1"/>
                        </w14:solidFill>
                      </w14:textFill>
                    </w:rPr>
                    <w:t>5</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0m高</w:t>
                  </w:r>
                  <w:r>
                    <w:rPr>
                      <w:rFonts w:hint="eastAsia" w:ascii="Times New Roman" w:hAnsi="Times New Roman" w:cs="Times New Roman"/>
                      <w:color w:val="000000" w:themeColor="text1"/>
                      <w:kern w:val="0"/>
                      <w:sz w:val="21"/>
                      <w:szCs w:val="21"/>
                      <w:highlight w:val="none"/>
                      <w:lang w:val="en-US" w:eastAsia="zh-CN" w:bidi="ar"/>
                      <w14:textFill>
                        <w14:solidFill>
                          <w14:schemeClr w14:val="tx1"/>
                        </w14:solidFill>
                      </w14:textFill>
                    </w:rPr>
                    <w:t>排气</w:t>
                  </w:r>
                  <w:r>
                    <w:rPr>
                      <w:rFonts w:hint="eastAsia" w:cs="Times New Roman"/>
                      <w:color w:val="000000" w:themeColor="text1"/>
                      <w:sz w:val="24"/>
                      <w:szCs w:val="24"/>
                      <w:highlight w:val="none"/>
                      <w:lang w:val="en-US" w:eastAsia="zh-CN"/>
                      <w14:textFill>
                        <w14:solidFill>
                          <w14:schemeClr w14:val="tx1"/>
                        </w14:solidFill>
                      </w14:textFill>
                    </w:rPr>
                    <w:t>口</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（DA00</w:t>
                  </w:r>
                  <w:r>
                    <w:rPr>
                      <w:rFonts w:hint="default" w:ascii="Times New Roman" w:hAnsi="Times New Roman" w:cs="Times New Roman"/>
                      <w:color w:val="000000" w:themeColor="text1"/>
                      <w:kern w:val="0"/>
                      <w:sz w:val="21"/>
                      <w:szCs w:val="21"/>
                      <w:highlight w:val="none"/>
                      <w:lang w:val="en-US" w:eastAsia="zh-CN" w:bidi="ar"/>
                      <w14:textFill>
                        <w14:solidFill>
                          <w14:schemeClr w14:val="tx1"/>
                        </w14:solidFill>
                      </w14:textFill>
                    </w:rPr>
                    <w:t>9</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、DA0</w:t>
                  </w:r>
                  <w:r>
                    <w:rPr>
                      <w:rFonts w:hint="default" w:ascii="Times New Roman" w:hAnsi="Times New Roman" w:cs="Times New Roman"/>
                      <w:color w:val="000000" w:themeColor="text1"/>
                      <w:kern w:val="0"/>
                      <w:sz w:val="21"/>
                      <w:szCs w:val="21"/>
                      <w:highlight w:val="none"/>
                      <w:lang w:val="en-US" w:eastAsia="zh-CN" w:bidi="ar"/>
                      <w14:textFill>
                        <w14:solidFill>
                          <w14:schemeClr w14:val="tx1"/>
                        </w14:solidFill>
                      </w14:textFill>
                    </w:rPr>
                    <w:t>10</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）排放；</w:t>
                  </w:r>
                </w:p>
              </w:tc>
              <w:tc>
                <w:tcPr>
                  <w:tcW w:w="248" w:type="pct"/>
                  <w:noWrap w:val="0"/>
                  <w:vAlign w:val="center"/>
                </w:tcPr>
                <w:p w14:paraId="78D8FC79">
                  <w:pPr>
                    <w:adjustRightInd w:val="0"/>
                    <w:snapToGrid w:val="0"/>
                    <w:jc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新建</w:t>
                  </w:r>
                </w:p>
              </w:tc>
            </w:tr>
            <w:tr w14:paraId="1B2EB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380" w:type="pct"/>
                  <w:vMerge w:val="continue"/>
                  <w:noWrap w:val="0"/>
                  <w:vAlign w:val="center"/>
                </w:tcPr>
                <w:p w14:paraId="768FE97A">
                  <w:pPr>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414" w:type="pct"/>
                  <w:vMerge w:val="continue"/>
                  <w:noWrap w:val="0"/>
                  <w:vAlign w:val="center"/>
                </w:tcPr>
                <w:p w14:paraId="28A9A7FB">
                  <w:pPr>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3957" w:type="pct"/>
                  <w:noWrap w:val="0"/>
                  <w:vAlign w:val="center"/>
                </w:tcPr>
                <w:p w14:paraId="44E20C24">
                  <w:pPr>
                    <w:pStyle w:val="79"/>
                    <w:keepNext w:val="0"/>
                    <w:keepLines w:val="0"/>
                    <w:pageBreakBefore w:val="0"/>
                    <w:widowControl w:val="0"/>
                    <w:kinsoku/>
                    <w:wordWrap/>
                    <w:overflowPunct/>
                    <w:topLinePunct w:val="0"/>
                    <w:autoSpaceDN/>
                    <w:bidi w:val="0"/>
                    <w:spacing w:line="240" w:lineRule="auto"/>
                    <w:ind w:left="0" w:leftChars="0" w:firstLine="0" w:firstLineChars="0"/>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8条大包装生产线产生的</w:t>
                  </w:r>
                  <w:r>
                    <w:rPr>
                      <w:rFonts w:hint="default" w:ascii="Times New Roman" w:hAnsi="Times New Roman" w:cs="Times New Roman"/>
                      <w:color w:val="000000" w:themeColor="text1"/>
                      <w:kern w:val="0"/>
                      <w:sz w:val="21"/>
                      <w:szCs w:val="21"/>
                      <w:highlight w:val="none"/>
                      <w:lang w:val="en-US" w:eastAsia="zh-CN" w:bidi="ar"/>
                      <w14:textFill>
                        <w14:solidFill>
                          <w14:schemeClr w14:val="tx1"/>
                        </w14:solidFill>
                      </w14:textFill>
                    </w:rPr>
                    <w:t>粉尘</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采用“集气罩收集+</w:t>
                  </w:r>
                  <w:r>
                    <w:rPr>
                      <w:rFonts w:hint="default" w:ascii="Times New Roman" w:hAnsi="Times New Roman" w:cs="Times New Roman"/>
                      <w:color w:val="000000" w:themeColor="text1"/>
                      <w:kern w:val="0"/>
                      <w:sz w:val="21"/>
                      <w:szCs w:val="21"/>
                      <w:highlight w:val="none"/>
                      <w:lang w:val="en-US" w:eastAsia="zh-CN" w:bidi="ar"/>
                      <w14:textFill>
                        <w14:solidFill>
                          <w14:schemeClr w14:val="tx1"/>
                        </w14:solidFill>
                      </w14:textFill>
                    </w:rPr>
                    <w:t>布袋除尘器（覆膜袋式）</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”处理后经</w:t>
                  </w:r>
                  <w:r>
                    <w:rPr>
                      <w:rFonts w:hint="default" w:ascii="Times New Roman" w:hAnsi="Times New Roman" w:cs="Times New Roman"/>
                      <w:color w:val="000000" w:themeColor="text1"/>
                      <w:kern w:val="0"/>
                      <w:sz w:val="21"/>
                      <w:szCs w:val="21"/>
                      <w:highlight w:val="none"/>
                      <w:lang w:val="en-US" w:eastAsia="zh-CN" w:bidi="ar"/>
                      <w14:textFill>
                        <w14:solidFill>
                          <w14:schemeClr w14:val="tx1"/>
                        </w14:solidFill>
                      </w14:textFill>
                    </w:rPr>
                    <w:t>3</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0m高</w:t>
                  </w:r>
                  <w:r>
                    <w:rPr>
                      <w:rFonts w:hint="eastAsia" w:ascii="Times New Roman" w:hAnsi="Times New Roman" w:cs="Times New Roman"/>
                      <w:color w:val="000000" w:themeColor="text1"/>
                      <w:kern w:val="0"/>
                      <w:sz w:val="21"/>
                      <w:szCs w:val="21"/>
                      <w:highlight w:val="none"/>
                      <w:lang w:val="en-US" w:eastAsia="zh-CN" w:bidi="ar"/>
                      <w14:textFill>
                        <w14:solidFill>
                          <w14:schemeClr w14:val="tx1"/>
                        </w14:solidFill>
                      </w14:textFill>
                    </w:rPr>
                    <w:t>排气</w:t>
                  </w:r>
                  <w:r>
                    <w:rPr>
                      <w:rFonts w:hint="eastAsia" w:cs="Times New Roman"/>
                      <w:color w:val="000000" w:themeColor="text1"/>
                      <w:sz w:val="24"/>
                      <w:szCs w:val="24"/>
                      <w:highlight w:val="none"/>
                      <w:lang w:val="en-US" w:eastAsia="zh-CN"/>
                      <w14:textFill>
                        <w14:solidFill>
                          <w14:schemeClr w14:val="tx1"/>
                        </w14:solidFill>
                      </w14:textFill>
                    </w:rPr>
                    <w:t>口</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（DA01</w:t>
                  </w:r>
                  <w:r>
                    <w:rPr>
                      <w:rFonts w:hint="default" w:ascii="Times New Roman" w:hAnsi="Times New Roman" w:cs="Times New Roman"/>
                      <w:color w:val="000000" w:themeColor="text1"/>
                      <w:kern w:val="0"/>
                      <w:sz w:val="21"/>
                      <w:szCs w:val="21"/>
                      <w:highlight w:val="none"/>
                      <w:lang w:val="en-US" w:eastAsia="zh-CN" w:bidi="ar"/>
                      <w14:textFill>
                        <w14:solidFill>
                          <w14:schemeClr w14:val="tx1"/>
                        </w14:solidFill>
                      </w14:textFill>
                    </w:rPr>
                    <w:t>1</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）排放；</w:t>
                  </w:r>
                </w:p>
              </w:tc>
              <w:tc>
                <w:tcPr>
                  <w:tcW w:w="248" w:type="pct"/>
                  <w:noWrap w:val="0"/>
                  <w:vAlign w:val="center"/>
                </w:tcPr>
                <w:p w14:paraId="3CB02AD0">
                  <w:pPr>
                    <w:adjustRightInd w:val="0"/>
                    <w:snapToGrid w:val="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新建</w:t>
                  </w:r>
                </w:p>
              </w:tc>
            </w:tr>
            <w:tr w14:paraId="298DA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6" w:hRule="atLeast"/>
                <w:jc w:val="center"/>
              </w:trPr>
              <w:tc>
                <w:tcPr>
                  <w:tcW w:w="380" w:type="pct"/>
                  <w:vMerge w:val="continue"/>
                  <w:noWrap w:val="0"/>
                  <w:vAlign w:val="center"/>
                </w:tcPr>
                <w:p w14:paraId="30A8625D">
                  <w:pPr>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414" w:type="pct"/>
                  <w:vMerge w:val="continue"/>
                  <w:noWrap w:val="0"/>
                  <w:vAlign w:val="center"/>
                </w:tcPr>
                <w:p w14:paraId="5DAC2128">
                  <w:pPr>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3957" w:type="pct"/>
                  <w:noWrap w:val="0"/>
                  <w:vAlign w:val="center"/>
                </w:tcPr>
                <w:p w14:paraId="6CAAAE2E">
                  <w:pPr>
                    <w:pStyle w:val="79"/>
                    <w:keepNext w:val="0"/>
                    <w:keepLines w:val="0"/>
                    <w:pageBreakBefore w:val="0"/>
                    <w:widowControl w:val="0"/>
                    <w:kinsoku/>
                    <w:wordWrap/>
                    <w:overflowPunct/>
                    <w:topLinePunct w:val="0"/>
                    <w:autoSpaceDN/>
                    <w:bidi w:val="0"/>
                    <w:spacing w:line="240" w:lineRule="auto"/>
                    <w:ind w:left="0" w:leftChars="0" w:firstLine="0" w:firstLineChars="0"/>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1个成品筒仓产生废气通过“收集+</w:t>
                  </w:r>
                  <w:r>
                    <w:rPr>
                      <w:rFonts w:hint="default" w:ascii="Times New Roman" w:hAnsi="Times New Roman" w:cs="Times New Roman"/>
                      <w:color w:val="000000" w:themeColor="text1"/>
                      <w:kern w:val="0"/>
                      <w:sz w:val="21"/>
                      <w:szCs w:val="21"/>
                      <w:highlight w:val="none"/>
                      <w:lang w:val="en-US" w:eastAsia="zh-CN" w:bidi="ar"/>
                      <w14:textFill>
                        <w14:solidFill>
                          <w14:schemeClr w14:val="tx1"/>
                        </w14:solidFill>
                      </w14:textFill>
                    </w:rPr>
                    <w:t>布袋除尘器（覆膜袋式）</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”处理后经1根</w:t>
                  </w:r>
                  <w:r>
                    <w:rPr>
                      <w:rFonts w:hint="default" w:ascii="Times New Roman" w:hAnsi="Times New Roman" w:cs="Times New Roman"/>
                      <w:color w:val="000000" w:themeColor="text1"/>
                      <w:kern w:val="0"/>
                      <w:sz w:val="21"/>
                      <w:szCs w:val="21"/>
                      <w:highlight w:val="none"/>
                      <w:lang w:val="en-US" w:eastAsia="zh-CN" w:bidi="ar"/>
                      <w14:textFill>
                        <w14:solidFill>
                          <w14:schemeClr w14:val="tx1"/>
                        </w14:solidFill>
                      </w14:textFill>
                    </w:rPr>
                    <w:t>30</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m高（DA01</w:t>
                  </w:r>
                  <w:r>
                    <w:rPr>
                      <w:rFonts w:hint="default" w:ascii="Times New Roman" w:hAnsi="Times New Roman" w:cs="Times New Roman"/>
                      <w:color w:val="000000" w:themeColor="text1"/>
                      <w:kern w:val="0"/>
                      <w:sz w:val="21"/>
                      <w:szCs w:val="21"/>
                      <w:highlight w:val="none"/>
                      <w:lang w:val="en-US" w:eastAsia="zh-CN" w:bidi="ar"/>
                      <w14:textFill>
                        <w14:solidFill>
                          <w14:schemeClr w14:val="tx1"/>
                        </w14:solidFill>
                      </w14:textFill>
                    </w:rPr>
                    <w:t>2</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w:t>
                  </w:r>
                  <w:r>
                    <w:rPr>
                      <w:rFonts w:hint="eastAsia" w:ascii="Times New Roman" w:hAnsi="Times New Roman" w:cs="Times New Roman"/>
                      <w:color w:val="000000" w:themeColor="text1"/>
                      <w:kern w:val="0"/>
                      <w:sz w:val="21"/>
                      <w:szCs w:val="21"/>
                      <w:highlight w:val="none"/>
                      <w:lang w:val="en-US" w:eastAsia="zh-CN" w:bidi="ar"/>
                      <w14:textFill>
                        <w14:solidFill>
                          <w14:schemeClr w14:val="tx1"/>
                        </w14:solidFill>
                      </w14:textFill>
                    </w:rPr>
                    <w:t>排气</w:t>
                  </w:r>
                  <w:r>
                    <w:rPr>
                      <w:rFonts w:hint="eastAsia" w:cs="Times New Roman"/>
                      <w:color w:val="000000" w:themeColor="text1"/>
                      <w:sz w:val="24"/>
                      <w:szCs w:val="24"/>
                      <w:highlight w:val="none"/>
                      <w:lang w:val="en-US" w:eastAsia="zh-CN"/>
                      <w14:textFill>
                        <w14:solidFill>
                          <w14:schemeClr w14:val="tx1"/>
                        </w14:solidFill>
                      </w14:textFill>
                    </w:rPr>
                    <w:t>口</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排放；</w:t>
                  </w:r>
                </w:p>
              </w:tc>
              <w:tc>
                <w:tcPr>
                  <w:tcW w:w="248" w:type="pct"/>
                  <w:noWrap w:val="0"/>
                  <w:vAlign w:val="center"/>
                </w:tcPr>
                <w:p w14:paraId="08873158">
                  <w:pPr>
                    <w:adjustRightInd w:val="0"/>
                    <w:snapToGrid w:val="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新建</w:t>
                  </w:r>
                </w:p>
              </w:tc>
            </w:tr>
            <w:tr w14:paraId="24ADD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6" w:hRule="atLeast"/>
                <w:jc w:val="center"/>
              </w:trPr>
              <w:tc>
                <w:tcPr>
                  <w:tcW w:w="380" w:type="pct"/>
                  <w:vMerge w:val="continue"/>
                  <w:noWrap w:val="0"/>
                  <w:vAlign w:val="center"/>
                </w:tcPr>
                <w:p w14:paraId="69B4FB19">
                  <w:pPr>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414" w:type="pct"/>
                  <w:vMerge w:val="continue"/>
                  <w:noWrap w:val="0"/>
                  <w:vAlign w:val="center"/>
                </w:tcPr>
                <w:p w14:paraId="2407FFFC">
                  <w:pPr>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3957" w:type="pct"/>
                  <w:noWrap w:val="0"/>
                  <w:vAlign w:val="center"/>
                </w:tcPr>
                <w:p w14:paraId="34F568D8">
                  <w:pPr>
                    <w:pStyle w:val="79"/>
                    <w:keepNext w:val="0"/>
                    <w:keepLines w:val="0"/>
                    <w:pageBreakBefore w:val="0"/>
                    <w:widowControl w:val="0"/>
                    <w:kinsoku/>
                    <w:wordWrap/>
                    <w:overflowPunct/>
                    <w:topLinePunct w:val="0"/>
                    <w:autoSpaceDN/>
                    <w:bidi w:val="0"/>
                    <w:spacing w:line="240" w:lineRule="auto"/>
                    <w:ind w:left="0" w:leftChars="0" w:firstLine="0" w:firstLineChars="0"/>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1条小包装产生废气通过“集气罩收集+</w:t>
                  </w:r>
                  <w:r>
                    <w:rPr>
                      <w:rFonts w:hint="default" w:ascii="Times New Roman" w:hAnsi="Times New Roman" w:cs="Times New Roman"/>
                      <w:color w:val="000000" w:themeColor="text1"/>
                      <w:kern w:val="0"/>
                      <w:sz w:val="21"/>
                      <w:szCs w:val="21"/>
                      <w:highlight w:val="none"/>
                      <w:lang w:val="en-US" w:eastAsia="zh-CN" w:bidi="ar"/>
                      <w14:textFill>
                        <w14:solidFill>
                          <w14:schemeClr w14:val="tx1"/>
                        </w14:solidFill>
                      </w14:textFill>
                    </w:rPr>
                    <w:t>布袋除尘器（覆膜袋式）</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”处理后经1根</w:t>
                  </w:r>
                  <w:r>
                    <w:rPr>
                      <w:rFonts w:hint="default" w:ascii="Times New Roman" w:hAnsi="Times New Roman" w:cs="Times New Roman"/>
                      <w:color w:val="000000" w:themeColor="text1"/>
                      <w:kern w:val="0"/>
                      <w:sz w:val="21"/>
                      <w:szCs w:val="21"/>
                      <w:highlight w:val="none"/>
                      <w:lang w:val="en-US" w:eastAsia="zh-CN" w:bidi="ar"/>
                      <w14:textFill>
                        <w14:solidFill>
                          <w14:schemeClr w14:val="tx1"/>
                        </w14:solidFill>
                      </w14:textFill>
                    </w:rPr>
                    <w:t>2</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0m高（DA01</w:t>
                  </w:r>
                  <w:r>
                    <w:rPr>
                      <w:rFonts w:hint="default" w:ascii="Times New Roman" w:hAnsi="Times New Roman" w:cs="Times New Roman"/>
                      <w:color w:val="000000" w:themeColor="text1"/>
                      <w:kern w:val="0"/>
                      <w:sz w:val="21"/>
                      <w:szCs w:val="21"/>
                      <w:highlight w:val="none"/>
                      <w:lang w:val="en-US" w:eastAsia="zh-CN" w:bidi="ar"/>
                      <w14:textFill>
                        <w14:solidFill>
                          <w14:schemeClr w14:val="tx1"/>
                        </w14:solidFill>
                      </w14:textFill>
                    </w:rPr>
                    <w:t>3</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w:t>
                  </w:r>
                  <w:r>
                    <w:rPr>
                      <w:rFonts w:hint="eastAsia" w:ascii="Times New Roman" w:hAnsi="Times New Roman" w:cs="Times New Roman"/>
                      <w:color w:val="000000" w:themeColor="text1"/>
                      <w:kern w:val="0"/>
                      <w:sz w:val="21"/>
                      <w:szCs w:val="21"/>
                      <w:highlight w:val="none"/>
                      <w:lang w:val="en-US" w:eastAsia="zh-CN" w:bidi="ar"/>
                      <w14:textFill>
                        <w14:solidFill>
                          <w14:schemeClr w14:val="tx1"/>
                        </w14:solidFill>
                      </w14:textFill>
                    </w:rPr>
                    <w:t>排气</w:t>
                  </w:r>
                  <w:r>
                    <w:rPr>
                      <w:rFonts w:hint="eastAsia" w:cs="Times New Roman"/>
                      <w:color w:val="000000" w:themeColor="text1"/>
                      <w:sz w:val="24"/>
                      <w:szCs w:val="24"/>
                      <w:highlight w:val="none"/>
                      <w:lang w:val="en-US" w:eastAsia="zh-CN"/>
                      <w14:textFill>
                        <w14:solidFill>
                          <w14:schemeClr w14:val="tx1"/>
                        </w14:solidFill>
                      </w14:textFill>
                    </w:rPr>
                    <w:t>口</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排放；</w:t>
                  </w:r>
                </w:p>
              </w:tc>
              <w:tc>
                <w:tcPr>
                  <w:tcW w:w="248" w:type="pct"/>
                  <w:noWrap w:val="0"/>
                  <w:vAlign w:val="center"/>
                </w:tcPr>
                <w:p w14:paraId="2E6456B1">
                  <w:pPr>
                    <w:adjustRightInd w:val="0"/>
                    <w:snapToGrid w:val="0"/>
                    <w:jc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新建</w:t>
                  </w:r>
                </w:p>
              </w:tc>
            </w:tr>
            <w:tr w14:paraId="2BEC5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6" w:hRule="atLeast"/>
                <w:jc w:val="center"/>
              </w:trPr>
              <w:tc>
                <w:tcPr>
                  <w:tcW w:w="380" w:type="pct"/>
                  <w:vMerge w:val="continue"/>
                  <w:noWrap w:val="0"/>
                  <w:vAlign w:val="center"/>
                </w:tcPr>
                <w:p w14:paraId="2D89ACCE">
                  <w:pPr>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414" w:type="pct"/>
                  <w:vMerge w:val="continue"/>
                  <w:noWrap w:val="0"/>
                  <w:vAlign w:val="center"/>
                </w:tcPr>
                <w:p w14:paraId="3D724A09">
                  <w:pPr>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3957" w:type="pct"/>
                  <w:shd w:val="clear" w:color="auto" w:fill="auto"/>
                  <w:noWrap w:val="0"/>
                  <w:vAlign w:val="center"/>
                </w:tcPr>
                <w:p w14:paraId="2CBEA106">
                  <w:pPr>
                    <w:pStyle w:val="79"/>
                    <w:keepNext w:val="0"/>
                    <w:keepLines w:val="0"/>
                    <w:pageBreakBefore w:val="0"/>
                    <w:widowControl w:val="0"/>
                    <w:kinsoku/>
                    <w:wordWrap/>
                    <w:overflowPunct/>
                    <w:topLinePunct w:val="0"/>
                    <w:autoSpaceDN/>
                    <w:bidi w:val="0"/>
                    <w:spacing w:line="240" w:lineRule="auto"/>
                    <w:ind w:left="0" w:leftChars="0" w:firstLine="0" w:firstLineChars="0"/>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2个黄料粉筒仓产生废气</w:t>
                  </w:r>
                  <w:r>
                    <w:rPr>
                      <w:rFonts w:hint="default" w:ascii="Times New Roman" w:hAnsi="Times New Roman" w:cs="Times New Roman"/>
                      <w:color w:val="000000" w:themeColor="text1"/>
                      <w:kern w:val="0"/>
                      <w:sz w:val="21"/>
                      <w:szCs w:val="21"/>
                      <w:highlight w:val="none"/>
                      <w:lang w:val="en-US" w:eastAsia="zh-CN" w:bidi="ar"/>
                      <w14:textFill>
                        <w14:solidFill>
                          <w14:schemeClr w14:val="tx1"/>
                        </w14:solidFill>
                      </w14:textFill>
                    </w:rPr>
                    <w:t>两两为一组，</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通过“封闭设备+收集+</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布袋除尘器（覆膜袋式）</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”处理后经1根</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15</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m高（DA01</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4</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排气</w:t>
                  </w:r>
                  <w:r>
                    <w:rPr>
                      <w:rFonts w:hint="eastAsia" w:cs="Times New Roman"/>
                      <w:color w:val="000000" w:themeColor="text1"/>
                      <w:sz w:val="24"/>
                      <w:szCs w:val="24"/>
                      <w:highlight w:val="none"/>
                      <w:lang w:val="en-US" w:eastAsia="zh-CN"/>
                      <w14:textFill>
                        <w14:solidFill>
                          <w14:schemeClr w14:val="tx1"/>
                        </w14:solidFill>
                      </w14:textFill>
                    </w:rPr>
                    <w:t>口</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排放；</w:t>
                  </w:r>
                </w:p>
              </w:tc>
              <w:tc>
                <w:tcPr>
                  <w:tcW w:w="248" w:type="pct"/>
                  <w:shd w:val="clear" w:color="auto" w:fill="auto"/>
                  <w:noWrap w:val="0"/>
                  <w:vAlign w:val="center"/>
                </w:tcPr>
                <w:p w14:paraId="73EB6FF9">
                  <w:pPr>
                    <w:adjustRightInd w:val="0"/>
                    <w:snapToGrid w:val="0"/>
                    <w:jc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新建</w:t>
                  </w:r>
                </w:p>
              </w:tc>
            </w:tr>
            <w:tr w14:paraId="577DA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6" w:hRule="atLeast"/>
                <w:jc w:val="center"/>
              </w:trPr>
              <w:tc>
                <w:tcPr>
                  <w:tcW w:w="380" w:type="pct"/>
                  <w:vMerge w:val="continue"/>
                  <w:noWrap w:val="0"/>
                  <w:vAlign w:val="center"/>
                </w:tcPr>
                <w:p w14:paraId="088347F9">
                  <w:pPr>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414" w:type="pct"/>
                  <w:vMerge w:val="continue"/>
                  <w:noWrap w:val="0"/>
                  <w:vAlign w:val="center"/>
                </w:tcPr>
                <w:p w14:paraId="72978481">
                  <w:pPr>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3957" w:type="pct"/>
                  <w:noWrap w:val="0"/>
                  <w:vAlign w:val="center"/>
                </w:tcPr>
                <w:p w14:paraId="06FC23DD">
                  <w:pPr>
                    <w:pStyle w:val="79"/>
                    <w:keepNext w:val="0"/>
                    <w:keepLines w:val="0"/>
                    <w:pageBreakBefore w:val="0"/>
                    <w:widowControl w:val="0"/>
                    <w:kinsoku/>
                    <w:wordWrap/>
                    <w:overflowPunct/>
                    <w:topLinePunct w:val="0"/>
                    <w:autoSpaceDN/>
                    <w:bidi w:val="0"/>
                    <w:spacing w:line="240" w:lineRule="auto"/>
                    <w:ind w:left="0" w:leftChars="0" w:firstLine="0" w:firstLineChars="0"/>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脱硫剂石灰石粉仓废气</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通过“封闭设备+</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布袋除尘器（覆膜袋式）</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”处理后经1根</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18</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m高（DA01</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5</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排气</w:t>
                  </w:r>
                  <w:r>
                    <w:rPr>
                      <w:rFonts w:hint="eastAsia" w:cs="Times New Roman"/>
                      <w:color w:val="000000" w:themeColor="text1"/>
                      <w:sz w:val="24"/>
                      <w:szCs w:val="24"/>
                      <w:highlight w:val="none"/>
                      <w:lang w:val="en-US" w:eastAsia="zh-CN"/>
                      <w14:textFill>
                        <w14:solidFill>
                          <w14:schemeClr w14:val="tx1"/>
                        </w14:solidFill>
                      </w14:textFill>
                    </w:rPr>
                    <w:t>口</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排放；</w:t>
                  </w:r>
                </w:p>
              </w:tc>
              <w:tc>
                <w:tcPr>
                  <w:tcW w:w="248" w:type="pct"/>
                  <w:noWrap w:val="0"/>
                  <w:vAlign w:val="center"/>
                </w:tcPr>
                <w:p w14:paraId="208FB231">
                  <w:pPr>
                    <w:adjustRightInd w:val="0"/>
                    <w:snapToGrid w:val="0"/>
                    <w:jc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新建</w:t>
                  </w:r>
                </w:p>
              </w:tc>
            </w:tr>
            <w:tr w14:paraId="3C54A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380" w:type="pct"/>
                  <w:vMerge w:val="continue"/>
                  <w:noWrap w:val="0"/>
                  <w:vAlign w:val="center"/>
                </w:tcPr>
                <w:p w14:paraId="7B424E74">
                  <w:pPr>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414" w:type="pct"/>
                  <w:noWrap w:val="0"/>
                  <w:vAlign w:val="center"/>
                </w:tcPr>
                <w:p w14:paraId="6C5813A0">
                  <w:pPr>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废水</w:t>
                  </w:r>
                </w:p>
              </w:tc>
              <w:tc>
                <w:tcPr>
                  <w:tcW w:w="3957" w:type="pct"/>
                  <w:noWrap w:val="0"/>
                  <w:vAlign w:val="center"/>
                </w:tcPr>
                <w:p w14:paraId="16BD3688">
                  <w:pPr>
                    <w:pStyle w:val="79"/>
                    <w:keepNext w:val="0"/>
                    <w:keepLines w:val="0"/>
                    <w:pageBreakBefore w:val="0"/>
                    <w:widowControl w:val="0"/>
                    <w:kinsoku/>
                    <w:wordWrap/>
                    <w:overflowPunct/>
                    <w:topLinePunct w:val="0"/>
                    <w:autoSpaceDN/>
                    <w:bidi w:val="0"/>
                    <w:spacing w:line="240" w:lineRule="auto"/>
                    <w:ind w:left="0" w:leftChars="0" w:firstLine="0" w:firstLineChars="0"/>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spacing w:val="-1"/>
                      <w:sz w:val="21"/>
                      <w:szCs w:val="21"/>
                      <w:highlight w:val="none"/>
                      <w14:textFill>
                        <w14:solidFill>
                          <w14:schemeClr w14:val="tx1"/>
                        </w14:solidFill>
                      </w14:textFill>
                    </w:rPr>
                    <w:t>①</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脱硫废水经三联箱（中和、反应沉降、絮凝）装置处理后综合利用；</w:t>
                  </w:r>
                </w:p>
                <w:p w14:paraId="140F4FA1">
                  <w:pPr>
                    <w:pStyle w:val="79"/>
                    <w:keepNext w:val="0"/>
                    <w:keepLines w:val="0"/>
                    <w:pageBreakBefore w:val="0"/>
                    <w:widowControl w:val="0"/>
                    <w:kinsoku/>
                    <w:wordWrap/>
                    <w:overflowPunct/>
                    <w:topLinePunct w:val="0"/>
                    <w:autoSpaceDN/>
                    <w:bidi w:val="0"/>
                    <w:spacing w:line="240" w:lineRule="auto"/>
                    <w:ind w:left="0" w:leftChars="0" w:firstLine="0" w:firstLineChars="0"/>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②生活污水经厂区办公区域的玻璃钢化粪池处理后，罐车拉运至园区污水处理厂处理；</w:t>
                  </w:r>
                </w:p>
                <w:p w14:paraId="47781E1A">
                  <w:pPr>
                    <w:pStyle w:val="79"/>
                    <w:keepNext w:val="0"/>
                    <w:keepLines w:val="0"/>
                    <w:pageBreakBefore w:val="0"/>
                    <w:widowControl w:val="0"/>
                    <w:kinsoku/>
                    <w:wordWrap/>
                    <w:overflowPunct/>
                    <w:topLinePunct w:val="0"/>
                    <w:autoSpaceDN/>
                    <w:bidi w:val="0"/>
                    <w:spacing w:line="240" w:lineRule="auto"/>
                    <w:ind w:left="0" w:leftChars="0" w:firstLine="0" w:firstLineChars="0"/>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③软水制备排水</w:t>
                  </w:r>
                  <w:r>
                    <w:rPr>
                      <w:rFonts w:hint="default" w:ascii="Times New Roman" w:hAnsi="Times New Roman" w:cs="Times New Roman"/>
                      <w:color w:val="000000" w:themeColor="text1"/>
                      <w:kern w:val="0"/>
                      <w:sz w:val="21"/>
                      <w:szCs w:val="21"/>
                      <w:highlight w:val="none"/>
                      <w:lang w:val="en-US" w:eastAsia="zh-CN" w:bidi="ar"/>
                      <w14:textFill>
                        <w14:solidFill>
                          <w14:schemeClr w14:val="tx1"/>
                        </w14:solidFill>
                      </w14:textFill>
                    </w:rPr>
                    <w:t>通过</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罐车拉运至园区生产废水处理厂处理；</w:t>
                  </w:r>
                </w:p>
                <w:p w14:paraId="626DE0FB">
                  <w:pPr>
                    <w:pStyle w:val="79"/>
                    <w:keepNext w:val="0"/>
                    <w:keepLines w:val="0"/>
                    <w:pageBreakBefore w:val="0"/>
                    <w:widowControl w:val="0"/>
                    <w:kinsoku/>
                    <w:wordWrap/>
                    <w:overflowPunct/>
                    <w:topLinePunct w:val="0"/>
                    <w:autoSpaceDN/>
                    <w:bidi w:val="0"/>
                    <w:spacing w:line="240" w:lineRule="auto"/>
                    <w:ind w:left="0" w:leftChars="0" w:firstLine="0" w:firstLineChars="0"/>
                    <w:rPr>
                      <w:rFonts w:hint="default" w:ascii="Times New Roman" w:hAnsi="Times New Roman" w:eastAsia="宋体" w:cs="Times New Roman"/>
                      <w:b w:val="0"/>
                      <w:bCs w:val="0"/>
                      <w:color w:val="000000" w:themeColor="text1"/>
                      <w:sz w:val="21"/>
                      <w:szCs w:val="21"/>
                      <w:highlight w:val="none"/>
                      <w:lang w:val="en-US"/>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④余热锅炉排水</w:t>
                  </w:r>
                  <w:r>
                    <w:rPr>
                      <w:rFonts w:hint="default" w:ascii="Times New Roman" w:hAnsi="Times New Roman" w:cs="Times New Roman"/>
                      <w:color w:val="000000" w:themeColor="text1"/>
                      <w:kern w:val="0"/>
                      <w:sz w:val="21"/>
                      <w:szCs w:val="21"/>
                      <w:highlight w:val="none"/>
                      <w:lang w:val="en-US" w:eastAsia="zh-CN" w:bidi="ar"/>
                      <w14:textFill>
                        <w14:solidFill>
                          <w14:schemeClr w14:val="tx1"/>
                        </w14:solidFill>
                      </w14:textFill>
                    </w:rPr>
                    <w:t>通过</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罐车拉运至园区生产废水处理厂处理</w:t>
                  </w:r>
                  <w:r>
                    <w:rPr>
                      <w:rFonts w:hint="eastAsia" w:ascii="Times New Roman" w:hAnsi="Times New Roman" w:cs="Times New Roman"/>
                      <w:color w:val="000000" w:themeColor="text1"/>
                      <w:kern w:val="0"/>
                      <w:sz w:val="21"/>
                      <w:szCs w:val="21"/>
                      <w:highlight w:val="none"/>
                      <w:lang w:val="en-US" w:eastAsia="zh-CN" w:bidi="ar"/>
                      <w14:textFill>
                        <w14:solidFill>
                          <w14:schemeClr w14:val="tx1"/>
                        </w14:solidFill>
                      </w14:textFill>
                    </w:rPr>
                    <w:t>。</w:t>
                  </w:r>
                </w:p>
              </w:tc>
              <w:tc>
                <w:tcPr>
                  <w:tcW w:w="248" w:type="pct"/>
                  <w:noWrap w:val="0"/>
                  <w:vAlign w:val="center"/>
                </w:tcPr>
                <w:p w14:paraId="6C637CA7">
                  <w:pPr>
                    <w:adjustRightInd w:val="0"/>
                    <w:snapToGrid w:val="0"/>
                    <w:jc w:val="cente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新建</w:t>
                  </w:r>
                </w:p>
              </w:tc>
            </w:tr>
            <w:tr w14:paraId="5BD8A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380" w:type="pct"/>
                  <w:vMerge w:val="continue"/>
                  <w:noWrap w:val="0"/>
                  <w:vAlign w:val="center"/>
                </w:tcPr>
                <w:p w14:paraId="610F60B8">
                  <w:pPr>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414" w:type="pct"/>
                  <w:noWrap w:val="0"/>
                  <w:vAlign w:val="center"/>
                </w:tcPr>
                <w:p w14:paraId="116EFF40">
                  <w:pPr>
                    <w:autoSpaceDE w:val="0"/>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噪声</w:t>
                  </w:r>
                </w:p>
                <w:p w14:paraId="66F3C736">
                  <w:pPr>
                    <w:autoSpaceDE w:val="0"/>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治理</w:t>
                  </w:r>
                </w:p>
              </w:tc>
              <w:tc>
                <w:tcPr>
                  <w:tcW w:w="3957" w:type="pct"/>
                  <w:noWrap w:val="0"/>
                  <w:vAlign w:val="center"/>
                </w:tcPr>
                <w:p w14:paraId="07E7CB5F">
                  <w:pPr>
                    <w:pStyle w:val="86"/>
                    <w:keepNext w:val="0"/>
                    <w:keepLines w:val="0"/>
                    <w:pageBreakBefore w:val="0"/>
                    <w:widowControl w:val="0"/>
                    <w:kinsoku/>
                    <w:wordWrap/>
                    <w:overflowPunct/>
                    <w:topLinePunct w:val="0"/>
                    <w:autoSpaceDE w:val="0"/>
                    <w:autoSpaceDN/>
                    <w:bidi w:val="0"/>
                    <w:snapToGrid w:val="0"/>
                    <w:spacing w:line="240" w:lineRule="auto"/>
                    <w:ind w:firstLine="0" w:firstLineChars="0"/>
                    <w:jc w:val="both"/>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1"/>
                      <w:sz w:val="21"/>
                      <w:szCs w:val="21"/>
                      <w:highlight w:val="none"/>
                      <w14:textFill>
                        <w14:solidFill>
                          <w14:schemeClr w14:val="tx1"/>
                        </w14:solidFill>
                      </w14:textFill>
                    </w:rPr>
                    <w:t>选用低噪声设备、采取吸声、隔声、基础</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减振、封闭厂房内安装措施。</w:t>
                  </w:r>
                </w:p>
              </w:tc>
              <w:tc>
                <w:tcPr>
                  <w:tcW w:w="248" w:type="pct"/>
                  <w:noWrap w:val="0"/>
                  <w:vAlign w:val="center"/>
                </w:tcPr>
                <w:p w14:paraId="65DC519F">
                  <w:pPr>
                    <w:autoSpaceDE w:val="0"/>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新建</w:t>
                  </w:r>
                </w:p>
              </w:tc>
            </w:tr>
            <w:tr w14:paraId="68A05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80" w:type="pct"/>
                  <w:vMerge w:val="continue"/>
                  <w:noWrap w:val="0"/>
                  <w:vAlign w:val="center"/>
                </w:tcPr>
                <w:p w14:paraId="763D63C9">
                  <w:pPr>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414" w:type="pct"/>
                  <w:vMerge w:val="restart"/>
                  <w:noWrap w:val="0"/>
                  <w:vAlign w:val="center"/>
                </w:tcPr>
                <w:p w14:paraId="12C3196E">
                  <w:pPr>
                    <w:autoSpaceDE w:val="0"/>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固废</w:t>
                  </w:r>
                </w:p>
                <w:p w14:paraId="47E98157">
                  <w:pPr>
                    <w:autoSpaceDE w:val="0"/>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处理</w:t>
                  </w:r>
                </w:p>
              </w:tc>
              <w:tc>
                <w:tcPr>
                  <w:tcW w:w="3957" w:type="pct"/>
                  <w:noWrap w:val="0"/>
                  <w:vAlign w:val="center"/>
                </w:tcPr>
                <w:p w14:paraId="7B897E49">
                  <w:pPr>
                    <w:pStyle w:val="116"/>
                    <w:keepNext w:val="0"/>
                    <w:keepLines w:val="0"/>
                    <w:pageBreakBefore w:val="0"/>
                    <w:widowControl w:val="0"/>
                    <w:kinsoku/>
                    <w:wordWrap/>
                    <w:overflowPunct/>
                    <w:topLinePunct w:val="0"/>
                    <w:autoSpaceDN/>
                    <w:bidi w:val="0"/>
                    <w:spacing w:before="39" w:line="237" w:lineRule="auto"/>
                    <w:ind w:left="1" w:right="20" w:firstLine="0" w:firstLineChars="0"/>
                    <w:jc w:val="both"/>
                    <w:rPr>
                      <w:rFonts w:hint="default" w:ascii="Times New Roman" w:hAnsi="Times New Roman" w:cs="Times New Roman"/>
                      <w:color w:val="000000" w:themeColor="text1"/>
                      <w:spacing w:val="-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1"/>
                      <w:sz w:val="21"/>
                      <w:szCs w:val="21"/>
                      <w:highlight w:val="none"/>
                      <w14:textFill>
                        <w14:solidFill>
                          <w14:schemeClr w14:val="tx1"/>
                        </w14:solidFill>
                      </w14:textFill>
                    </w:rPr>
                    <w:t>①</w:t>
                  </w:r>
                  <w:r>
                    <w:rPr>
                      <w:rFonts w:hint="default" w:ascii="Times New Roman" w:hAnsi="Times New Roman" w:cs="Times New Roman"/>
                      <w:color w:val="000000" w:themeColor="text1"/>
                      <w:spacing w:val="-1"/>
                      <w:sz w:val="21"/>
                      <w:szCs w:val="21"/>
                      <w:highlight w:val="none"/>
                      <w14:textFill>
                        <w14:solidFill>
                          <w14:schemeClr w14:val="tx1"/>
                        </w14:solidFill>
                      </w14:textFill>
                    </w:rPr>
                    <w:t>脱硫石膏外售至</w:t>
                  </w:r>
                  <w:r>
                    <w:rPr>
                      <w:rFonts w:hint="default" w:ascii="Times New Roman" w:hAnsi="Times New Roman" w:cs="Times New Roman"/>
                      <w:color w:val="000000" w:themeColor="text1"/>
                      <w:spacing w:val="-1"/>
                      <w:sz w:val="21"/>
                      <w:szCs w:val="21"/>
                      <w:highlight w:val="none"/>
                      <w:lang w:val="en-US" w:eastAsia="zh-CN"/>
                      <w14:textFill>
                        <w14:solidFill>
                          <w14:schemeClr w14:val="tx1"/>
                        </w14:solidFill>
                      </w14:textFill>
                    </w:rPr>
                    <w:t>附近建材企业综合利用</w:t>
                  </w:r>
                  <w:r>
                    <w:rPr>
                      <w:rFonts w:hint="default" w:ascii="Times New Roman" w:hAnsi="Times New Roman" w:cs="Times New Roman"/>
                      <w:color w:val="000000" w:themeColor="text1"/>
                      <w:spacing w:val="-1"/>
                      <w:sz w:val="21"/>
                      <w:szCs w:val="21"/>
                      <w:highlight w:val="none"/>
                      <w14:textFill>
                        <w14:solidFill>
                          <w14:schemeClr w14:val="tx1"/>
                        </w14:solidFill>
                      </w14:textFill>
                    </w:rPr>
                    <w:t>；</w:t>
                  </w:r>
                </w:p>
                <w:p w14:paraId="06CEB8E9">
                  <w:pPr>
                    <w:pStyle w:val="12"/>
                    <w:jc w:val="both"/>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②</w:t>
                  </w:r>
                  <w:r>
                    <w:rPr>
                      <w:rFonts w:hint="default" w:ascii="Times New Roman" w:hAnsi="Times New Roman" w:cs="Times New Roman"/>
                      <w:color w:val="000000" w:themeColor="text1"/>
                      <w:spacing w:val="-1"/>
                      <w:sz w:val="21"/>
                      <w:szCs w:val="21"/>
                      <w:highlight w:val="none"/>
                      <w14:textFill>
                        <w14:solidFill>
                          <w14:schemeClr w14:val="tx1"/>
                        </w14:solidFill>
                      </w14:textFill>
                    </w:rPr>
                    <w:t>三联箱装置产生的脱硫废水处理</w:t>
                  </w:r>
                  <w:r>
                    <w:rPr>
                      <w:rFonts w:hint="default" w:ascii="Times New Roman" w:hAnsi="Times New Roman" w:cs="Times New Roman"/>
                      <w:color w:val="000000" w:themeColor="text1"/>
                      <w:spacing w:val="1"/>
                      <w:sz w:val="21"/>
                      <w:szCs w:val="21"/>
                      <w:highlight w:val="none"/>
                      <w:lang w:val="en-US" w:eastAsia="zh-CN"/>
                      <w14:textFill>
                        <w14:solidFill>
                          <w14:schemeClr w14:val="tx1"/>
                        </w14:solidFill>
                      </w14:textFill>
                    </w:rPr>
                    <w:t>污泥桶装，暂存危废库，暂时按照危废进行管理，鉴别为一般固废的，按照一般固废管理并处理</w:t>
                  </w:r>
                  <w:r>
                    <w:rPr>
                      <w:rFonts w:hint="default" w:ascii="Times New Roman" w:hAnsi="Times New Roman" w:cs="Times New Roman"/>
                      <w:color w:val="000000" w:themeColor="text1"/>
                      <w:spacing w:val="1"/>
                      <w:sz w:val="21"/>
                      <w:szCs w:val="21"/>
                      <w:highlight w:val="none"/>
                      <w14:textFill>
                        <w14:solidFill>
                          <w14:schemeClr w14:val="tx1"/>
                        </w14:solidFill>
                      </w14:textFill>
                    </w:rPr>
                    <w:t>；</w:t>
                  </w:r>
                </w:p>
                <w:p w14:paraId="2E8385FB">
                  <w:pPr>
                    <w:pStyle w:val="86"/>
                    <w:keepNext w:val="0"/>
                    <w:keepLines w:val="0"/>
                    <w:pageBreakBefore w:val="0"/>
                    <w:widowControl w:val="0"/>
                    <w:kinsoku/>
                    <w:wordWrap/>
                    <w:overflowPunct/>
                    <w:topLinePunct w:val="0"/>
                    <w:autoSpaceDE w:val="0"/>
                    <w:autoSpaceDN/>
                    <w:bidi w:val="0"/>
                    <w:snapToGrid w:val="0"/>
                    <w:spacing w:line="240" w:lineRule="auto"/>
                    <w:ind w:firstLine="0" w:firstLineChars="0"/>
                    <w:jc w:val="both"/>
                    <w:rPr>
                      <w:rFonts w:hint="default" w:ascii="Times New Roman" w:hAnsi="Times New Roman" w:eastAsia="宋体" w:cs="Times New Roman"/>
                      <w:b w:val="0"/>
                      <w:bCs w:val="0"/>
                      <w:color w:val="000000" w:themeColor="text1"/>
                      <w:spacing w:val="2"/>
                      <w:sz w:val="21"/>
                      <w:szCs w:val="21"/>
                      <w:highlight w:val="none"/>
                      <w:lang w:eastAsia="zh-CN"/>
                      <w14:textFill>
                        <w14:solidFill>
                          <w14:schemeClr w14:val="tx1"/>
                        </w14:solidFill>
                      </w14:textFill>
                    </w:rPr>
                  </w:pPr>
                  <w:r>
                    <w:rPr>
                      <w:rFonts w:hint="default" w:ascii="Times New Roman" w:hAnsi="Times New Roman" w:eastAsia="宋体" w:cs="Times New Roman"/>
                      <w:b w:val="0"/>
                      <w:bCs w:val="0"/>
                      <w:color w:val="000000" w:themeColor="text1"/>
                      <w:spacing w:val="-5"/>
                      <w:sz w:val="21"/>
                      <w:szCs w:val="21"/>
                      <w:highlight w:val="none"/>
                      <w14:textFill>
                        <w14:solidFill>
                          <w14:schemeClr w14:val="tx1"/>
                        </w14:solidFill>
                      </w14:textFill>
                    </w:rPr>
                    <w:t>③</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废润滑油</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及废铁桶</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：新建一座</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30</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m²危废暂存间，</w:t>
                  </w:r>
                  <w:r>
                    <w:rPr>
                      <w:rFonts w:hint="default" w:ascii="Times New Roman" w:hAnsi="Times New Roman" w:eastAsia="宋体" w:cs="Times New Roman"/>
                      <w:b w:val="0"/>
                      <w:bCs w:val="0"/>
                      <w:color w:val="000000" w:themeColor="text1"/>
                      <w:spacing w:val="-5"/>
                      <w:sz w:val="21"/>
                      <w:szCs w:val="21"/>
                      <w:highlight w:val="none"/>
                      <w14:textFill>
                        <w14:solidFill>
                          <w14:schemeClr w14:val="tx1"/>
                        </w14:solidFill>
                      </w14:textFill>
                    </w:rPr>
                    <w:t>设备维修产生的废润滑油</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及废铁桶</w:t>
                  </w:r>
                  <w:r>
                    <w:rPr>
                      <w:rFonts w:hint="default" w:ascii="Times New Roman" w:hAnsi="Times New Roman" w:eastAsia="宋体" w:cs="Times New Roman"/>
                      <w:b w:val="0"/>
                      <w:bCs w:val="0"/>
                      <w:color w:val="000000" w:themeColor="text1"/>
                      <w:spacing w:val="-5"/>
                      <w:sz w:val="21"/>
                      <w:szCs w:val="21"/>
                      <w:highlight w:val="none"/>
                      <w14:textFill>
                        <w14:solidFill>
                          <w14:schemeClr w14:val="tx1"/>
                        </w14:solidFill>
                      </w14:textFill>
                    </w:rPr>
                    <w:t>暂存于危废暂存</w:t>
                  </w:r>
                  <w:r>
                    <w:rPr>
                      <w:rFonts w:hint="default" w:ascii="Times New Roman" w:hAnsi="Times New Roman" w:eastAsia="宋体" w:cs="Times New Roman"/>
                      <w:b w:val="0"/>
                      <w:bCs w:val="0"/>
                      <w:color w:val="000000" w:themeColor="text1"/>
                      <w:spacing w:val="-10"/>
                      <w:sz w:val="21"/>
                      <w:szCs w:val="21"/>
                      <w:highlight w:val="none"/>
                      <w14:textFill>
                        <w14:solidFill>
                          <w14:schemeClr w14:val="tx1"/>
                        </w14:solidFill>
                      </w14:textFill>
                    </w:rPr>
                    <w:t>间，定期交由有资质的单位处置，不外排</w:t>
                  </w:r>
                  <w:r>
                    <w:rPr>
                      <w:rFonts w:hint="default" w:ascii="Times New Roman" w:hAnsi="Times New Roman" w:eastAsia="宋体" w:cs="Times New Roman"/>
                      <w:b w:val="0"/>
                      <w:bCs w:val="0"/>
                      <w:color w:val="000000" w:themeColor="text1"/>
                      <w:spacing w:val="-10"/>
                      <w:sz w:val="21"/>
                      <w:szCs w:val="21"/>
                      <w:highlight w:val="none"/>
                      <w:lang w:eastAsia="zh-CN"/>
                      <w14:textFill>
                        <w14:solidFill>
                          <w14:schemeClr w14:val="tx1"/>
                        </w14:solidFill>
                      </w14:textFill>
                    </w:rPr>
                    <w:t>；</w:t>
                  </w:r>
                </w:p>
                <w:p w14:paraId="40313F3A">
                  <w:pPr>
                    <w:pStyle w:val="86"/>
                    <w:keepNext w:val="0"/>
                    <w:keepLines w:val="0"/>
                    <w:pageBreakBefore w:val="0"/>
                    <w:widowControl w:val="0"/>
                    <w:kinsoku/>
                    <w:wordWrap/>
                    <w:overflowPunct/>
                    <w:topLinePunct w:val="0"/>
                    <w:autoSpaceDE w:val="0"/>
                    <w:autoSpaceDN/>
                    <w:bidi w:val="0"/>
                    <w:snapToGrid w:val="0"/>
                    <w:spacing w:line="240" w:lineRule="auto"/>
                    <w:ind w:firstLine="0" w:firstLineChars="0"/>
                    <w:jc w:val="both"/>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5"/>
                      <w:sz w:val="21"/>
                      <w:szCs w:val="21"/>
                      <w:highlight w:val="none"/>
                      <w:lang w:val="en-US" w:eastAsia="zh-CN"/>
                      <w14:textFill>
                        <w14:solidFill>
                          <w14:schemeClr w14:val="tx1"/>
                        </w14:solidFill>
                      </w14:textFill>
                    </w:rPr>
                    <w:t>④</w:t>
                  </w:r>
                  <w:r>
                    <w:rPr>
                      <w:rFonts w:hint="default" w:ascii="Times New Roman" w:hAnsi="Times New Roman" w:eastAsia="宋体" w:cs="Times New Roman"/>
                      <w:b w:val="0"/>
                      <w:bCs w:val="0"/>
                      <w:color w:val="000000" w:themeColor="text1"/>
                      <w:spacing w:val="-5"/>
                      <w:sz w:val="21"/>
                      <w:szCs w:val="21"/>
                      <w:highlight w:val="none"/>
                      <w14:textFill>
                        <w14:solidFill>
                          <w14:schemeClr w14:val="tx1"/>
                        </w14:solidFill>
                      </w14:textFill>
                    </w:rPr>
                    <w:t>生活垃圾：在厂区内集中收集，定期由</w:t>
                  </w:r>
                  <w:r>
                    <w:rPr>
                      <w:rFonts w:hint="default" w:ascii="Times New Roman" w:hAnsi="Times New Roman" w:eastAsia="宋体" w:cs="Times New Roman"/>
                      <w:b w:val="0"/>
                      <w:bCs w:val="0"/>
                      <w:color w:val="000000" w:themeColor="text1"/>
                      <w:spacing w:val="-4"/>
                      <w:sz w:val="21"/>
                      <w:szCs w:val="21"/>
                      <w:highlight w:val="none"/>
                      <w14:textFill>
                        <w14:solidFill>
                          <w14:schemeClr w14:val="tx1"/>
                        </w14:solidFill>
                      </w14:textFill>
                    </w:rPr>
                    <w:t>环卫部门清运。</w:t>
                  </w:r>
                </w:p>
              </w:tc>
              <w:tc>
                <w:tcPr>
                  <w:tcW w:w="248" w:type="pct"/>
                  <w:noWrap w:val="0"/>
                  <w:vAlign w:val="center"/>
                </w:tcPr>
                <w:p w14:paraId="0AEFFB89">
                  <w:pPr>
                    <w:autoSpaceDE w:val="0"/>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新建</w:t>
                  </w:r>
                </w:p>
              </w:tc>
            </w:tr>
            <w:tr w14:paraId="6DC9E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80" w:type="pct"/>
                  <w:vMerge w:val="continue"/>
                  <w:noWrap w:val="0"/>
                  <w:vAlign w:val="center"/>
                </w:tcPr>
                <w:p w14:paraId="73511BDD">
                  <w:pPr>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414" w:type="pct"/>
                  <w:vMerge w:val="continue"/>
                  <w:noWrap w:val="0"/>
                  <w:vAlign w:val="center"/>
                </w:tcPr>
                <w:p w14:paraId="2FB676BE">
                  <w:pPr>
                    <w:autoSpaceDE w:val="0"/>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3957" w:type="pct"/>
                  <w:noWrap w:val="0"/>
                  <w:vAlign w:val="center"/>
                </w:tcPr>
                <w:p w14:paraId="12C007C0">
                  <w:pPr>
                    <w:pStyle w:val="86"/>
                    <w:keepNext w:val="0"/>
                    <w:keepLines w:val="0"/>
                    <w:pageBreakBefore w:val="0"/>
                    <w:widowControl w:val="0"/>
                    <w:kinsoku/>
                    <w:wordWrap/>
                    <w:overflowPunct/>
                    <w:topLinePunct w:val="0"/>
                    <w:autoSpaceDE w:val="0"/>
                    <w:autoSpaceDN/>
                    <w:bidi w:val="0"/>
                    <w:snapToGrid w:val="0"/>
                    <w:spacing w:line="240" w:lineRule="auto"/>
                    <w:ind w:firstLine="0" w:firstLineChars="0"/>
                    <w:jc w:val="both"/>
                    <w:rPr>
                      <w:rFonts w:hint="default" w:ascii="Times New Roman" w:hAnsi="Times New Roman" w:eastAsia="宋体" w:cs="Times New Roman"/>
                      <w:b w:val="0"/>
                      <w:bCs w:val="0"/>
                      <w:color w:val="000000" w:themeColor="text1"/>
                      <w:spacing w:val="-5"/>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pacing w:val="-1"/>
                      <w:sz w:val="21"/>
                      <w:szCs w:val="21"/>
                      <w:highlight w:val="none"/>
                      <w:lang w:val="en-US" w:eastAsia="zh-CN"/>
                      <w14:textFill>
                        <w14:solidFill>
                          <w14:schemeClr w14:val="tx1"/>
                        </w14:solidFill>
                      </w14:textFill>
                    </w:rPr>
                    <w:t>在脱硫系统设置</w:t>
                  </w:r>
                  <w:r>
                    <w:rPr>
                      <w:rFonts w:hint="default" w:ascii="Times New Roman" w:hAnsi="Times New Roman" w:cs="Times New Roman"/>
                      <w:color w:val="000000" w:themeColor="text1"/>
                      <w:spacing w:val="-1"/>
                      <w:sz w:val="21"/>
                      <w:szCs w:val="21"/>
                      <w:highlight w:val="none"/>
                      <w14:textFill>
                        <w14:solidFill>
                          <w14:schemeClr w14:val="tx1"/>
                        </w14:solidFill>
                      </w14:textFill>
                    </w:rPr>
                    <w:t>1座</w:t>
                  </w:r>
                  <w:r>
                    <w:rPr>
                      <w:rFonts w:hint="default" w:ascii="Times New Roman" w:hAnsi="Times New Roman" w:cs="Times New Roman"/>
                      <w:color w:val="000000" w:themeColor="text1"/>
                      <w:spacing w:val="-1"/>
                      <w:sz w:val="21"/>
                      <w:szCs w:val="21"/>
                      <w:highlight w:val="none"/>
                      <w:lang w:val="en-US" w:eastAsia="zh-CN"/>
                      <w14:textFill>
                        <w14:solidFill>
                          <w14:schemeClr w14:val="tx1"/>
                        </w14:solidFill>
                      </w14:textFill>
                    </w:rPr>
                    <w:t>存储3天的脱硫石膏</w:t>
                  </w:r>
                  <w:r>
                    <w:rPr>
                      <w:rFonts w:hint="default" w:ascii="Times New Roman" w:hAnsi="Times New Roman" w:cs="Times New Roman"/>
                      <w:color w:val="000000" w:themeColor="text1"/>
                      <w:spacing w:val="-1"/>
                      <w:sz w:val="21"/>
                      <w:szCs w:val="21"/>
                      <w:highlight w:val="none"/>
                      <w14:textFill>
                        <w14:solidFill>
                          <w14:schemeClr w14:val="tx1"/>
                        </w14:solidFill>
                      </w14:textFill>
                    </w:rPr>
                    <w:t>暂存</w:t>
                  </w:r>
                  <w:r>
                    <w:rPr>
                      <w:rFonts w:hint="default" w:ascii="Times New Roman" w:hAnsi="Times New Roman" w:cs="Times New Roman"/>
                      <w:color w:val="000000" w:themeColor="text1"/>
                      <w:spacing w:val="4"/>
                      <w:sz w:val="21"/>
                      <w:szCs w:val="21"/>
                      <w:highlight w:val="none"/>
                      <w14:textFill>
                        <w14:solidFill>
                          <w14:schemeClr w14:val="tx1"/>
                        </w14:solidFill>
                      </w14:textFill>
                    </w:rPr>
                    <w:t>库，建筑面积为50m²</w:t>
                  </w:r>
                  <w:r>
                    <w:rPr>
                      <w:rFonts w:hint="default" w:ascii="Times New Roman" w:hAnsi="Times New Roman" w:cs="Times New Roman"/>
                      <w:color w:val="000000" w:themeColor="text1"/>
                      <w:spacing w:val="4"/>
                      <w:sz w:val="21"/>
                      <w:szCs w:val="21"/>
                      <w:highlight w:val="none"/>
                      <w:lang w:eastAsia="zh-CN"/>
                      <w14:textFill>
                        <w14:solidFill>
                          <w14:schemeClr w14:val="tx1"/>
                        </w14:solidFill>
                      </w14:textFill>
                    </w:rPr>
                    <w:t>，</w:t>
                  </w:r>
                  <w:r>
                    <w:rPr>
                      <w:rFonts w:hint="default" w:ascii="Times New Roman" w:hAnsi="Times New Roman" w:cs="Times New Roman"/>
                      <w:color w:val="000000" w:themeColor="text1"/>
                      <w:spacing w:val="4"/>
                      <w:sz w:val="21"/>
                      <w:szCs w:val="21"/>
                      <w:highlight w:val="none"/>
                      <w14:textFill>
                        <w14:solidFill>
                          <w14:schemeClr w14:val="tx1"/>
                        </w14:solidFill>
                      </w14:textFill>
                    </w:rPr>
                    <w:t>全封闭建设</w:t>
                  </w:r>
                  <w:r>
                    <w:rPr>
                      <w:rFonts w:hint="default" w:ascii="Times New Roman" w:hAnsi="Times New Roman" w:cs="Times New Roman"/>
                      <w:color w:val="000000" w:themeColor="text1"/>
                      <w:spacing w:val="4"/>
                      <w:sz w:val="21"/>
                      <w:szCs w:val="21"/>
                      <w:highlight w:val="none"/>
                      <w:lang w:eastAsia="zh-CN"/>
                      <w14:textFill>
                        <w14:solidFill>
                          <w14:schemeClr w14:val="tx1"/>
                        </w14:solidFill>
                      </w14:textFill>
                    </w:rPr>
                    <w:t>，对</w:t>
                  </w:r>
                  <w:r>
                    <w:rPr>
                      <w:rFonts w:hint="default" w:ascii="Times New Roman" w:hAnsi="Times New Roman" w:cs="Times New Roman"/>
                      <w:color w:val="000000" w:themeColor="text1"/>
                      <w:spacing w:val="4"/>
                      <w:sz w:val="21"/>
                      <w:szCs w:val="21"/>
                      <w:highlight w:val="none"/>
                      <w14:textFill>
                        <w14:solidFill>
                          <w14:schemeClr w14:val="tx1"/>
                        </w14:solidFill>
                      </w14:textFill>
                    </w:rPr>
                    <w:t>地面进行硬化防渗</w:t>
                  </w:r>
                  <w:r>
                    <w:rPr>
                      <w:rFonts w:hint="default" w:ascii="Times New Roman" w:hAnsi="Times New Roman" w:cs="Times New Roman"/>
                      <w:color w:val="000000" w:themeColor="text1"/>
                      <w:sz w:val="21"/>
                      <w:szCs w:val="21"/>
                      <w:highlight w:val="none"/>
                      <w14:textFill>
                        <w14:solidFill>
                          <w14:schemeClr w14:val="tx1"/>
                        </w14:solidFill>
                      </w14:textFill>
                    </w:rPr>
                    <w:t>处理，用于临时贮存</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空压机站产生的</w:t>
                  </w:r>
                  <w:r>
                    <w:rPr>
                      <w:rFonts w:hint="default" w:ascii="Times New Roman" w:hAnsi="Times New Roman" w:cs="Times New Roman"/>
                      <w:color w:val="000000" w:themeColor="text1"/>
                      <w:sz w:val="21"/>
                      <w:szCs w:val="21"/>
                      <w:highlight w:val="none"/>
                      <w14:textFill>
                        <w14:solidFill>
                          <w14:schemeClr w14:val="tx1"/>
                        </w14:solidFill>
                      </w14:textFill>
                    </w:rPr>
                    <w:t>废过滤器、脱硫</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产生的</w:t>
                  </w:r>
                  <w:r>
                    <w:rPr>
                      <w:rFonts w:hint="default" w:ascii="Times New Roman" w:hAnsi="Times New Roman" w:cs="Times New Roman"/>
                      <w:color w:val="000000" w:themeColor="text1"/>
                      <w:sz w:val="21"/>
                      <w:szCs w:val="21"/>
                      <w:highlight w:val="none"/>
                      <w14:textFill>
                        <w14:solidFill>
                          <w14:schemeClr w14:val="tx1"/>
                        </w14:solidFill>
                      </w14:textFill>
                    </w:rPr>
                    <w:t>石膏和</w:t>
                  </w:r>
                  <w:r>
                    <w:rPr>
                      <w:rFonts w:hint="default" w:ascii="Times New Roman" w:hAnsi="Times New Roman" w:cs="Times New Roman"/>
                      <w:color w:val="000000" w:themeColor="text1"/>
                      <w:spacing w:val="-1"/>
                      <w:sz w:val="21"/>
                      <w:szCs w:val="21"/>
                      <w:highlight w:val="none"/>
                      <w14:textFill>
                        <w14:solidFill>
                          <w14:schemeClr w14:val="tx1"/>
                        </w14:solidFill>
                      </w14:textFill>
                    </w:rPr>
                    <w:t>脱硫废水处理</w:t>
                  </w:r>
                  <w:r>
                    <w:rPr>
                      <w:rFonts w:hint="default" w:ascii="Times New Roman" w:hAnsi="Times New Roman" w:cs="Times New Roman"/>
                      <w:color w:val="000000" w:themeColor="text1"/>
                      <w:spacing w:val="-1"/>
                      <w:sz w:val="21"/>
                      <w:szCs w:val="21"/>
                      <w:highlight w:val="none"/>
                      <w:lang w:val="en-US" w:eastAsia="zh-CN"/>
                      <w14:textFill>
                        <w14:solidFill>
                          <w14:schemeClr w14:val="tx1"/>
                        </w14:solidFill>
                      </w14:textFill>
                    </w:rPr>
                    <w:t>产生的</w:t>
                  </w:r>
                  <w:r>
                    <w:rPr>
                      <w:rFonts w:hint="default" w:ascii="Times New Roman" w:hAnsi="Times New Roman" w:cs="Times New Roman"/>
                      <w:color w:val="000000" w:themeColor="text1"/>
                      <w:spacing w:val="-1"/>
                      <w:sz w:val="21"/>
                      <w:szCs w:val="21"/>
                      <w:highlight w:val="none"/>
                      <w14:textFill>
                        <w14:solidFill>
                          <w14:schemeClr w14:val="tx1"/>
                        </w14:solidFill>
                      </w14:textFill>
                    </w:rPr>
                    <w:t>沉渣。</w:t>
                  </w:r>
                </w:p>
              </w:tc>
              <w:tc>
                <w:tcPr>
                  <w:tcW w:w="248" w:type="pct"/>
                  <w:noWrap w:val="0"/>
                  <w:vAlign w:val="center"/>
                </w:tcPr>
                <w:p w14:paraId="638FE59C">
                  <w:pPr>
                    <w:autoSpaceDE w:val="0"/>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新建</w:t>
                  </w:r>
                </w:p>
              </w:tc>
            </w:tr>
            <w:tr w14:paraId="45403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3" w:hRule="atLeast"/>
                <w:jc w:val="center"/>
              </w:trPr>
              <w:tc>
                <w:tcPr>
                  <w:tcW w:w="380" w:type="pct"/>
                  <w:vMerge w:val="continue"/>
                  <w:noWrap w:val="0"/>
                  <w:vAlign w:val="center"/>
                </w:tcPr>
                <w:p w14:paraId="1048EE56">
                  <w:pPr>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414" w:type="pct"/>
                  <w:noWrap w:val="0"/>
                  <w:vAlign w:val="center"/>
                </w:tcPr>
                <w:p w14:paraId="503D0624">
                  <w:pPr>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危废暂存间</w:t>
                  </w:r>
                </w:p>
              </w:tc>
              <w:tc>
                <w:tcPr>
                  <w:tcW w:w="3957" w:type="pct"/>
                  <w:noWrap w:val="0"/>
                  <w:vAlign w:val="center"/>
                </w:tcPr>
                <w:p w14:paraId="011F2363">
                  <w:pPr>
                    <w:keepNext w:val="0"/>
                    <w:keepLines w:val="0"/>
                    <w:pageBreakBefore w:val="0"/>
                    <w:widowControl w:val="0"/>
                    <w:kinsoku/>
                    <w:wordWrap/>
                    <w:overflowPunct/>
                    <w:topLinePunct w:val="0"/>
                    <w:autoSpaceDN/>
                    <w:bidi w:val="0"/>
                    <w:ind w:firstLine="0" w:firstLineChars="0"/>
                    <w:jc w:val="both"/>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在</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机修车间</w:t>
                  </w: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内建设</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1间30m</w:t>
                  </w:r>
                  <w:r>
                    <w:rPr>
                      <w:rFonts w:hint="default" w:ascii="Times New Roman" w:hAnsi="Times New Roman" w:eastAsia="宋体" w:cs="Times New Roman"/>
                      <w:b w:val="0"/>
                      <w:bCs w:val="0"/>
                      <w:color w:val="000000" w:themeColor="text1"/>
                      <w:sz w:val="21"/>
                      <w:szCs w:val="21"/>
                      <w:highlight w:val="none"/>
                      <w:vertAlign w:val="superscript"/>
                      <w:lang w:val="en-US" w:eastAsia="zh-CN"/>
                      <w14:textFill>
                        <w14:solidFill>
                          <w14:schemeClr w14:val="tx1"/>
                        </w14:solidFill>
                      </w14:textFill>
                    </w:rPr>
                    <w:t>3</w:t>
                  </w: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危废暂存间，存储本项目产生的废机油及废油桶，</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定期委托有危废处理资质单位进行处置。</w:t>
                  </w:r>
                </w:p>
              </w:tc>
              <w:tc>
                <w:tcPr>
                  <w:tcW w:w="248" w:type="pct"/>
                  <w:noWrap w:val="0"/>
                  <w:vAlign w:val="center"/>
                </w:tcPr>
                <w:p w14:paraId="229009C5">
                  <w:pPr>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新建</w:t>
                  </w:r>
                </w:p>
              </w:tc>
            </w:tr>
            <w:tr w14:paraId="384E9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380" w:type="pct"/>
                  <w:vMerge w:val="continue"/>
                  <w:noWrap w:val="0"/>
                  <w:vAlign w:val="center"/>
                </w:tcPr>
                <w:p w14:paraId="4787E964">
                  <w:pPr>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414" w:type="pct"/>
                  <w:noWrap w:val="0"/>
                  <w:vAlign w:val="center"/>
                </w:tcPr>
                <w:p w14:paraId="026B400C">
                  <w:pPr>
                    <w:autoSpaceDE w:val="0"/>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防渗</w:t>
                  </w:r>
                </w:p>
              </w:tc>
              <w:tc>
                <w:tcPr>
                  <w:tcW w:w="3957" w:type="pct"/>
                  <w:noWrap w:val="0"/>
                  <w:vAlign w:val="center"/>
                </w:tcPr>
                <w:p w14:paraId="3E16536C">
                  <w:pPr>
                    <w:keepNext w:val="0"/>
                    <w:keepLines w:val="0"/>
                    <w:widowControl/>
                    <w:suppressLineNumbers w:val="0"/>
                    <w:jc w:val="both"/>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成品堆场、</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车间地面、厂区道路硬化</w:t>
                  </w: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w:t>
                  </w:r>
                  <w:r>
                    <w:rPr>
                      <w:rFonts w:hint="default" w:ascii="Times New Roman" w:hAnsi="Times New Roman" w:cs="Times New Roman"/>
                      <w:color w:val="000000" w:themeColor="text1"/>
                      <w:spacing w:val="1"/>
                      <w:sz w:val="21"/>
                      <w:szCs w:val="21"/>
                      <w:highlight w:val="none"/>
                      <w:lang w:val="en-US" w:eastAsia="zh-CN"/>
                      <w14:textFill>
                        <w14:solidFill>
                          <w14:schemeClr w14:val="tx1"/>
                        </w14:solidFill>
                      </w14:textFill>
                    </w:rPr>
                    <w:t>原料粉</w:t>
                  </w:r>
                  <w:r>
                    <w:rPr>
                      <w:rFonts w:hint="default" w:ascii="Times New Roman" w:hAnsi="Times New Roman" w:eastAsia="宋体" w:cs="Times New Roman"/>
                      <w:color w:val="000000" w:themeColor="text1"/>
                      <w:spacing w:val="1"/>
                      <w:sz w:val="21"/>
                      <w:szCs w:val="21"/>
                      <w:highlight w:val="none"/>
                      <w:lang w:val="en-US" w:eastAsia="zh-CN"/>
                      <w14:textFill>
                        <w14:solidFill>
                          <w14:schemeClr w14:val="tx1"/>
                        </w14:solidFill>
                      </w14:textFill>
                    </w:rPr>
                    <w:t>筒仓、机修车间</w:t>
                  </w:r>
                  <w:r>
                    <w:rPr>
                      <w:rFonts w:hint="default" w:ascii="Times New Roman" w:hAnsi="Times New Roman" w:eastAsia="宋体" w:cs="Times New Roman"/>
                      <w:color w:val="000000" w:themeColor="text1"/>
                      <w:spacing w:val="1"/>
                      <w:sz w:val="21"/>
                      <w:szCs w:val="21"/>
                      <w:highlight w:val="none"/>
                      <w14:textFill>
                        <w14:solidFill>
                          <w14:schemeClr w14:val="tx1"/>
                        </w14:solidFill>
                      </w14:textFill>
                    </w:rPr>
                    <w:t>、</w:t>
                  </w:r>
                  <w:r>
                    <w:rPr>
                      <w:rFonts w:hint="default" w:ascii="Times New Roman" w:hAnsi="Times New Roman" w:eastAsia="宋体" w:cs="Times New Roman"/>
                      <w:color w:val="000000" w:themeColor="text1"/>
                      <w:spacing w:val="1"/>
                      <w:sz w:val="21"/>
                      <w:szCs w:val="21"/>
                      <w:highlight w:val="none"/>
                      <w:lang w:val="en-US" w:eastAsia="zh-CN"/>
                      <w14:textFill>
                        <w14:solidFill>
                          <w14:schemeClr w14:val="tx1"/>
                        </w14:solidFill>
                      </w14:textFill>
                    </w:rPr>
                    <w:t>分选</w:t>
                  </w:r>
                  <w:r>
                    <w:rPr>
                      <w:rFonts w:hint="default" w:ascii="Times New Roman" w:hAnsi="Times New Roman" w:eastAsia="宋体" w:cs="Times New Roman"/>
                      <w:color w:val="000000" w:themeColor="text1"/>
                      <w:spacing w:val="1"/>
                      <w:sz w:val="21"/>
                      <w:szCs w:val="21"/>
                      <w:highlight w:val="none"/>
                      <w14:textFill>
                        <w14:solidFill>
                          <w14:schemeClr w14:val="tx1"/>
                        </w14:solidFill>
                      </w14:textFill>
                    </w:rPr>
                    <w:t>车间、</w:t>
                  </w:r>
                  <w:r>
                    <w:rPr>
                      <w:rFonts w:hint="default" w:ascii="Times New Roman" w:hAnsi="Times New Roman" w:eastAsia="宋体" w:cs="Times New Roman"/>
                      <w:color w:val="000000" w:themeColor="text1"/>
                      <w:spacing w:val="1"/>
                      <w:sz w:val="21"/>
                      <w:szCs w:val="21"/>
                      <w:highlight w:val="none"/>
                      <w:lang w:val="en-US" w:eastAsia="zh-CN"/>
                      <w14:textFill>
                        <w14:solidFill>
                          <w14:schemeClr w14:val="tx1"/>
                        </w14:solidFill>
                      </w14:textFill>
                    </w:rPr>
                    <w:t>悬浮炉和回转窑区</w:t>
                  </w:r>
                  <w:r>
                    <w:rPr>
                      <w:rFonts w:hint="default" w:ascii="Times New Roman" w:hAnsi="Times New Roman" w:eastAsia="宋体" w:cs="Times New Roman"/>
                      <w:color w:val="000000" w:themeColor="text1"/>
                      <w:spacing w:val="1"/>
                      <w:sz w:val="21"/>
                      <w:szCs w:val="21"/>
                      <w:highlight w:val="none"/>
                      <w14:textFill>
                        <w14:solidFill>
                          <w14:schemeClr w14:val="tx1"/>
                        </w14:solidFill>
                      </w14:textFill>
                    </w:rPr>
                    <w:t>、</w:t>
                  </w:r>
                  <w:r>
                    <w:rPr>
                      <w:rFonts w:hint="default" w:ascii="Times New Roman" w:hAnsi="Times New Roman" w:cs="Times New Roman"/>
                      <w:color w:val="000000" w:themeColor="text1"/>
                      <w:spacing w:val="1"/>
                      <w:sz w:val="21"/>
                      <w:szCs w:val="21"/>
                      <w:highlight w:val="none"/>
                      <w:lang w:val="en-US" w:eastAsia="zh-CN"/>
                      <w14:textFill>
                        <w14:solidFill>
                          <w14:schemeClr w14:val="tx1"/>
                        </w14:solidFill>
                      </w14:textFill>
                    </w:rPr>
                    <w:t>冷却系统区、</w:t>
                  </w:r>
                  <w:r>
                    <w:rPr>
                      <w:rFonts w:hint="default" w:ascii="Times New Roman" w:hAnsi="Times New Roman" w:eastAsia="宋体" w:cs="Times New Roman"/>
                      <w:color w:val="000000" w:themeColor="text1"/>
                      <w:spacing w:val="1"/>
                      <w:sz w:val="21"/>
                      <w:szCs w:val="21"/>
                      <w:highlight w:val="none"/>
                      <w:lang w:val="en-US" w:eastAsia="zh-CN"/>
                      <w14:textFill>
                        <w14:solidFill>
                          <w14:schemeClr w14:val="tx1"/>
                        </w14:solidFill>
                      </w14:textFill>
                    </w:rPr>
                    <w:t>成品</w:t>
                  </w:r>
                  <w:r>
                    <w:rPr>
                      <w:rFonts w:hint="default" w:ascii="Times New Roman" w:hAnsi="Times New Roman" w:eastAsia="宋体" w:cs="Times New Roman"/>
                      <w:color w:val="000000" w:themeColor="text1"/>
                      <w:spacing w:val="1"/>
                      <w:sz w:val="21"/>
                      <w:szCs w:val="21"/>
                      <w:highlight w:val="none"/>
                      <w14:textFill>
                        <w14:solidFill>
                          <w14:schemeClr w14:val="tx1"/>
                        </w14:solidFill>
                      </w14:textFill>
                    </w:rPr>
                    <w:t>堆棚、</w:t>
                  </w:r>
                  <w:r>
                    <w:rPr>
                      <w:rFonts w:hint="default" w:ascii="Times New Roman" w:hAnsi="Times New Roman" w:eastAsia="宋体" w:cs="Times New Roman"/>
                      <w:color w:val="000000" w:themeColor="text1"/>
                      <w:spacing w:val="1"/>
                      <w:sz w:val="21"/>
                      <w:szCs w:val="21"/>
                      <w:highlight w:val="none"/>
                      <w:lang w:val="en-US" w:eastAsia="zh-CN"/>
                      <w14:textFill>
                        <w14:solidFill>
                          <w14:schemeClr w14:val="tx1"/>
                        </w14:solidFill>
                      </w14:textFill>
                    </w:rPr>
                    <w:t>黄料筒仓</w:t>
                  </w:r>
                  <w:r>
                    <w:rPr>
                      <w:rFonts w:hint="default" w:ascii="Times New Roman" w:hAnsi="Times New Roman" w:eastAsia="宋体" w:cs="Times New Roman"/>
                      <w:color w:val="000000" w:themeColor="text1"/>
                      <w:spacing w:val="1"/>
                      <w:sz w:val="21"/>
                      <w:szCs w:val="21"/>
                      <w:highlight w:val="none"/>
                      <w14:textFill>
                        <w14:solidFill>
                          <w14:schemeClr w14:val="tx1"/>
                        </w14:solidFill>
                      </w14:textFill>
                    </w:rPr>
                    <w:t>等</w:t>
                  </w: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一般防渗</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区</w:t>
                  </w: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等效黏土防渗层Mb≥1.5m，K≤1×10</w:t>
                  </w:r>
                  <w:r>
                    <w:rPr>
                      <w:rFonts w:hint="default" w:ascii="Times New Roman" w:hAnsi="Times New Roman" w:eastAsia="宋体" w:cs="Times New Roman"/>
                      <w:b w:val="0"/>
                      <w:bCs w:val="0"/>
                      <w:color w:val="000000" w:themeColor="text1"/>
                      <w:sz w:val="21"/>
                      <w:szCs w:val="21"/>
                      <w:highlight w:val="none"/>
                      <w:vertAlign w:val="superscript"/>
                      <w14:textFill>
                        <w14:solidFill>
                          <w14:schemeClr w14:val="tx1"/>
                        </w14:solidFill>
                      </w14:textFill>
                    </w:rPr>
                    <w:t>-7</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cm/s</w:t>
                  </w: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1"/>
                      <w:sz w:val="21"/>
                      <w:szCs w:val="21"/>
                      <w:highlight w:val="none"/>
                      <w14:textFill>
                        <w14:solidFill>
                          <w14:schemeClr w14:val="tx1"/>
                        </w14:solidFill>
                      </w14:textFill>
                    </w:rPr>
                    <w:t>石灰石-石膏脱硫装置区、</w:t>
                  </w:r>
                  <w:r>
                    <w:rPr>
                      <w:rFonts w:hint="default" w:ascii="Times New Roman" w:hAnsi="Times New Roman" w:cs="Times New Roman"/>
                      <w:color w:val="000000" w:themeColor="text1"/>
                      <w:highlight w:val="none"/>
                      <w14:textFill>
                        <w14:solidFill>
                          <w14:schemeClr w14:val="tx1"/>
                        </w14:solidFill>
                      </w14:textFill>
                    </w:rPr>
                    <w:t>三联箱装置</w:t>
                  </w:r>
                  <w:r>
                    <w:rPr>
                      <w:rFonts w:hint="default" w:ascii="Times New Roman" w:hAnsi="Times New Roman" w:cs="Times New Roman"/>
                      <w:color w:val="000000" w:themeColor="text1"/>
                      <w:highlight w:val="none"/>
                      <w:lang w:eastAsia="zh-CN"/>
                      <w14:textFill>
                        <w14:solidFill>
                          <w14:schemeClr w14:val="tx1"/>
                        </w14:solidFill>
                      </w14:textFill>
                    </w:rPr>
                    <w:t>、</w:t>
                  </w:r>
                  <w:r>
                    <w:rPr>
                      <w:rFonts w:hint="default" w:ascii="Times New Roman" w:hAnsi="Times New Roman" w:cs="Times New Roman"/>
                      <w:bCs/>
                      <w:color w:val="000000" w:themeColor="text1"/>
                      <w:szCs w:val="21"/>
                      <w:highlight w:val="none"/>
                      <w14:textFill>
                        <w14:solidFill>
                          <w14:schemeClr w14:val="tx1"/>
                        </w14:solidFill>
                      </w14:textFill>
                    </w:rPr>
                    <w:t>氨水罐区</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等为</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重点防渗</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区</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，等效黏土防渗层Mb≥6.0m，K≤1×10</w:t>
                  </w:r>
                  <w:r>
                    <w:rPr>
                      <w:rFonts w:hint="default" w:ascii="Times New Roman" w:hAnsi="Times New Roman" w:eastAsia="宋体" w:cs="Times New Roman"/>
                      <w:b w:val="0"/>
                      <w:bCs w:val="0"/>
                      <w:color w:val="000000" w:themeColor="text1"/>
                      <w:sz w:val="21"/>
                      <w:szCs w:val="21"/>
                      <w:highlight w:val="none"/>
                      <w:vertAlign w:val="superscript"/>
                      <w14:textFill>
                        <w14:solidFill>
                          <w14:schemeClr w14:val="tx1"/>
                        </w14:solidFill>
                      </w14:textFill>
                    </w:rPr>
                    <w:t>-7</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cm/s</w:t>
                  </w:r>
                  <w:r>
                    <w:rPr>
                      <w:rFonts w:hint="default" w:ascii="Times New Roman" w:hAnsi="Times New Roman" w:cs="Times New Roman"/>
                      <w:b w:val="0"/>
                      <w:bCs w:val="0"/>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1"/>
                      <w:sz w:val="21"/>
                      <w:szCs w:val="21"/>
                      <w:highlight w:val="none"/>
                      <w14:textFill>
                        <w14:solidFill>
                          <w14:schemeClr w14:val="tx1"/>
                        </w14:solidFill>
                      </w14:textFill>
                    </w:rPr>
                    <w:t>或</w:t>
                  </w:r>
                  <w:r>
                    <w:rPr>
                      <w:rFonts w:hint="default" w:ascii="Times New Roman" w:hAnsi="Times New Roman" w:cs="Times New Roman"/>
                      <w:color w:val="000000" w:themeColor="text1"/>
                      <w:spacing w:val="1"/>
                      <w:sz w:val="21"/>
                      <w:szCs w:val="21"/>
                      <w:highlight w:val="none"/>
                      <w:lang w:val="en-US" w:eastAsia="zh-CN"/>
                      <w14:textFill>
                        <w14:solidFill>
                          <w14:schemeClr w14:val="tx1"/>
                        </w14:solidFill>
                      </w14:textFill>
                    </w:rPr>
                    <w:t>GB18598执行；</w:t>
                  </w: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危废暂存间</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按照《危险废物贮存污染控制标准》（GB18597-2023）要求进行防渗，1、库房应按规范要求采取必要的防风、防晒、防雨、防漏、防渗、防腐以及其他环境污染防治措施；危废库房地面要求硬化、耐腐蚀、防渗漏，且表面无裂隙；2、</w:t>
                  </w:r>
                  <w:r>
                    <w:rPr>
                      <w:rFonts w:hint="default" w:ascii="Times New Roman" w:hAnsi="Times New Roman" w:eastAsia="宋体" w:cs="Times New Roman"/>
                      <w:color w:val="000000" w:themeColor="text1"/>
                      <w:kern w:val="0"/>
                      <w:sz w:val="20"/>
                      <w:szCs w:val="20"/>
                      <w:highlight w:val="none"/>
                      <w:lang w:val="en-US" w:eastAsia="zh-CN" w:bidi="ar"/>
                      <w14:textFill>
                        <w14:solidFill>
                          <w14:schemeClr w14:val="tx1"/>
                        </w14:solidFill>
                      </w14:textFill>
                    </w:rPr>
                    <w:t>贮存设施地面与裙脚应采取表面防渗措施；表面防渗材料应与所接触的物料或污染物相容，可采用抗渗混凝土、高密度聚乙烯膜、钠基膨润土防水毯或其他防渗性能等效的材料。贮存的危险废物直接接触地面的，还应进行基础防渗，防渗层为至少1m厚黏土层（渗透系数不大于10</w:t>
                  </w:r>
                  <w:r>
                    <w:rPr>
                      <w:rFonts w:hint="eastAsia" w:cs="Times New Roman"/>
                      <w:color w:val="000000" w:themeColor="text1"/>
                      <w:kern w:val="0"/>
                      <w:sz w:val="20"/>
                      <w:szCs w:val="20"/>
                      <w:highlight w:val="none"/>
                      <w:vertAlign w:val="superscript"/>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1"/>
                      <w:szCs w:val="21"/>
                      <w:highlight w:val="none"/>
                      <w:vertAlign w:val="superscript"/>
                      <w:lang w:val="en-US" w:eastAsia="zh-CN" w:bidi="ar"/>
                      <w14:textFill>
                        <w14:solidFill>
                          <w14:schemeClr w14:val="tx1"/>
                        </w14:solidFill>
                      </w14:textFill>
                    </w:rPr>
                    <w:t>7</w:t>
                  </w:r>
                  <w:r>
                    <w:rPr>
                      <w:rFonts w:hint="default" w:ascii="Times New Roman" w:hAnsi="Times New Roman" w:eastAsia="宋体" w:cs="Times New Roman"/>
                      <w:color w:val="000000" w:themeColor="text1"/>
                      <w:kern w:val="0"/>
                      <w:sz w:val="20"/>
                      <w:szCs w:val="20"/>
                      <w:highlight w:val="none"/>
                      <w:lang w:val="en-US" w:eastAsia="zh-CN" w:bidi="ar"/>
                      <w14:textFill>
                        <w14:solidFill>
                          <w14:schemeClr w14:val="tx1"/>
                        </w14:solidFill>
                      </w14:textFill>
                    </w:rPr>
                    <w:t>cm/s），或至少2mm厚高密度聚乙烯膜等人工防渗材料（渗透系数不大于10</w:t>
                  </w:r>
                  <w:r>
                    <w:rPr>
                      <w:rFonts w:hint="eastAsia" w:cs="Times New Roman"/>
                      <w:color w:val="000000" w:themeColor="text1"/>
                      <w:kern w:val="0"/>
                      <w:sz w:val="20"/>
                      <w:szCs w:val="20"/>
                      <w:highlight w:val="none"/>
                      <w:vertAlign w:val="superscript"/>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1"/>
                      <w:szCs w:val="21"/>
                      <w:highlight w:val="none"/>
                      <w:vertAlign w:val="superscript"/>
                      <w:lang w:val="en-US" w:eastAsia="zh-CN" w:bidi="ar"/>
                      <w14:textFill>
                        <w14:solidFill>
                          <w14:schemeClr w14:val="tx1"/>
                        </w14:solidFill>
                      </w14:textFill>
                    </w:rPr>
                    <w:t>10</w:t>
                  </w:r>
                  <w:r>
                    <w:rPr>
                      <w:rFonts w:hint="default" w:ascii="Times New Roman" w:hAnsi="Times New Roman" w:eastAsia="宋体" w:cs="Times New Roman"/>
                      <w:color w:val="000000" w:themeColor="text1"/>
                      <w:kern w:val="0"/>
                      <w:sz w:val="20"/>
                      <w:szCs w:val="20"/>
                      <w:highlight w:val="none"/>
                      <w:lang w:val="en-US" w:eastAsia="zh-CN" w:bidi="ar"/>
                      <w14:textFill>
                        <w14:solidFill>
                          <w14:schemeClr w14:val="tx1"/>
                        </w14:solidFill>
                      </w14:textFill>
                    </w:rPr>
                    <w:t>cm/s），或其他防渗性能等效的材料。</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3、设置0.3m墙裙，四周设置导流槽，墙角设置集液池。</w:t>
                  </w:r>
                </w:p>
              </w:tc>
              <w:tc>
                <w:tcPr>
                  <w:tcW w:w="248" w:type="pct"/>
                  <w:noWrap w:val="0"/>
                  <w:vAlign w:val="center"/>
                </w:tcPr>
                <w:p w14:paraId="60ACD17A">
                  <w:pPr>
                    <w:autoSpaceDE w:val="0"/>
                    <w:adjustRightInd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新建</w:t>
                  </w:r>
                </w:p>
              </w:tc>
            </w:tr>
          </w:tbl>
          <w:p w14:paraId="5F6EA1E8">
            <w:pPr>
              <w:keepNext w:val="0"/>
              <w:keepLines w:val="0"/>
              <w:pageBreakBefore w:val="0"/>
              <w:widowControl/>
              <w:kinsoku/>
              <w:wordWrap/>
              <w:overflowPunct/>
              <w:topLinePunct w:val="0"/>
              <w:autoSpaceDE/>
              <w:autoSpaceDN/>
              <w:bidi w:val="0"/>
              <w:adjustRightInd/>
              <w:snapToGrid/>
              <w:spacing w:line="240" w:lineRule="auto"/>
              <w:ind w:firstLine="482"/>
              <w:jc w:val="center"/>
              <w:textAlignment w:val="auto"/>
              <w:rPr>
                <w:rFonts w:hint="default" w:ascii="Times New Roman" w:hAnsi="Times New Roman" w:eastAsia="宋体" w:cs="Times New Roman"/>
                <w:b/>
                <w:bCs/>
                <w:color w:val="000000" w:themeColor="text1"/>
                <w:sz w:val="24"/>
                <w:highlight w:val="none"/>
                <w:lang w:val="en-US"/>
                <w14:textFill>
                  <w14:solidFill>
                    <w14:schemeClr w14:val="tx1"/>
                  </w14:solidFill>
                </w14:textFill>
              </w:rPr>
            </w:pPr>
            <w:r>
              <w:rPr>
                <w:rFonts w:hint="default" w:ascii="Times New Roman" w:hAnsi="Times New Roman" w:eastAsia="宋体" w:cs="Times New Roman"/>
                <w:b/>
                <w:bCs/>
                <w:color w:val="000000" w:themeColor="text1"/>
                <w:spacing w:val="-3"/>
                <w:sz w:val="24"/>
                <w:szCs w:val="24"/>
                <w:highlight w:val="none"/>
                <w14:textFill>
                  <w14:solidFill>
                    <w14:schemeClr w14:val="tx1"/>
                  </w14:solidFill>
                </w14:textFill>
              </w:rPr>
              <w:t>表</w:t>
            </w:r>
            <w:r>
              <w:rPr>
                <w:rFonts w:hint="default" w:ascii="Times New Roman" w:hAnsi="Times New Roman" w:eastAsia="宋体" w:cs="Times New Roman"/>
                <w:b/>
                <w:bCs/>
                <w:color w:val="000000" w:themeColor="text1"/>
                <w:spacing w:val="-3"/>
                <w:sz w:val="24"/>
                <w:szCs w:val="24"/>
                <w:highlight w:val="none"/>
                <w:lang w:val="en-US" w:eastAsia="zh-CN"/>
                <w14:textFill>
                  <w14:solidFill>
                    <w14:schemeClr w14:val="tx1"/>
                  </w14:solidFill>
                </w14:textFill>
              </w:rPr>
              <w:t>2-3主要建、构筑物一览表</w:t>
            </w:r>
          </w:p>
          <w:tbl>
            <w:tblPr>
              <w:tblStyle w:val="2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590"/>
              <w:gridCol w:w="1465"/>
              <w:gridCol w:w="3697"/>
              <w:gridCol w:w="1624"/>
            </w:tblGrid>
            <w:tr w14:paraId="25B96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949" w:type="pct"/>
                  <w:tcBorders>
                    <w:tl2br w:val="nil"/>
                    <w:tr2bl w:val="nil"/>
                  </w:tcBorders>
                  <w:noWrap w:val="0"/>
                  <w:tcMar>
                    <w:top w:w="60" w:type="dxa"/>
                    <w:left w:w="120" w:type="dxa"/>
                    <w:bottom w:w="30" w:type="dxa"/>
                    <w:right w:w="120" w:type="dxa"/>
                  </w:tcMar>
                  <w:vAlign w:val="center"/>
                </w:tcPr>
                <w:p w14:paraId="47F8E24F">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建筑物或构筑物名称</w:t>
                  </w:r>
                </w:p>
              </w:tc>
              <w:tc>
                <w:tcPr>
                  <w:tcW w:w="874" w:type="pct"/>
                  <w:tcBorders>
                    <w:tl2br w:val="nil"/>
                    <w:tr2bl w:val="nil"/>
                  </w:tcBorders>
                  <w:noWrap w:val="0"/>
                  <w:tcMar>
                    <w:top w:w="60" w:type="dxa"/>
                    <w:left w:w="120" w:type="dxa"/>
                    <w:bottom w:w="30" w:type="dxa"/>
                    <w:right w:w="120" w:type="dxa"/>
                  </w:tcMar>
                  <w:vAlign w:val="center"/>
                </w:tcPr>
                <w:p w14:paraId="173C0770">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结构形式</w:t>
                  </w:r>
                </w:p>
              </w:tc>
              <w:tc>
                <w:tcPr>
                  <w:tcW w:w="2206" w:type="pct"/>
                  <w:tcBorders>
                    <w:tl2br w:val="nil"/>
                    <w:tr2bl w:val="nil"/>
                  </w:tcBorders>
                  <w:noWrap w:val="0"/>
                  <w:tcMar>
                    <w:top w:w="60" w:type="dxa"/>
                    <w:left w:w="120" w:type="dxa"/>
                    <w:bottom w:w="30" w:type="dxa"/>
                    <w:right w:w="120" w:type="dxa"/>
                  </w:tcMar>
                  <w:vAlign w:val="center"/>
                </w:tcPr>
                <w:p w14:paraId="5464EE2C">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关键尺寸（占地及建筑面积、</w:t>
                  </w:r>
                </w:p>
                <w:p w14:paraId="332DCF62">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外形尺寸等）/规模</w:t>
                  </w:r>
                </w:p>
              </w:tc>
              <w:tc>
                <w:tcPr>
                  <w:tcW w:w="969" w:type="pct"/>
                  <w:tcBorders>
                    <w:tl2br w:val="nil"/>
                    <w:tr2bl w:val="nil"/>
                  </w:tcBorders>
                  <w:noWrap w:val="0"/>
                  <w:tcMar>
                    <w:top w:w="60" w:type="dxa"/>
                    <w:left w:w="120" w:type="dxa"/>
                    <w:bottom w:w="30" w:type="dxa"/>
                    <w:right w:w="120" w:type="dxa"/>
                  </w:tcMar>
                  <w:vAlign w:val="center"/>
                </w:tcPr>
                <w:p w14:paraId="6E37C2C7">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建筑高度</w:t>
                  </w:r>
                </w:p>
              </w:tc>
            </w:tr>
            <w:tr w14:paraId="4AA8B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949" w:type="pct"/>
                  <w:tcBorders>
                    <w:tl2br w:val="nil"/>
                    <w:tr2bl w:val="nil"/>
                  </w:tcBorders>
                  <w:noWrap w:val="0"/>
                  <w:tcMar>
                    <w:top w:w="60" w:type="dxa"/>
                    <w:left w:w="120" w:type="dxa"/>
                    <w:bottom w:w="30" w:type="dxa"/>
                    <w:right w:w="120" w:type="dxa"/>
                  </w:tcMar>
                  <w:vAlign w:val="center"/>
                </w:tcPr>
                <w:p w14:paraId="58FA1635">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门卫室</w:t>
                  </w:r>
                </w:p>
              </w:tc>
              <w:tc>
                <w:tcPr>
                  <w:tcW w:w="874" w:type="pct"/>
                  <w:tcBorders>
                    <w:tl2br w:val="nil"/>
                    <w:tr2bl w:val="nil"/>
                  </w:tcBorders>
                  <w:noWrap w:val="0"/>
                  <w:tcMar>
                    <w:top w:w="60" w:type="dxa"/>
                    <w:left w:w="120" w:type="dxa"/>
                    <w:bottom w:w="30" w:type="dxa"/>
                    <w:right w:w="120" w:type="dxa"/>
                  </w:tcMar>
                  <w:vAlign w:val="center"/>
                </w:tcPr>
                <w:p w14:paraId="3588713C">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混凝土框架</w:t>
                  </w:r>
                </w:p>
              </w:tc>
              <w:tc>
                <w:tcPr>
                  <w:tcW w:w="2206" w:type="pct"/>
                  <w:tcBorders>
                    <w:tl2br w:val="nil"/>
                    <w:tr2bl w:val="nil"/>
                  </w:tcBorders>
                  <w:noWrap w:val="0"/>
                  <w:tcMar>
                    <w:top w:w="60" w:type="dxa"/>
                    <w:left w:w="120" w:type="dxa"/>
                    <w:bottom w:w="30" w:type="dxa"/>
                    <w:right w:w="120" w:type="dxa"/>
                  </w:tcMar>
                  <w:vAlign w:val="center"/>
                </w:tcPr>
                <w:p w14:paraId="7A702928">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建筑面积约20m</w:t>
                  </w:r>
                  <w:r>
                    <w:rPr>
                      <w:rFonts w:hint="default" w:ascii="Times New Roman" w:hAnsi="Times New Roman" w:eastAsia="宋体" w:cs="Times New Roman"/>
                      <w:b w:val="0"/>
                      <w:bCs/>
                      <w:color w:val="000000" w:themeColor="text1"/>
                      <w:sz w:val="21"/>
                      <w:szCs w:val="21"/>
                      <w:highlight w:val="none"/>
                      <w:vertAlign w:val="superscript"/>
                      <w14:textFill>
                        <w14:solidFill>
                          <w14:schemeClr w14:val="tx1"/>
                        </w14:solidFill>
                      </w14:textFill>
                    </w:rPr>
                    <w:t>2</w:t>
                  </w:r>
                </w:p>
              </w:tc>
              <w:tc>
                <w:tcPr>
                  <w:tcW w:w="969" w:type="pct"/>
                  <w:tcBorders>
                    <w:tl2br w:val="nil"/>
                    <w:tr2bl w:val="nil"/>
                  </w:tcBorders>
                  <w:noWrap w:val="0"/>
                  <w:tcMar>
                    <w:top w:w="60" w:type="dxa"/>
                    <w:left w:w="120" w:type="dxa"/>
                    <w:bottom w:w="30" w:type="dxa"/>
                    <w:right w:w="120" w:type="dxa"/>
                  </w:tcMar>
                  <w:vAlign w:val="center"/>
                </w:tcPr>
                <w:p w14:paraId="2EE4666F">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4.2m</w:t>
                  </w:r>
                </w:p>
              </w:tc>
            </w:tr>
            <w:tr w14:paraId="4A8CC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949" w:type="pct"/>
                  <w:tcBorders>
                    <w:tl2br w:val="nil"/>
                    <w:tr2bl w:val="nil"/>
                  </w:tcBorders>
                  <w:noWrap w:val="0"/>
                  <w:tcMar>
                    <w:top w:w="60" w:type="dxa"/>
                    <w:left w:w="120" w:type="dxa"/>
                    <w:bottom w:w="30" w:type="dxa"/>
                    <w:right w:w="120" w:type="dxa"/>
                  </w:tcMar>
                  <w:vAlign w:val="center"/>
                </w:tcPr>
                <w:p w14:paraId="27F8BEF6">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cs="Times New Roman"/>
                      <w:b w:val="0"/>
                      <w:bCs/>
                      <w:color w:val="000000" w:themeColor="text1"/>
                      <w:sz w:val="21"/>
                      <w:szCs w:val="21"/>
                      <w:highlight w:val="none"/>
                      <w:lang w:eastAsia="zh-CN"/>
                      <w14:textFill>
                        <w14:solidFill>
                          <w14:schemeClr w14:val="tx1"/>
                        </w14:solidFill>
                      </w14:textFill>
                    </w:rPr>
                    <w:t>原料粉</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储存及输送车间</w:t>
                  </w:r>
                </w:p>
              </w:tc>
              <w:tc>
                <w:tcPr>
                  <w:tcW w:w="874" w:type="pct"/>
                  <w:tcBorders>
                    <w:tl2br w:val="nil"/>
                    <w:tr2bl w:val="nil"/>
                  </w:tcBorders>
                  <w:noWrap w:val="0"/>
                  <w:tcMar>
                    <w:top w:w="60" w:type="dxa"/>
                    <w:left w:w="120" w:type="dxa"/>
                    <w:bottom w:w="30" w:type="dxa"/>
                    <w:right w:w="120" w:type="dxa"/>
                  </w:tcMar>
                  <w:vAlign w:val="center"/>
                </w:tcPr>
                <w:p w14:paraId="03F51A1A">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混凝土框架，利浦仓</w:t>
                  </w:r>
                </w:p>
              </w:tc>
              <w:tc>
                <w:tcPr>
                  <w:tcW w:w="2206" w:type="pct"/>
                  <w:tcBorders>
                    <w:tl2br w:val="nil"/>
                    <w:tr2bl w:val="nil"/>
                  </w:tcBorders>
                  <w:noWrap w:val="0"/>
                  <w:tcMar>
                    <w:top w:w="60" w:type="dxa"/>
                    <w:left w:w="120" w:type="dxa"/>
                    <w:bottom w:w="30" w:type="dxa"/>
                    <w:right w:w="120" w:type="dxa"/>
                  </w:tcMar>
                  <w:vAlign w:val="center"/>
                </w:tcPr>
                <w:p w14:paraId="53B64AB4">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建筑面积约255.02，利浦仓规格φ12×24</w:t>
                  </w:r>
                  <w:r>
                    <w:rPr>
                      <w:rFonts w:hint="default" w:ascii="Times New Roman" w:hAnsi="Times New Roman" w:cs="Times New Roman"/>
                      <w:b w:val="0"/>
                      <w:bCs/>
                      <w:color w:val="000000" w:themeColor="text1"/>
                      <w:sz w:val="21"/>
                      <w:szCs w:val="21"/>
                      <w:highlight w:val="none"/>
                      <w:lang w:eastAsia="zh-CN"/>
                      <w14:textFill>
                        <w14:solidFill>
                          <w14:schemeClr w14:val="tx1"/>
                        </w14:solidFill>
                      </w14:textFill>
                    </w:rPr>
                    <w:t>m</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，数量2个储量共3300吨</w:t>
                  </w:r>
                </w:p>
              </w:tc>
              <w:tc>
                <w:tcPr>
                  <w:tcW w:w="969" w:type="pct"/>
                  <w:tcBorders>
                    <w:tl2br w:val="nil"/>
                    <w:tr2bl w:val="nil"/>
                  </w:tcBorders>
                  <w:noWrap w:val="0"/>
                  <w:tcMar>
                    <w:top w:w="60" w:type="dxa"/>
                    <w:left w:w="120" w:type="dxa"/>
                    <w:bottom w:w="30" w:type="dxa"/>
                    <w:right w:w="120" w:type="dxa"/>
                  </w:tcMar>
                  <w:vAlign w:val="center"/>
                </w:tcPr>
                <w:p w14:paraId="3FCDD1DC">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41.5m</w:t>
                  </w:r>
                </w:p>
              </w:tc>
            </w:tr>
            <w:tr w14:paraId="4D79F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949" w:type="pct"/>
                  <w:tcBorders>
                    <w:tl2br w:val="nil"/>
                    <w:tr2bl w:val="nil"/>
                  </w:tcBorders>
                  <w:noWrap w:val="0"/>
                  <w:tcMar>
                    <w:top w:w="60" w:type="dxa"/>
                    <w:left w:w="120" w:type="dxa"/>
                    <w:bottom w:w="30" w:type="dxa"/>
                    <w:right w:w="120" w:type="dxa"/>
                  </w:tcMar>
                  <w:vAlign w:val="center"/>
                </w:tcPr>
                <w:p w14:paraId="5591FBF5">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高岭土</w:t>
                  </w:r>
                </w:p>
                <w:p w14:paraId="7D3F239D">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煅烧窑尾</w:t>
                  </w:r>
                </w:p>
              </w:tc>
              <w:tc>
                <w:tcPr>
                  <w:tcW w:w="874" w:type="pct"/>
                  <w:tcBorders>
                    <w:tl2br w:val="nil"/>
                    <w:tr2bl w:val="nil"/>
                  </w:tcBorders>
                  <w:noWrap w:val="0"/>
                  <w:tcMar>
                    <w:top w:w="60" w:type="dxa"/>
                    <w:left w:w="120" w:type="dxa"/>
                    <w:bottom w:w="30" w:type="dxa"/>
                    <w:right w:w="120" w:type="dxa"/>
                  </w:tcMar>
                  <w:vAlign w:val="center"/>
                </w:tcPr>
                <w:p w14:paraId="455CA671">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钢筋混凝土框架+钢塔架</w:t>
                  </w:r>
                </w:p>
              </w:tc>
              <w:tc>
                <w:tcPr>
                  <w:tcW w:w="2206" w:type="pct"/>
                  <w:tcBorders>
                    <w:tl2br w:val="nil"/>
                    <w:tr2bl w:val="nil"/>
                  </w:tcBorders>
                  <w:noWrap w:val="0"/>
                  <w:tcMar>
                    <w:top w:w="60" w:type="dxa"/>
                    <w:left w:w="120" w:type="dxa"/>
                    <w:bottom w:w="30" w:type="dxa"/>
                    <w:right w:w="120" w:type="dxa"/>
                  </w:tcMar>
                  <w:vAlign w:val="center"/>
                </w:tcPr>
                <w:p w14:paraId="53CEE4FE">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建筑面积约1717.52m</w:t>
                  </w:r>
                  <w:r>
                    <w:rPr>
                      <w:rFonts w:hint="default" w:ascii="Times New Roman" w:hAnsi="Times New Roman" w:eastAsia="宋体" w:cs="Times New Roman"/>
                      <w:b w:val="0"/>
                      <w:bCs/>
                      <w:color w:val="000000" w:themeColor="text1"/>
                      <w:sz w:val="21"/>
                      <w:szCs w:val="21"/>
                      <w:highlight w:val="none"/>
                      <w:vertAlign w:val="superscript"/>
                      <w14:textFill>
                        <w14:solidFill>
                          <w14:schemeClr w14:val="tx1"/>
                        </w14:solidFill>
                      </w14:textFill>
                    </w:rPr>
                    <w:t>2</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，悬浮炉φ4000mm，旋风筒C1φ4300mm、C2-C4φ5500mm</w:t>
                  </w:r>
                </w:p>
              </w:tc>
              <w:tc>
                <w:tcPr>
                  <w:tcW w:w="969" w:type="pct"/>
                  <w:tcBorders>
                    <w:tl2br w:val="nil"/>
                    <w:tr2bl w:val="nil"/>
                  </w:tcBorders>
                  <w:noWrap w:val="0"/>
                  <w:tcMar>
                    <w:top w:w="60" w:type="dxa"/>
                    <w:left w:w="120" w:type="dxa"/>
                    <w:bottom w:w="30" w:type="dxa"/>
                    <w:right w:w="120" w:type="dxa"/>
                  </w:tcMar>
                  <w:vAlign w:val="center"/>
                </w:tcPr>
                <w:p w14:paraId="3460E016">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钢塔架高78.78m；塔架含设备总高约100m</w:t>
                  </w:r>
                </w:p>
              </w:tc>
            </w:tr>
            <w:tr w14:paraId="14DCC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949" w:type="pct"/>
                  <w:tcBorders>
                    <w:tl2br w:val="nil"/>
                    <w:tr2bl w:val="nil"/>
                  </w:tcBorders>
                  <w:noWrap w:val="0"/>
                  <w:tcMar>
                    <w:top w:w="60" w:type="dxa"/>
                    <w:left w:w="120" w:type="dxa"/>
                    <w:bottom w:w="30" w:type="dxa"/>
                    <w:right w:w="120" w:type="dxa"/>
                  </w:tcMar>
                  <w:vAlign w:val="center"/>
                </w:tcPr>
                <w:p w14:paraId="6B6BA5A8">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高岭土煅烧</w:t>
                  </w:r>
                </w:p>
                <w:p w14:paraId="7928131E">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废气处理车间</w:t>
                  </w:r>
                </w:p>
              </w:tc>
              <w:tc>
                <w:tcPr>
                  <w:tcW w:w="874" w:type="pct"/>
                  <w:tcBorders>
                    <w:tl2br w:val="nil"/>
                    <w:tr2bl w:val="nil"/>
                  </w:tcBorders>
                  <w:noWrap w:val="0"/>
                  <w:tcMar>
                    <w:top w:w="60" w:type="dxa"/>
                    <w:left w:w="120" w:type="dxa"/>
                    <w:bottom w:w="30" w:type="dxa"/>
                    <w:right w:w="120" w:type="dxa"/>
                  </w:tcMar>
                  <w:vAlign w:val="center"/>
                </w:tcPr>
                <w:p w14:paraId="2F0DC928">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钢筋</w:t>
                  </w:r>
                </w:p>
                <w:p w14:paraId="090A34D3">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混凝土框架</w:t>
                  </w:r>
                </w:p>
              </w:tc>
              <w:tc>
                <w:tcPr>
                  <w:tcW w:w="2206" w:type="pct"/>
                  <w:tcBorders>
                    <w:tl2br w:val="nil"/>
                    <w:tr2bl w:val="nil"/>
                  </w:tcBorders>
                  <w:noWrap w:val="0"/>
                  <w:tcMar>
                    <w:top w:w="60" w:type="dxa"/>
                    <w:left w:w="120" w:type="dxa"/>
                    <w:bottom w:w="30" w:type="dxa"/>
                    <w:right w:w="120" w:type="dxa"/>
                  </w:tcMar>
                  <w:vAlign w:val="center"/>
                </w:tcPr>
                <w:p w14:paraId="2DE39E1B">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建筑面积约196.42m</w:t>
                  </w:r>
                  <w:r>
                    <w:rPr>
                      <w:rFonts w:hint="default" w:ascii="Times New Roman" w:hAnsi="Times New Roman" w:eastAsia="宋体" w:cs="Times New Roman"/>
                      <w:b w:val="0"/>
                      <w:bCs/>
                      <w:color w:val="000000" w:themeColor="text1"/>
                      <w:sz w:val="21"/>
                      <w:szCs w:val="21"/>
                      <w:highlight w:val="none"/>
                      <w:vertAlign w:val="superscript"/>
                      <w14:textFill>
                        <w14:solidFill>
                          <w14:schemeClr w14:val="tx1"/>
                        </w14:solidFill>
                      </w14:textFill>
                    </w:rPr>
                    <w:t>2</w:t>
                  </w:r>
                </w:p>
              </w:tc>
              <w:tc>
                <w:tcPr>
                  <w:tcW w:w="969" w:type="pct"/>
                  <w:tcBorders>
                    <w:tl2br w:val="nil"/>
                    <w:tr2bl w:val="nil"/>
                  </w:tcBorders>
                  <w:noWrap w:val="0"/>
                  <w:tcMar>
                    <w:top w:w="60" w:type="dxa"/>
                    <w:left w:w="120" w:type="dxa"/>
                    <w:bottom w:w="30" w:type="dxa"/>
                    <w:right w:w="120" w:type="dxa"/>
                  </w:tcMar>
                  <w:vAlign w:val="center"/>
                </w:tcPr>
                <w:p w14:paraId="790A1D63">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4.5m</w:t>
                  </w:r>
                </w:p>
              </w:tc>
            </w:tr>
            <w:tr w14:paraId="72B59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949" w:type="pct"/>
                  <w:tcBorders>
                    <w:tl2br w:val="nil"/>
                    <w:tr2bl w:val="nil"/>
                  </w:tcBorders>
                  <w:noWrap w:val="0"/>
                  <w:tcMar>
                    <w:top w:w="60" w:type="dxa"/>
                    <w:left w:w="120" w:type="dxa"/>
                    <w:bottom w:w="30" w:type="dxa"/>
                    <w:right w:w="120" w:type="dxa"/>
                  </w:tcMar>
                  <w:vAlign w:val="center"/>
                </w:tcPr>
                <w:p w14:paraId="7DC03E29">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高岭土</w:t>
                  </w:r>
                </w:p>
                <w:p w14:paraId="514451DE">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煅烧窑中</w:t>
                  </w:r>
                </w:p>
              </w:tc>
              <w:tc>
                <w:tcPr>
                  <w:tcW w:w="874" w:type="pct"/>
                  <w:tcBorders>
                    <w:tl2br w:val="nil"/>
                    <w:tr2bl w:val="nil"/>
                  </w:tcBorders>
                  <w:noWrap w:val="0"/>
                  <w:tcMar>
                    <w:top w:w="60" w:type="dxa"/>
                    <w:left w:w="120" w:type="dxa"/>
                    <w:bottom w:w="30" w:type="dxa"/>
                    <w:right w:w="120" w:type="dxa"/>
                  </w:tcMar>
                  <w:vAlign w:val="center"/>
                </w:tcPr>
                <w:p w14:paraId="09EB1937">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钢筋混凝土窑墩+敞开式钢结构围护</w:t>
                  </w:r>
                </w:p>
              </w:tc>
              <w:tc>
                <w:tcPr>
                  <w:tcW w:w="2206" w:type="pct"/>
                  <w:tcBorders>
                    <w:tl2br w:val="nil"/>
                    <w:tr2bl w:val="nil"/>
                  </w:tcBorders>
                  <w:noWrap w:val="0"/>
                  <w:tcMar>
                    <w:top w:w="60" w:type="dxa"/>
                    <w:left w:w="120" w:type="dxa"/>
                    <w:bottom w:w="30" w:type="dxa"/>
                    <w:right w:w="120" w:type="dxa"/>
                  </w:tcMar>
                  <w:vAlign w:val="center"/>
                </w:tcPr>
                <w:p w14:paraId="2901CC7B">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建筑面积约121m</w:t>
                  </w:r>
                  <w:r>
                    <w:rPr>
                      <w:rFonts w:hint="default" w:ascii="Times New Roman" w:hAnsi="Times New Roman" w:eastAsia="宋体" w:cs="Times New Roman"/>
                      <w:b w:val="0"/>
                      <w:bCs/>
                      <w:color w:val="000000" w:themeColor="text1"/>
                      <w:sz w:val="21"/>
                      <w:szCs w:val="21"/>
                      <w:highlight w:val="none"/>
                      <w:vertAlign w:val="superscript"/>
                      <w14:textFill>
                        <w14:solidFill>
                          <w14:schemeClr w14:val="tx1"/>
                        </w14:solidFill>
                      </w14:textFill>
                    </w:rPr>
                    <w:t>2</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，回转窑φ4.2×70m</w:t>
                  </w:r>
                </w:p>
              </w:tc>
              <w:tc>
                <w:tcPr>
                  <w:tcW w:w="969" w:type="pct"/>
                  <w:tcBorders>
                    <w:tl2br w:val="nil"/>
                    <w:tr2bl w:val="nil"/>
                  </w:tcBorders>
                  <w:noWrap w:val="0"/>
                  <w:tcMar>
                    <w:top w:w="60" w:type="dxa"/>
                    <w:left w:w="120" w:type="dxa"/>
                    <w:bottom w:w="30" w:type="dxa"/>
                    <w:right w:w="120" w:type="dxa"/>
                  </w:tcMar>
                  <w:vAlign w:val="center"/>
                </w:tcPr>
                <w:p w14:paraId="03810F43">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10.9m</w:t>
                  </w:r>
                </w:p>
              </w:tc>
            </w:tr>
            <w:tr w14:paraId="41929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949" w:type="pct"/>
                  <w:tcBorders>
                    <w:tl2br w:val="nil"/>
                    <w:tr2bl w:val="nil"/>
                  </w:tcBorders>
                  <w:noWrap w:val="0"/>
                  <w:tcMar>
                    <w:top w:w="60" w:type="dxa"/>
                    <w:left w:w="120" w:type="dxa"/>
                    <w:bottom w:w="30" w:type="dxa"/>
                    <w:right w:w="120" w:type="dxa"/>
                  </w:tcMar>
                  <w:vAlign w:val="center"/>
                </w:tcPr>
                <w:p w14:paraId="7E08DF57">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高岭土</w:t>
                  </w:r>
                </w:p>
                <w:p w14:paraId="6DA16A25">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冷却车间</w:t>
                  </w:r>
                </w:p>
              </w:tc>
              <w:tc>
                <w:tcPr>
                  <w:tcW w:w="874" w:type="pct"/>
                  <w:tcBorders>
                    <w:tl2br w:val="nil"/>
                    <w:tr2bl w:val="nil"/>
                  </w:tcBorders>
                  <w:noWrap w:val="0"/>
                  <w:tcMar>
                    <w:top w:w="60" w:type="dxa"/>
                    <w:left w:w="120" w:type="dxa"/>
                    <w:bottom w:w="30" w:type="dxa"/>
                    <w:right w:w="120" w:type="dxa"/>
                  </w:tcMar>
                  <w:vAlign w:val="center"/>
                </w:tcPr>
                <w:p w14:paraId="36ACF392">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钢筋混凝土框架结构</w:t>
                  </w:r>
                </w:p>
              </w:tc>
              <w:tc>
                <w:tcPr>
                  <w:tcW w:w="2206" w:type="pct"/>
                  <w:tcBorders>
                    <w:tl2br w:val="nil"/>
                    <w:tr2bl w:val="nil"/>
                  </w:tcBorders>
                  <w:noWrap w:val="0"/>
                  <w:tcMar>
                    <w:top w:w="60" w:type="dxa"/>
                    <w:left w:w="120" w:type="dxa"/>
                    <w:bottom w:w="30" w:type="dxa"/>
                    <w:right w:w="120" w:type="dxa"/>
                  </w:tcMar>
                  <w:vAlign w:val="center"/>
                </w:tcPr>
                <w:p w14:paraId="4CAE7535">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建筑面积约843.03m</w:t>
                  </w:r>
                  <w:r>
                    <w:rPr>
                      <w:rFonts w:hint="default" w:ascii="Times New Roman" w:hAnsi="Times New Roman" w:eastAsia="宋体" w:cs="Times New Roman"/>
                      <w:b w:val="0"/>
                      <w:bCs/>
                      <w:color w:val="000000" w:themeColor="text1"/>
                      <w:sz w:val="21"/>
                      <w:szCs w:val="21"/>
                      <w:highlight w:val="none"/>
                      <w:vertAlign w:val="superscript"/>
                      <w14:textFill>
                        <w14:solidFill>
                          <w14:schemeClr w14:val="tx1"/>
                        </w14:solidFill>
                      </w14:textFill>
                    </w:rPr>
                    <w:t>2</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，适配700t/d冷却能力</w:t>
                  </w:r>
                </w:p>
              </w:tc>
              <w:tc>
                <w:tcPr>
                  <w:tcW w:w="969" w:type="pct"/>
                  <w:tcBorders>
                    <w:tl2br w:val="nil"/>
                    <w:tr2bl w:val="nil"/>
                  </w:tcBorders>
                  <w:noWrap w:val="0"/>
                  <w:tcMar>
                    <w:top w:w="60" w:type="dxa"/>
                    <w:left w:w="120" w:type="dxa"/>
                    <w:bottom w:w="30" w:type="dxa"/>
                    <w:right w:w="120" w:type="dxa"/>
                  </w:tcMar>
                  <w:vAlign w:val="center"/>
                </w:tcPr>
                <w:p w14:paraId="660A0BFD">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18.6m</w:t>
                  </w:r>
                </w:p>
              </w:tc>
            </w:tr>
            <w:tr w14:paraId="58777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949" w:type="pct"/>
                  <w:tcBorders>
                    <w:tl2br w:val="nil"/>
                    <w:tr2bl w:val="nil"/>
                  </w:tcBorders>
                  <w:noWrap w:val="0"/>
                  <w:tcMar>
                    <w:top w:w="60" w:type="dxa"/>
                    <w:left w:w="120" w:type="dxa"/>
                    <w:bottom w:w="30" w:type="dxa"/>
                    <w:right w:w="120" w:type="dxa"/>
                  </w:tcMar>
                  <w:vAlign w:val="center"/>
                </w:tcPr>
                <w:p w14:paraId="217D912E">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高岭土</w:t>
                  </w:r>
                </w:p>
                <w:p w14:paraId="450AC2C7">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分选车间</w:t>
                  </w:r>
                </w:p>
              </w:tc>
              <w:tc>
                <w:tcPr>
                  <w:tcW w:w="874" w:type="pct"/>
                  <w:tcBorders>
                    <w:tl2br w:val="nil"/>
                    <w:tr2bl w:val="nil"/>
                  </w:tcBorders>
                  <w:noWrap w:val="0"/>
                  <w:tcMar>
                    <w:top w:w="60" w:type="dxa"/>
                    <w:left w:w="120" w:type="dxa"/>
                    <w:bottom w:w="30" w:type="dxa"/>
                    <w:right w:w="120" w:type="dxa"/>
                  </w:tcMar>
                  <w:vAlign w:val="center"/>
                </w:tcPr>
                <w:p w14:paraId="14B102FF">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钢筋混凝土框架+局部钢结构夹层</w:t>
                  </w:r>
                </w:p>
              </w:tc>
              <w:tc>
                <w:tcPr>
                  <w:tcW w:w="2206" w:type="pct"/>
                  <w:tcBorders>
                    <w:tl2br w:val="nil"/>
                    <w:tr2bl w:val="nil"/>
                  </w:tcBorders>
                  <w:noWrap w:val="0"/>
                  <w:tcMar>
                    <w:top w:w="60" w:type="dxa"/>
                    <w:left w:w="120" w:type="dxa"/>
                    <w:bottom w:w="30" w:type="dxa"/>
                    <w:right w:w="120" w:type="dxa"/>
                  </w:tcMar>
                  <w:vAlign w:val="center"/>
                </w:tcPr>
                <w:p w14:paraId="3CAD1FDE">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建筑面积约2200m</w:t>
                  </w:r>
                  <w:r>
                    <w:rPr>
                      <w:rFonts w:hint="default" w:ascii="Times New Roman" w:hAnsi="Times New Roman" w:eastAsia="宋体" w:cs="Times New Roman"/>
                      <w:b w:val="0"/>
                      <w:bCs/>
                      <w:color w:val="000000" w:themeColor="text1"/>
                      <w:sz w:val="21"/>
                      <w:szCs w:val="21"/>
                      <w:highlight w:val="none"/>
                      <w:vertAlign w:val="superscript"/>
                      <w14:textFill>
                        <w14:solidFill>
                          <w14:schemeClr w14:val="tx1"/>
                        </w14:solidFill>
                      </w14:textFill>
                    </w:rPr>
                    <w:t>2</w:t>
                  </w:r>
                </w:p>
              </w:tc>
              <w:tc>
                <w:tcPr>
                  <w:tcW w:w="969" w:type="pct"/>
                  <w:tcBorders>
                    <w:tl2br w:val="nil"/>
                    <w:tr2bl w:val="nil"/>
                  </w:tcBorders>
                  <w:noWrap w:val="0"/>
                  <w:tcMar>
                    <w:top w:w="60" w:type="dxa"/>
                    <w:left w:w="120" w:type="dxa"/>
                    <w:bottom w:w="30" w:type="dxa"/>
                    <w:right w:w="120" w:type="dxa"/>
                  </w:tcMar>
                  <w:vAlign w:val="center"/>
                </w:tcPr>
                <w:p w14:paraId="2742942D">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25m</w:t>
                  </w:r>
                </w:p>
              </w:tc>
            </w:tr>
            <w:tr w14:paraId="05D1A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949" w:type="pct"/>
                  <w:tcBorders>
                    <w:tl2br w:val="nil"/>
                    <w:tr2bl w:val="nil"/>
                  </w:tcBorders>
                  <w:noWrap w:val="0"/>
                  <w:tcMar>
                    <w:top w:w="60" w:type="dxa"/>
                    <w:left w:w="120" w:type="dxa"/>
                    <w:bottom w:w="30" w:type="dxa"/>
                    <w:right w:w="120" w:type="dxa"/>
                  </w:tcMar>
                  <w:vAlign w:val="center"/>
                </w:tcPr>
                <w:p w14:paraId="3A993485">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成品高岭土储存库、高岭土大袋包装车间</w:t>
                  </w:r>
                </w:p>
              </w:tc>
              <w:tc>
                <w:tcPr>
                  <w:tcW w:w="874" w:type="pct"/>
                  <w:tcBorders>
                    <w:tl2br w:val="nil"/>
                    <w:tr2bl w:val="nil"/>
                  </w:tcBorders>
                  <w:noWrap w:val="0"/>
                  <w:tcMar>
                    <w:top w:w="60" w:type="dxa"/>
                    <w:left w:w="120" w:type="dxa"/>
                    <w:bottom w:w="30" w:type="dxa"/>
                    <w:right w:w="120" w:type="dxa"/>
                  </w:tcMar>
                  <w:vAlign w:val="center"/>
                </w:tcPr>
                <w:p w14:paraId="5B4A8955">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混凝土框架，利浦仓</w:t>
                  </w:r>
                </w:p>
              </w:tc>
              <w:tc>
                <w:tcPr>
                  <w:tcW w:w="2206" w:type="pct"/>
                  <w:tcBorders>
                    <w:tl2br w:val="nil"/>
                    <w:tr2bl w:val="nil"/>
                  </w:tcBorders>
                  <w:noWrap w:val="0"/>
                  <w:tcMar>
                    <w:top w:w="60" w:type="dxa"/>
                    <w:left w:w="120" w:type="dxa"/>
                    <w:bottom w:w="30" w:type="dxa"/>
                    <w:right w:w="120" w:type="dxa"/>
                  </w:tcMar>
                  <w:vAlign w:val="center"/>
                </w:tcPr>
                <w:p w14:paraId="1768E6D7">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建筑面积约2693.43m</w:t>
                  </w:r>
                  <w:r>
                    <w:rPr>
                      <w:rFonts w:hint="default" w:ascii="Times New Roman" w:hAnsi="Times New Roman" w:eastAsia="宋体" w:cs="Times New Roman"/>
                      <w:b w:val="0"/>
                      <w:bCs/>
                      <w:color w:val="000000" w:themeColor="text1"/>
                      <w:sz w:val="21"/>
                      <w:szCs w:val="21"/>
                      <w:highlight w:val="none"/>
                      <w:vertAlign w:val="superscript"/>
                      <w14:textFill>
                        <w14:solidFill>
                          <w14:schemeClr w14:val="tx1"/>
                        </w14:solidFill>
                      </w14:textFill>
                    </w:rPr>
                    <w:t>2</w:t>
                  </w:r>
                </w:p>
              </w:tc>
              <w:tc>
                <w:tcPr>
                  <w:tcW w:w="969" w:type="pct"/>
                  <w:tcBorders>
                    <w:tl2br w:val="nil"/>
                    <w:tr2bl w:val="nil"/>
                  </w:tcBorders>
                  <w:noWrap w:val="0"/>
                  <w:tcMar>
                    <w:top w:w="60" w:type="dxa"/>
                    <w:left w:w="120" w:type="dxa"/>
                    <w:bottom w:w="30" w:type="dxa"/>
                    <w:right w:w="120" w:type="dxa"/>
                  </w:tcMar>
                  <w:vAlign w:val="center"/>
                </w:tcPr>
                <w:p w14:paraId="0B5D756F">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39.5m</w:t>
                  </w:r>
                </w:p>
              </w:tc>
            </w:tr>
            <w:tr w14:paraId="5C78C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949" w:type="pct"/>
                  <w:tcBorders>
                    <w:tl2br w:val="nil"/>
                    <w:tr2bl w:val="nil"/>
                  </w:tcBorders>
                  <w:noWrap w:val="0"/>
                  <w:tcMar>
                    <w:top w:w="60" w:type="dxa"/>
                    <w:left w:w="120" w:type="dxa"/>
                    <w:bottom w:w="30" w:type="dxa"/>
                    <w:right w:w="120" w:type="dxa"/>
                  </w:tcMar>
                  <w:vAlign w:val="center"/>
                </w:tcPr>
                <w:p w14:paraId="3CD83ECD">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高岭土小袋包装、成品堆棚</w:t>
                  </w:r>
                </w:p>
              </w:tc>
              <w:tc>
                <w:tcPr>
                  <w:tcW w:w="874" w:type="pct"/>
                  <w:tcBorders>
                    <w:tl2br w:val="nil"/>
                    <w:tr2bl w:val="nil"/>
                  </w:tcBorders>
                  <w:noWrap w:val="0"/>
                  <w:tcMar>
                    <w:top w:w="60" w:type="dxa"/>
                    <w:left w:w="120" w:type="dxa"/>
                    <w:bottom w:w="30" w:type="dxa"/>
                    <w:right w:w="120" w:type="dxa"/>
                  </w:tcMar>
                  <w:vAlign w:val="center"/>
                </w:tcPr>
                <w:p w14:paraId="23427F34">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钢筋混凝土框架</w:t>
                  </w:r>
                </w:p>
              </w:tc>
              <w:tc>
                <w:tcPr>
                  <w:tcW w:w="2206" w:type="pct"/>
                  <w:tcBorders>
                    <w:tl2br w:val="nil"/>
                    <w:tr2bl w:val="nil"/>
                  </w:tcBorders>
                  <w:noWrap w:val="0"/>
                  <w:tcMar>
                    <w:top w:w="60" w:type="dxa"/>
                    <w:left w:w="120" w:type="dxa"/>
                    <w:bottom w:w="30" w:type="dxa"/>
                    <w:right w:w="120" w:type="dxa"/>
                  </w:tcMar>
                  <w:vAlign w:val="center"/>
                </w:tcPr>
                <w:p w14:paraId="089366C9">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建筑面积约3722.88m</w:t>
                  </w:r>
                  <w:r>
                    <w:rPr>
                      <w:rFonts w:hint="default" w:ascii="Times New Roman" w:hAnsi="Times New Roman" w:eastAsia="宋体" w:cs="Times New Roman"/>
                      <w:b w:val="0"/>
                      <w:bCs/>
                      <w:color w:val="000000" w:themeColor="text1"/>
                      <w:sz w:val="21"/>
                      <w:szCs w:val="21"/>
                      <w:highlight w:val="none"/>
                      <w:vertAlign w:val="superscript"/>
                      <w14:textFill>
                        <w14:solidFill>
                          <w14:schemeClr w14:val="tx1"/>
                        </w14:solidFill>
                      </w14:textFill>
                    </w:rPr>
                    <w:t>2</w:t>
                  </w:r>
                </w:p>
              </w:tc>
              <w:tc>
                <w:tcPr>
                  <w:tcW w:w="969" w:type="pct"/>
                  <w:tcBorders>
                    <w:tl2br w:val="nil"/>
                    <w:tr2bl w:val="nil"/>
                  </w:tcBorders>
                  <w:noWrap w:val="0"/>
                  <w:tcMar>
                    <w:top w:w="60" w:type="dxa"/>
                    <w:left w:w="120" w:type="dxa"/>
                    <w:bottom w:w="30" w:type="dxa"/>
                    <w:right w:w="120" w:type="dxa"/>
                  </w:tcMar>
                  <w:vAlign w:val="center"/>
                </w:tcPr>
                <w:p w14:paraId="743DF5AA">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19.5m</w:t>
                  </w:r>
                </w:p>
              </w:tc>
            </w:tr>
            <w:tr w14:paraId="1603B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949" w:type="pct"/>
                  <w:tcBorders>
                    <w:tl2br w:val="nil"/>
                    <w:tr2bl w:val="nil"/>
                  </w:tcBorders>
                  <w:noWrap w:val="0"/>
                  <w:tcMar>
                    <w:top w:w="60" w:type="dxa"/>
                    <w:left w:w="120" w:type="dxa"/>
                    <w:bottom w:w="30" w:type="dxa"/>
                    <w:right w:w="120" w:type="dxa"/>
                  </w:tcMar>
                  <w:vAlign w:val="center"/>
                </w:tcPr>
                <w:p w14:paraId="6115B923">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中控室、办公楼</w:t>
                  </w:r>
                </w:p>
              </w:tc>
              <w:tc>
                <w:tcPr>
                  <w:tcW w:w="874" w:type="pct"/>
                  <w:tcBorders>
                    <w:tl2br w:val="nil"/>
                    <w:tr2bl w:val="nil"/>
                  </w:tcBorders>
                  <w:noWrap w:val="0"/>
                  <w:tcMar>
                    <w:top w:w="60" w:type="dxa"/>
                    <w:left w:w="120" w:type="dxa"/>
                    <w:bottom w:w="30" w:type="dxa"/>
                    <w:right w:w="120" w:type="dxa"/>
                  </w:tcMar>
                  <w:vAlign w:val="center"/>
                </w:tcPr>
                <w:p w14:paraId="4B3C3284">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钢筋混凝土框架结构</w:t>
                  </w:r>
                </w:p>
              </w:tc>
              <w:tc>
                <w:tcPr>
                  <w:tcW w:w="2206" w:type="pct"/>
                  <w:tcBorders>
                    <w:tl2br w:val="nil"/>
                    <w:tr2bl w:val="nil"/>
                  </w:tcBorders>
                  <w:noWrap w:val="0"/>
                  <w:tcMar>
                    <w:top w:w="60" w:type="dxa"/>
                    <w:left w:w="120" w:type="dxa"/>
                    <w:bottom w:w="30" w:type="dxa"/>
                    <w:right w:w="120" w:type="dxa"/>
                  </w:tcMar>
                  <w:vAlign w:val="center"/>
                </w:tcPr>
                <w:p w14:paraId="37C640B9">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建筑面积约1361.36m</w:t>
                  </w:r>
                  <w:r>
                    <w:rPr>
                      <w:rFonts w:hint="default" w:ascii="Times New Roman" w:hAnsi="Times New Roman" w:eastAsia="宋体" w:cs="Times New Roman"/>
                      <w:b w:val="0"/>
                      <w:bCs/>
                      <w:color w:val="000000" w:themeColor="text1"/>
                      <w:sz w:val="21"/>
                      <w:szCs w:val="21"/>
                      <w:highlight w:val="none"/>
                      <w:vertAlign w:val="superscript"/>
                      <w14:textFill>
                        <w14:solidFill>
                          <w14:schemeClr w14:val="tx1"/>
                        </w14:solidFill>
                      </w14:textFill>
                    </w:rPr>
                    <w:t>2</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，地上2层</w:t>
                  </w:r>
                </w:p>
              </w:tc>
              <w:tc>
                <w:tcPr>
                  <w:tcW w:w="969" w:type="pct"/>
                  <w:tcBorders>
                    <w:tl2br w:val="nil"/>
                    <w:tr2bl w:val="nil"/>
                  </w:tcBorders>
                  <w:noWrap w:val="0"/>
                  <w:tcMar>
                    <w:top w:w="60" w:type="dxa"/>
                    <w:left w:w="120" w:type="dxa"/>
                    <w:bottom w:w="30" w:type="dxa"/>
                    <w:right w:w="120" w:type="dxa"/>
                  </w:tcMar>
                  <w:vAlign w:val="center"/>
                </w:tcPr>
                <w:p w14:paraId="464ACC24">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9.7m</w:t>
                  </w:r>
                </w:p>
              </w:tc>
            </w:tr>
            <w:tr w14:paraId="1C5AA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949" w:type="pct"/>
                  <w:tcBorders>
                    <w:tl2br w:val="nil"/>
                    <w:tr2bl w:val="nil"/>
                  </w:tcBorders>
                  <w:noWrap w:val="0"/>
                  <w:tcMar>
                    <w:top w:w="60" w:type="dxa"/>
                    <w:left w:w="120" w:type="dxa"/>
                    <w:bottom w:w="30" w:type="dxa"/>
                    <w:right w:w="120" w:type="dxa"/>
                  </w:tcMar>
                  <w:vAlign w:val="center"/>
                </w:tcPr>
                <w:p w14:paraId="5C3F352A">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窑头电气室</w:t>
                  </w:r>
                </w:p>
              </w:tc>
              <w:tc>
                <w:tcPr>
                  <w:tcW w:w="874" w:type="pct"/>
                  <w:tcBorders>
                    <w:tl2br w:val="nil"/>
                    <w:tr2bl w:val="nil"/>
                  </w:tcBorders>
                  <w:noWrap w:val="0"/>
                  <w:tcMar>
                    <w:top w:w="60" w:type="dxa"/>
                    <w:left w:w="120" w:type="dxa"/>
                    <w:bottom w:w="30" w:type="dxa"/>
                    <w:right w:w="120" w:type="dxa"/>
                  </w:tcMar>
                  <w:vAlign w:val="center"/>
                </w:tcPr>
                <w:p w14:paraId="2CA70011">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钢筋混凝土框架</w:t>
                  </w:r>
                </w:p>
              </w:tc>
              <w:tc>
                <w:tcPr>
                  <w:tcW w:w="2206" w:type="pct"/>
                  <w:tcBorders>
                    <w:tl2br w:val="nil"/>
                    <w:tr2bl w:val="nil"/>
                  </w:tcBorders>
                  <w:noWrap w:val="0"/>
                  <w:tcMar>
                    <w:top w:w="60" w:type="dxa"/>
                    <w:left w:w="120" w:type="dxa"/>
                    <w:bottom w:w="30" w:type="dxa"/>
                    <w:right w:w="120" w:type="dxa"/>
                  </w:tcMar>
                  <w:vAlign w:val="center"/>
                </w:tcPr>
                <w:p w14:paraId="27112B59">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占地面积约308m</w:t>
                  </w:r>
                  <w:r>
                    <w:rPr>
                      <w:rFonts w:hint="default" w:ascii="Times New Roman" w:hAnsi="Times New Roman" w:eastAsia="宋体" w:cs="Times New Roman"/>
                      <w:b w:val="0"/>
                      <w:bCs/>
                      <w:color w:val="000000" w:themeColor="text1"/>
                      <w:sz w:val="21"/>
                      <w:szCs w:val="21"/>
                      <w:highlight w:val="none"/>
                      <w:vertAlign w:val="superscript"/>
                      <w14:textFill>
                        <w14:solidFill>
                          <w14:schemeClr w14:val="tx1"/>
                        </w14:solidFill>
                      </w14:textFill>
                    </w:rPr>
                    <w:t>2</w:t>
                  </w:r>
                </w:p>
              </w:tc>
              <w:tc>
                <w:tcPr>
                  <w:tcW w:w="969" w:type="pct"/>
                  <w:tcBorders>
                    <w:tl2br w:val="nil"/>
                    <w:tr2bl w:val="nil"/>
                  </w:tcBorders>
                  <w:noWrap w:val="0"/>
                  <w:tcMar>
                    <w:top w:w="60" w:type="dxa"/>
                    <w:left w:w="120" w:type="dxa"/>
                    <w:bottom w:w="30" w:type="dxa"/>
                    <w:right w:w="120" w:type="dxa"/>
                  </w:tcMar>
                  <w:vAlign w:val="center"/>
                </w:tcPr>
                <w:p w14:paraId="5CAFBE32">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4.5m</w:t>
                  </w:r>
                </w:p>
              </w:tc>
            </w:tr>
            <w:tr w14:paraId="30E11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949" w:type="pct"/>
                  <w:tcBorders>
                    <w:tl2br w:val="nil"/>
                    <w:tr2bl w:val="nil"/>
                  </w:tcBorders>
                  <w:noWrap w:val="0"/>
                  <w:tcMar>
                    <w:top w:w="60" w:type="dxa"/>
                    <w:left w:w="120" w:type="dxa"/>
                    <w:bottom w:w="30" w:type="dxa"/>
                    <w:right w:w="120" w:type="dxa"/>
                  </w:tcMar>
                  <w:vAlign w:val="center"/>
                </w:tcPr>
                <w:p w14:paraId="45AD8596">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窑尾电气室</w:t>
                  </w:r>
                </w:p>
              </w:tc>
              <w:tc>
                <w:tcPr>
                  <w:tcW w:w="874" w:type="pct"/>
                  <w:tcBorders>
                    <w:tl2br w:val="nil"/>
                    <w:tr2bl w:val="nil"/>
                  </w:tcBorders>
                  <w:noWrap w:val="0"/>
                  <w:tcMar>
                    <w:top w:w="60" w:type="dxa"/>
                    <w:left w:w="120" w:type="dxa"/>
                    <w:bottom w:w="30" w:type="dxa"/>
                    <w:right w:w="120" w:type="dxa"/>
                  </w:tcMar>
                  <w:vAlign w:val="center"/>
                </w:tcPr>
                <w:p w14:paraId="3EAE58B9">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钢筋混凝土框架</w:t>
                  </w:r>
                </w:p>
              </w:tc>
              <w:tc>
                <w:tcPr>
                  <w:tcW w:w="2206" w:type="pct"/>
                  <w:tcBorders>
                    <w:tl2br w:val="nil"/>
                    <w:tr2bl w:val="nil"/>
                  </w:tcBorders>
                  <w:noWrap w:val="0"/>
                  <w:tcMar>
                    <w:top w:w="60" w:type="dxa"/>
                    <w:left w:w="120" w:type="dxa"/>
                    <w:bottom w:w="30" w:type="dxa"/>
                    <w:right w:w="120" w:type="dxa"/>
                  </w:tcMar>
                  <w:vAlign w:val="center"/>
                </w:tcPr>
                <w:p w14:paraId="4EFF031E">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占地面积约248m</w:t>
                  </w:r>
                  <w:r>
                    <w:rPr>
                      <w:rFonts w:hint="default" w:ascii="Times New Roman" w:hAnsi="Times New Roman" w:eastAsia="宋体" w:cs="Times New Roman"/>
                      <w:b w:val="0"/>
                      <w:bCs/>
                      <w:color w:val="000000" w:themeColor="text1"/>
                      <w:sz w:val="21"/>
                      <w:szCs w:val="21"/>
                      <w:highlight w:val="none"/>
                      <w:vertAlign w:val="superscript"/>
                      <w14:textFill>
                        <w14:solidFill>
                          <w14:schemeClr w14:val="tx1"/>
                        </w14:solidFill>
                      </w14:textFill>
                    </w:rPr>
                    <w:t>2</w:t>
                  </w:r>
                </w:p>
              </w:tc>
              <w:tc>
                <w:tcPr>
                  <w:tcW w:w="969" w:type="pct"/>
                  <w:tcBorders>
                    <w:tl2br w:val="nil"/>
                    <w:tr2bl w:val="nil"/>
                  </w:tcBorders>
                  <w:noWrap w:val="0"/>
                  <w:tcMar>
                    <w:top w:w="60" w:type="dxa"/>
                    <w:left w:w="120" w:type="dxa"/>
                    <w:bottom w:w="30" w:type="dxa"/>
                    <w:right w:w="120" w:type="dxa"/>
                  </w:tcMar>
                  <w:vAlign w:val="center"/>
                </w:tcPr>
                <w:p w14:paraId="7AFD5257">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4.5m</w:t>
                  </w:r>
                </w:p>
              </w:tc>
            </w:tr>
            <w:tr w14:paraId="7EA02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949" w:type="pct"/>
                  <w:tcBorders>
                    <w:tl2br w:val="nil"/>
                    <w:tr2bl w:val="nil"/>
                  </w:tcBorders>
                  <w:noWrap w:val="0"/>
                  <w:tcMar>
                    <w:top w:w="60" w:type="dxa"/>
                    <w:left w:w="120" w:type="dxa"/>
                    <w:bottom w:w="30" w:type="dxa"/>
                    <w:right w:w="120" w:type="dxa"/>
                  </w:tcMar>
                  <w:vAlign w:val="center"/>
                </w:tcPr>
                <w:p w14:paraId="611D6EF6">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空压机站</w:t>
                  </w:r>
                </w:p>
              </w:tc>
              <w:tc>
                <w:tcPr>
                  <w:tcW w:w="874" w:type="pct"/>
                  <w:tcBorders>
                    <w:tl2br w:val="nil"/>
                    <w:tr2bl w:val="nil"/>
                  </w:tcBorders>
                  <w:noWrap w:val="0"/>
                  <w:tcMar>
                    <w:top w:w="60" w:type="dxa"/>
                    <w:left w:w="120" w:type="dxa"/>
                    <w:bottom w:w="30" w:type="dxa"/>
                    <w:right w:w="120" w:type="dxa"/>
                  </w:tcMar>
                  <w:vAlign w:val="center"/>
                </w:tcPr>
                <w:p w14:paraId="542FB6BB">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钢筋混凝土框架+敞开式侧墙</w:t>
                  </w:r>
                </w:p>
              </w:tc>
              <w:tc>
                <w:tcPr>
                  <w:tcW w:w="2206" w:type="pct"/>
                  <w:tcBorders>
                    <w:tl2br w:val="nil"/>
                    <w:tr2bl w:val="nil"/>
                  </w:tcBorders>
                  <w:noWrap w:val="0"/>
                  <w:tcMar>
                    <w:top w:w="60" w:type="dxa"/>
                    <w:left w:w="120" w:type="dxa"/>
                    <w:bottom w:w="30" w:type="dxa"/>
                    <w:right w:w="120" w:type="dxa"/>
                  </w:tcMar>
                  <w:vAlign w:val="center"/>
                </w:tcPr>
                <w:p w14:paraId="76FB87C6">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建筑面积约300m</w:t>
                  </w:r>
                  <w:r>
                    <w:rPr>
                      <w:rFonts w:hint="default" w:ascii="Times New Roman" w:hAnsi="Times New Roman" w:eastAsia="宋体" w:cs="Times New Roman"/>
                      <w:b w:val="0"/>
                      <w:bCs/>
                      <w:color w:val="000000" w:themeColor="text1"/>
                      <w:sz w:val="21"/>
                      <w:szCs w:val="21"/>
                      <w:highlight w:val="none"/>
                      <w:vertAlign w:val="superscript"/>
                      <w14:textFill>
                        <w14:solidFill>
                          <w14:schemeClr w14:val="tx1"/>
                        </w14:solidFill>
                      </w14:textFill>
                    </w:rPr>
                    <w:t>2</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w:t>
                  </w:r>
                </w:p>
                <w:p w14:paraId="1BC14C42">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容纳</w:t>
                  </w:r>
                  <w:r>
                    <w:rPr>
                      <w:rFonts w:hint="default" w:ascii="Times New Roman" w:hAnsi="Times New Roman" w:cs="Times New Roman"/>
                      <w:b w:val="0"/>
                      <w:bCs/>
                      <w:color w:val="000000" w:themeColor="text1"/>
                      <w:sz w:val="21"/>
                      <w:szCs w:val="21"/>
                      <w:highlight w:val="none"/>
                      <w:lang w:val="en-US" w:eastAsia="zh-CN"/>
                      <w14:textFill>
                        <w14:solidFill>
                          <w14:schemeClr w14:val="tx1"/>
                        </w14:solidFill>
                      </w14:textFill>
                    </w:rPr>
                    <w:t>3</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台螺杆式空压机</w:t>
                  </w:r>
                </w:p>
              </w:tc>
              <w:tc>
                <w:tcPr>
                  <w:tcW w:w="969" w:type="pct"/>
                  <w:tcBorders>
                    <w:tl2br w:val="nil"/>
                    <w:tr2bl w:val="nil"/>
                  </w:tcBorders>
                  <w:noWrap w:val="0"/>
                  <w:tcMar>
                    <w:top w:w="60" w:type="dxa"/>
                    <w:left w:w="120" w:type="dxa"/>
                    <w:bottom w:w="30" w:type="dxa"/>
                    <w:right w:w="120" w:type="dxa"/>
                  </w:tcMar>
                  <w:vAlign w:val="center"/>
                </w:tcPr>
                <w:p w14:paraId="16DF5ACB">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5.5m</w:t>
                  </w:r>
                </w:p>
              </w:tc>
            </w:tr>
            <w:tr w14:paraId="59302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949" w:type="pct"/>
                  <w:tcBorders>
                    <w:tl2br w:val="nil"/>
                    <w:tr2bl w:val="nil"/>
                  </w:tcBorders>
                  <w:noWrap w:val="0"/>
                  <w:tcMar>
                    <w:top w:w="60" w:type="dxa"/>
                    <w:left w:w="120" w:type="dxa"/>
                    <w:bottom w:w="30" w:type="dxa"/>
                    <w:right w:w="120" w:type="dxa"/>
                  </w:tcMar>
                  <w:vAlign w:val="center"/>
                </w:tcPr>
                <w:p w14:paraId="18C2FBAB">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循环水泵房及水池</w:t>
                  </w:r>
                </w:p>
              </w:tc>
              <w:tc>
                <w:tcPr>
                  <w:tcW w:w="874" w:type="pct"/>
                  <w:tcBorders>
                    <w:tl2br w:val="nil"/>
                    <w:tr2bl w:val="nil"/>
                  </w:tcBorders>
                  <w:noWrap w:val="0"/>
                  <w:tcMar>
                    <w:top w:w="60" w:type="dxa"/>
                    <w:left w:w="120" w:type="dxa"/>
                    <w:bottom w:w="30" w:type="dxa"/>
                    <w:right w:w="120" w:type="dxa"/>
                  </w:tcMar>
                  <w:vAlign w:val="center"/>
                </w:tcPr>
                <w:p w14:paraId="586575DF">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钢筋混凝土结构（水池地下，泵房地上）</w:t>
                  </w:r>
                </w:p>
              </w:tc>
              <w:tc>
                <w:tcPr>
                  <w:tcW w:w="2206" w:type="pct"/>
                  <w:tcBorders>
                    <w:tl2br w:val="nil"/>
                    <w:tr2bl w:val="nil"/>
                  </w:tcBorders>
                  <w:noWrap w:val="0"/>
                  <w:tcMar>
                    <w:top w:w="60" w:type="dxa"/>
                    <w:left w:w="120" w:type="dxa"/>
                    <w:bottom w:w="30" w:type="dxa"/>
                    <w:right w:w="120" w:type="dxa"/>
                  </w:tcMar>
                  <w:vAlign w:val="center"/>
                </w:tcPr>
                <w:p w14:paraId="1739DA17">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水池利用高新材料公司循环水池及泵房，原水池有效容积约1500m³（含1247m³消防储备水，东晟公司消防需求量486m³），泵房建筑面积约226m</w:t>
                  </w:r>
                  <w:r>
                    <w:rPr>
                      <w:rFonts w:hint="default" w:ascii="Times New Roman" w:hAnsi="Times New Roman" w:eastAsia="宋体" w:cs="Times New Roman"/>
                      <w:b w:val="0"/>
                      <w:bCs/>
                      <w:color w:val="000000" w:themeColor="text1"/>
                      <w:sz w:val="21"/>
                      <w:szCs w:val="21"/>
                      <w:highlight w:val="none"/>
                      <w:vertAlign w:val="superscript"/>
                      <w14:textFill>
                        <w14:solidFill>
                          <w14:schemeClr w14:val="tx1"/>
                        </w14:solidFill>
                      </w14:textFill>
                    </w:rPr>
                    <w:t>2</w:t>
                  </w:r>
                </w:p>
              </w:tc>
              <w:tc>
                <w:tcPr>
                  <w:tcW w:w="969" w:type="pct"/>
                  <w:tcBorders>
                    <w:tl2br w:val="nil"/>
                    <w:tr2bl w:val="nil"/>
                  </w:tcBorders>
                  <w:noWrap w:val="0"/>
                  <w:tcMar>
                    <w:top w:w="60" w:type="dxa"/>
                    <w:left w:w="120" w:type="dxa"/>
                    <w:bottom w:w="30" w:type="dxa"/>
                    <w:right w:w="120" w:type="dxa"/>
                  </w:tcMar>
                  <w:vAlign w:val="center"/>
                </w:tcPr>
                <w:p w14:paraId="1DBEAF98">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6.1m</w:t>
                  </w:r>
                </w:p>
              </w:tc>
            </w:tr>
            <w:tr w14:paraId="2271F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949" w:type="pct"/>
                  <w:tcBorders>
                    <w:tl2br w:val="nil"/>
                    <w:tr2bl w:val="nil"/>
                  </w:tcBorders>
                  <w:noWrap w:val="0"/>
                  <w:tcMar>
                    <w:top w:w="60" w:type="dxa"/>
                    <w:left w:w="120" w:type="dxa"/>
                    <w:bottom w:w="30" w:type="dxa"/>
                    <w:right w:w="120" w:type="dxa"/>
                  </w:tcMar>
                  <w:vAlign w:val="center"/>
                </w:tcPr>
                <w:p w14:paraId="210CC992">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eastAsia" w:cs="Times New Roman"/>
                      <w:b w:val="0"/>
                      <w:bCs/>
                      <w:color w:val="000000" w:themeColor="text1"/>
                      <w:sz w:val="21"/>
                      <w:szCs w:val="21"/>
                      <w:highlight w:val="none"/>
                      <w:lang w:eastAsia="zh-CN"/>
                      <w14:textFill>
                        <w14:solidFill>
                          <w14:schemeClr w14:val="tx1"/>
                        </w14:solidFill>
                      </w14:textFill>
                    </w:rPr>
                    <w:t>软水</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处理车间</w:t>
                  </w:r>
                </w:p>
              </w:tc>
              <w:tc>
                <w:tcPr>
                  <w:tcW w:w="874" w:type="pct"/>
                  <w:tcBorders>
                    <w:tl2br w:val="nil"/>
                    <w:tr2bl w:val="nil"/>
                  </w:tcBorders>
                  <w:noWrap w:val="0"/>
                  <w:tcMar>
                    <w:top w:w="60" w:type="dxa"/>
                    <w:left w:w="120" w:type="dxa"/>
                    <w:bottom w:w="30" w:type="dxa"/>
                    <w:right w:w="120" w:type="dxa"/>
                  </w:tcMar>
                  <w:vAlign w:val="center"/>
                </w:tcPr>
                <w:p w14:paraId="15E6DD4C">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钢筋混凝土框架结构</w:t>
                  </w:r>
                </w:p>
              </w:tc>
              <w:tc>
                <w:tcPr>
                  <w:tcW w:w="2206" w:type="pct"/>
                  <w:tcBorders>
                    <w:tl2br w:val="nil"/>
                    <w:tr2bl w:val="nil"/>
                  </w:tcBorders>
                  <w:noWrap w:val="0"/>
                  <w:tcMar>
                    <w:top w:w="60" w:type="dxa"/>
                    <w:left w:w="120" w:type="dxa"/>
                    <w:bottom w:w="30" w:type="dxa"/>
                    <w:right w:w="120" w:type="dxa"/>
                  </w:tcMar>
                  <w:vAlign w:val="center"/>
                </w:tcPr>
                <w:p w14:paraId="761E3270">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建筑面积约275m</w:t>
                  </w:r>
                  <w:r>
                    <w:rPr>
                      <w:rFonts w:hint="default" w:ascii="Times New Roman" w:hAnsi="Times New Roman" w:eastAsia="宋体" w:cs="Times New Roman"/>
                      <w:b w:val="0"/>
                      <w:bCs/>
                      <w:color w:val="000000" w:themeColor="text1"/>
                      <w:sz w:val="21"/>
                      <w:szCs w:val="21"/>
                      <w:highlight w:val="none"/>
                      <w:vertAlign w:val="superscript"/>
                      <w14:textFill>
                        <w14:solidFill>
                          <w14:schemeClr w14:val="tx1"/>
                        </w14:solidFill>
                      </w14:textFill>
                    </w:rPr>
                    <w:t>2</w:t>
                  </w:r>
                </w:p>
              </w:tc>
              <w:tc>
                <w:tcPr>
                  <w:tcW w:w="969" w:type="pct"/>
                  <w:tcBorders>
                    <w:tl2br w:val="nil"/>
                    <w:tr2bl w:val="nil"/>
                  </w:tcBorders>
                  <w:noWrap w:val="0"/>
                  <w:tcMar>
                    <w:top w:w="60" w:type="dxa"/>
                    <w:left w:w="120" w:type="dxa"/>
                    <w:bottom w:w="30" w:type="dxa"/>
                    <w:right w:w="120" w:type="dxa"/>
                  </w:tcMar>
                  <w:vAlign w:val="center"/>
                </w:tcPr>
                <w:p w14:paraId="6BBEBFAC">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6.5m</w:t>
                  </w:r>
                </w:p>
              </w:tc>
            </w:tr>
            <w:tr w14:paraId="6FD0E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949" w:type="pct"/>
                  <w:tcBorders>
                    <w:tl2br w:val="nil"/>
                    <w:tr2bl w:val="nil"/>
                  </w:tcBorders>
                  <w:noWrap w:val="0"/>
                  <w:tcMar>
                    <w:top w:w="60" w:type="dxa"/>
                    <w:left w:w="120" w:type="dxa"/>
                    <w:bottom w:w="30" w:type="dxa"/>
                    <w:right w:w="120" w:type="dxa"/>
                  </w:tcMar>
                  <w:vAlign w:val="center"/>
                </w:tcPr>
                <w:p w14:paraId="13E906E5">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余热锅炉车间</w:t>
                  </w:r>
                </w:p>
              </w:tc>
              <w:tc>
                <w:tcPr>
                  <w:tcW w:w="874" w:type="pct"/>
                  <w:tcBorders>
                    <w:tl2br w:val="nil"/>
                    <w:tr2bl w:val="nil"/>
                  </w:tcBorders>
                  <w:noWrap w:val="0"/>
                  <w:tcMar>
                    <w:top w:w="60" w:type="dxa"/>
                    <w:left w:w="120" w:type="dxa"/>
                    <w:bottom w:w="30" w:type="dxa"/>
                    <w:right w:w="120" w:type="dxa"/>
                  </w:tcMar>
                  <w:vAlign w:val="center"/>
                </w:tcPr>
                <w:p w14:paraId="4B7A36DE">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钢筋混凝土框架+钢支架</w:t>
                  </w:r>
                </w:p>
              </w:tc>
              <w:tc>
                <w:tcPr>
                  <w:tcW w:w="2206" w:type="pct"/>
                  <w:tcBorders>
                    <w:tl2br w:val="nil"/>
                    <w:tr2bl w:val="nil"/>
                  </w:tcBorders>
                  <w:noWrap w:val="0"/>
                  <w:tcMar>
                    <w:top w:w="60" w:type="dxa"/>
                    <w:left w:w="120" w:type="dxa"/>
                    <w:bottom w:w="30" w:type="dxa"/>
                    <w:right w:w="120" w:type="dxa"/>
                  </w:tcMar>
                  <w:vAlign w:val="center"/>
                </w:tcPr>
                <w:p w14:paraId="7ED237C0">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建筑面积约600m</w:t>
                  </w:r>
                  <w:r>
                    <w:rPr>
                      <w:rFonts w:hint="default" w:ascii="Times New Roman" w:hAnsi="Times New Roman" w:eastAsia="宋体" w:cs="Times New Roman"/>
                      <w:b w:val="0"/>
                      <w:bCs/>
                      <w:color w:val="000000" w:themeColor="text1"/>
                      <w:sz w:val="21"/>
                      <w:szCs w:val="21"/>
                      <w:highlight w:val="none"/>
                      <w:vertAlign w:val="superscript"/>
                      <w14:textFill>
                        <w14:solidFill>
                          <w14:schemeClr w14:val="tx1"/>
                        </w14:solidFill>
                      </w14:textFill>
                    </w:rPr>
                    <w:t>2</w:t>
                  </w:r>
                </w:p>
              </w:tc>
              <w:tc>
                <w:tcPr>
                  <w:tcW w:w="969" w:type="pct"/>
                  <w:tcBorders>
                    <w:tl2br w:val="nil"/>
                    <w:tr2bl w:val="nil"/>
                  </w:tcBorders>
                  <w:noWrap w:val="0"/>
                  <w:tcMar>
                    <w:top w:w="60" w:type="dxa"/>
                    <w:left w:w="120" w:type="dxa"/>
                    <w:bottom w:w="30" w:type="dxa"/>
                    <w:right w:w="120" w:type="dxa"/>
                  </w:tcMar>
                  <w:vAlign w:val="center"/>
                </w:tcPr>
                <w:p w14:paraId="70F45D7D">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30m</w:t>
                  </w:r>
                </w:p>
              </w:tc>
            </w:tr>
            <w:tr w14:paraId="70D55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949" w:type="pct"/>
                  <w:tcBorders>
                    <w:tl2br w:val="nil"/>
                    <w:tr2bl w:val="nil"/>
                  </w:tcBorders>
                  <w:noWrap w:val="0"/>
                  <w:tcMar>
                    <w:top w:w="60" w:type="dxa"/>
                    <w:left w:w="120" w:type="dxa"/>
                    <w:bottom w:w="30" w:type="dxa"/>
                    <w:right w:w="120" w:type="dxa"/>
                  </w:tcMar>
                  <w:vAlign w:val="center"/>
                </w:tcPr>
                <w:p w14:paraId="73551B39">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脱硫系统</w:t>
                  </w:r>
                </w:p>
              </w:tc>
              <w:tc>
                <w:tcPr>
                  <w:tcW w:w="874" w:type="pct"/>
                  <w:tcBorders>
                    <w:tl2br w:val="nil"/>
                    <w:tr2bl w:val="nil"/>
                  </w:tcBorders>
                  <w:noWrap w:val="0"/>
                  <w:tcMar>
                    <w:top w:w="60" w:type="dxa"/>
                    <w:left w:w="120" w:type="dxa"/>
                    <w:bottom w:w="30" w:type="dxa"/>
                    <w:right w:w="120" w:type="dxa"/>
                  </w:tcMar>
                  <w:vAlign w:val="center"/>
                </w:tcPr>
                <w:p w14:paraId="3844E1F9">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钢筋混凝土基础+钢结构支架</w:t>
                  </w:r>
                </w:p>
              </w:tc>
              <w:tc>
                <w:tcPr>
                  <w:tcW w:w="2206" w:type="pct"/>
                  <w:tcBorders>
                    <w:tl2br w:val="nil"/>
                    <w:tr2bl w:val="nil"/>
                  </w:tcBorders>
                  <w:noWrap w:val="0"/>
                  <w:tcMar>
                    <w:top w:w="60" w:type="dxa"/>
                    <w:left w:w="120" w:type="dxa"/>
                    <w:bottom w:w="30" w:type="dxa"/>
                    <w:right w:w="120" w:type="dxa"/>
                  </w:tcMar>
                  <w:vAlign w:val="center"/>
                </w:tcPr>
                <w:p w14:paraId="563B5264">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脱硫塔基础为环形独立基础，建筑面积约384m</w:t>
                  </w:r>
                  <w:r>
                    <w:rPr>
                      <w:rFonts w:hint="default" w:ascii="Times New Roman" w:hAnsi="Times New Roman" w:eastAsia="宋体" w:cs="Times New Roman"/>
                      <w:b w:val="0"/>
                      <w:bCs/>
                      <w:color w:val="000000" w:themeColor="text1"/>
                      <w:sz w:val="21"/>
                      <w:szCs w:val="21"/>
                      <w:highlight w:val="none"/>
                      <w:vertAlign w:val="superscript"/>
                      <w14:textFill>
                        <w14:solidFill>
                          <w14:schemeClr w14:val="tx1"/>
                        </w14:solidFill>
                      </w14:textFill>
                    </w:rPr>
                    <w:t>2</w:t>
                  </w:r>
                </w:p>
              </w:tc>
              <w:tc>
                <w:tcPr>
                  <w:tcW w:w="969" w:type="pct"/>
                  <w:tcBorders>
                    <w:tl2br w:val="nil"/>
                    <w:tr2bl w:val="nil"/>
                  </w:tcBorders>
                  <w:noWrap w:val="0"/>
                  <w:tcMar>
                    <w:top w:w="60" w:type="dxa"/>
                    <w:left w:w="120" w:type="dxa"/>
                    <w:bottom w:w="30" w:type="dxa"/>
                    <w:right w:w="120" w:type="dxa"/>
                  </w:tcMar>
                  <w:vAlign w:val="center"/>
                </w:tcPr>
                <w:p w14:paraId="657280FD">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脱硫塔</w:t>
                  </w:r>
                </w:p>
                <w:p w14:paraId="2DAF41BE">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带烟囱高度</w:t>
                  </w:r>
                </w:p>
                <w:p w14:paraId="7BB36EB0">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lang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42</w:t>
                  </w:r>
                  <w:r>
                    <w:rPr>
                      <w:rFonts w:hint="default" w:ascii="Times New Roman" w:hAnsi="Times New Roman" w:eastAsia="宋体" w:cs="Times New Roman"/>
                      <w:color w:val="000000" w:themeColor="text1"/>
                      <w:sz w:val="21"/>
                      <w:szCs w:val="21"/>
                      <w:highlight w:val="none"/>
                      <w14:textFill>
                        <w14:solidFill>
                          <w14:schemeClr w14:val="tx1"/>
                        </w14:solidFill>
                      </w14:textFill>
                    </w:rPr>
                    <w:t>m</w:t>
                  </w:r>
                </w:p>
              </w:tc>
            </w:tr>
            <w:tr w14:paraId="397DA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949" w:type="pct"/>
                  <w:tcBorders>
                    <w:tl2br w:val="nil"/>
                    <w:tr2bl w:val="nil"/>
                  </w:tcBorders>
                  <w:noWrap w:val="0"/>
                  <w:tcMar>
                    <w:top w:w="60" w:type="dxa"/>
                    <w:left w:w="120" w:type="dxa"/>
                    <w:bottom w:w="30" w:type="dxa"/>
                    <w:right w:w="120" w:type="dxa"/>
                  </w:tcMar>
                  <w:vAlign w:val="center"/>
                </w:tcPr>
                <w:p w14:paraId="2A9C9EDE">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脱硝系统</w:t>
                  </w:r>
                </w:p>
              </w:tc>
              <w:tc>
                <w:tcPr>
                  <w:tcW w:w="874" w:type="pct"/>
                  <w:tcBorders>
                    <w:tl2br w:val="nil"/>
                    <w:tr2bl w:val="nil"/>
                  </w:tcBorders>
                  <w:noWrap w:val="0"/>
                  <w:tcMar>
                    <w:top w:w="60" w:type="dxa"/>
                    <w:left w:w="120" w:type="dxa"/>
                    <w:bottom w:w="30" w:type="dxa"/>
                    <w:right w:w="120" w:type="dxa"/>
                  </w:tcMar>
                  <w:vAlign w:val="center"/>
                </w:tcPr>
                <w:p w14:paraId="126E24AB">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钢框架</w:t>
                  </w:r>
                </w:p>
              </w:tc>
              <w:tc>
                <w:tcPr>
                  <w:tcW w:w="2206" w:type="pct"/>
                  <w:tcBorders>
                    <w:tl2br w:val="nil"/>
                    <w:tr2bl w:val="nil"/>
                  </w:tcBorders>
                  <w:noWrap w:val="0"/>
                  <w:tcMar>
                    <w:top w:w="60" w:type="dxa"/>
                    <w:left w:w="120" w:type="dxa"/>
                    <w:bottom w:w="30" w:type="dxa"/>
                    <w:right w:w="120" w:type="dxa"/>
                  </w:tcMar>
                  <w:vAlign w:val="center"/>
                </w:tcPr>
                <w:p w14:paraId="331070EE">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建筑面积约为64.24m</w:t>
                  </w:r>
                  <w:r>
                    <w:rPr>
                      <w:rFonts w:hint="default" w:ascii="Times New Roman" w:hAnsi="Times New Roman" w:eastAsia="宋体" w:cs="Times New Roman"/>
                      <w:b w:val="0"/>
                      <w:bCs/>
                      <w:color w:val="000000" w:themeColor="text1"/>
                      <w:sz w:val="21"/>
                      <w:szCs w:val="21"/>
                      <w:highlight w:val="none"/>
                      <w:vertAlign w:val="superscript"/>
                      <w14:textFill>
                        <w14:solidFill>
                          <w14:schemeClr w14:val="tx1"/>
                        </w14:solidFill>
                      </w14:textFill>
                    </w:rPr>
                    <w:t>2</w:t>
                  </w:r>
                </w:p>
              </w:tc>
              <w:tc>
                <w:tcPr>
                  <w:tcW w:w="969" w:type="pct"/>
                  <w:tcBorders>
                    <w:tl2br w:val="nil"/>
                    <w:tr2bl w:val="nil"/>
                  </w:tcBorders>
                  <w:noWrap w:val="0"/>
                  <w:tcMar>
                    <w:top w:w="60" w:type="dxa"/>
                    <w:left w:w="120" w:type="dxa"/>
                    <w:bottom w:w="30" w:type="dxa"/>
                    <w:right w:w="120" w:type="dxa"/>
                  </w:tcMar>
                  <w:vAlign w:val="center"/>
                </w:tcPr>
                <w:p w14:paraId="10346B4E">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7m</w:t>
                  </w:r>
                </w:p>
              </w:tc>
            </w:tr>
            <w:tr w14:paraId="3BD32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949" w:type="pct"/>
                  <w:tcBorders>
                    <w:tl2br w:val="nil"/>
                    <w:tr2bl w:val="nil"/>
                  </w:tcBorders>
                  <w:noWrap w:val="0"/>
                  <w:tcMar>
                    <w:top w:w="60" w:type="dxa"/>
                    <w:left w:w="120" w:type="dxa"/>
                    <w:bottom w:w="30" w:type="dxa"/>
                    <w:right w:w="120" w:type="dxa"/>
                  </w:tcMar>
                  <w:vAlign w:val="center"/>
                </w:tcPr>
                <w:p w14:paraId="0F649227">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换热站</w:t>
                  </w:r>
                </w:p>
              </w:tc>
              <w:tc>
                <w:tcPr>
                  <w:tcW w:w="874" w:type="pct"/>
                  <w:tcBorders>
                    <w:tl2br w:val="nil"/>
                    <w:tr2bl w:val="nil"/>
                  </w:tcBorders>
                  <w:noWrap w:val="0"/>
                  <w:tcMar>
                    <w:top w:w="60" w:type="dxa"/>
                    <w:left w:w="120" w:type="dxa"/>
                    <w:bottom w:w="30" w:type="dxa"/>
                    <w:right w:w="120" w:type="dxa"/>
                  </w:tcMar>
                  <w:vAlign w:val="center"/>
                </w:tcPr>
                <w:p w14:paraId="2E64ABCF">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硬化地面</w:t>
                  </w:r>
                </w:p>
              </w:tc>
              <w:tc>
                <w:tcPr>
                  <w:tcW w:w="2206" w:type="pct"/>
                  <w:tcBorders>
                    <w:tl2br w:val="nil"/>
                    <w:tr2bl w:val="nil"/>
                  </w:tcBorders>
                  <w:noWrap w:val="0"/>
                  <w:tcMar>
                    <w:top w:w="60" w:type="dxa"/>
                    <w:left w:w="120" w:type="dxa"/>
                    <w:bottom w:w="30" w:type="dxa"/>
                    <w:right w:w="120" w:type="dxa"/>
                  </w:tcMar>
                  <w:vAlign w:val="center"/>
                </w:tcPr>
                <w:p w14:paraId="4D75DE64">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占地面积约40m</w:t>
                  </w:r>
                  <w:r>
                    <w:rPr>
                      <w:rFonts w:hint="default" w:ascii="Times New Roman" w:hAnsi="Times New Roman" w:eastAsia="宋体" w:cs="Times New Roman"/>
                      <w:b w:val="0"/>
                      <w:bCs/>
                      <w:color w:val="000000" w:themeColor="text1"/>
                      <w:sz w:val="21"/>
                      <w:szCs w:val="21"/>
                      <w:highlight w:val="none"/>
                      <w:vertAlign w:val="superscript"/>
                      <w14:textFill>
                        <w14:solidFill>
                          <w14:schemeClr w14:val="tx1"/>
                        </w14:solidFill>
                      </w14:textFill>
                    </w:rPr>
                    <w:t>2</w:t>
                  </w:r>
                </w:p>
              </w:tc>
              <w:tc>
                <w:tcPr>
                  <w:tcW w:w="969" w:type="pct"/>
                  <w:tcBorders>
                    <w:tl2br w:val="nil"/>
                    <w:tr2bl w:val="nil"/>
                  </w:tcBorders>
                  <w:noWrap w:val="0"/>
                  <w:tcMar>
                    <w:top w:w="60" w:type="dxa"/>
                    <w:left w:w="120" w:type="dxa"/>
                    <w:bottom w:w="30" w:type="dxa"/>
                    <w:right w:w="120" w:type="dxa"/>
                  </w:tcMar>
                  <w:vAlign w:val="center"/>
                </w:tcPr>
                <w:p w14:paraId="2BC8AFEC">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4m</w:t>
                  </w:r>
                </w:p>
              </w:tc>
            </w:tr>
            <w:tr w14:paraId="19656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949" w:type="pct"/>
                  <w:tcBorders>
                    <w:tl2br w:val="nil"/>
                    <w:tr2bl w:val="nil"/>
                  </w:tcBorders>
                  <w:noWrap w:val="0"/>
                  <w:tcMar>
                    <w:top w:w="60" w:type="dxa"/>
                    <w:left w:w="120" w:type="dxa"/>
                    <w:bottom w:w="30" w:type="dxa"/>
                    <w:right w:w="120" w:type="dxa"/>
                  </w:tcMar>
                  <w:vAlign w:val="center"/>
                </w:tcPr>
                <w:p w14:paraId="08846799">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机电修车间及材料库</w:t>
                  </w:r>
                </w:p>
              </w:tc>
              <w:tc>
                <w:tcPr>
                  <w:tcW w:w="874" w:type="pct"/>
                  <w:tcBorders>
                    <w:tl2br w:val="nil"/>
                    <w:tr2bl w:val="nil"/>
                  </w:tcBorders>
                  <w:noWrap w:val="0"/>
                  <w:tcMar>
                    <w:top w:w="60" w:type="dxa"/>
                    <w:left w:w="120" w:type="dxa"/>
                    <w:bottom w:w="30" w:type="dxa"/>
                    <w:right w:w="120" w:type="dxa"/>
                  </w:tcMar>
                  <w:vAlign w:val="center"/>
                </w:tcPr>
                <w:p w14:paraId="52C2B198">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钢框架</w:t>
                  </w:r>
                </w:p>
              </w:tc>
              <w:tc>
                <w:tcPr>
                  <w:tcW w:w="2206" w:type="pct"/>
                  <w:tcBorders>
                    <w:tl2br w:val="nil"/>
                    <w:tr2bl w:val="nil"/>
                  </w:tcBorders>
                  <w:noWrap w:val="0"/>
                  <w:tcMar>
                    <w:top w:w="60" w:type="dxa"/>
                    <w:left w:w="120" w:type="dxa"/>
                    <w:bottom w:w="30" w:type="dxa"/>
                    <w:right w:w="120" w:type="dxa"/>
                  </w:tcMar>
                  <w:vAlign w:val="center"/>
                </w:tcPr>
                <w:p w14:paraId="40BDAF2D">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建筑面积约243.49m</w:t>
                  </w:r>
                  <w:r>
                    <w:rPr>
                      <w:rFonts w:hint="default" w:ascii="Times New Roman" w:hAnsi="Times New Roman" w:eastAsia="宋体" w:cs="Times New Roman"/>
                      <w:b w:val="0"/>
                      <w:bCs/>
                      <w:color w:val="000000" w:themeColor="text1"/>
                      <w:sz w:val="21"/>
                      <w:szCs w:val="21"/>
                      <w:highlight w:val="none"/>
                      <w:vertAlign w:val="superscript"/>
                      <w14:textFill>
                        <w14:solidFill>
                          <w14:schemeClr w14:val="tx1"/>
                        </w14:solidFill>
                      </w14:textFill>
                    </w:rPr>
                    <w:t>2</w:t>
                  </w:r>
                </w:p>
              </w:tc>
              <w:tc>
                <w:tcPr>
                  <w:tcW w:w="969" w:type="pct"/>
                  <w:tcBorders>
                    <w:tl2br w:val="nil"/>
                    <w:tr2bl w:val="nil"/>
                  </w:tcBorders>
                  <w:noWrap w:val="0"/>
                  <w:tcMar>
                    <w:top w:w="60" w:type="dxa"/>
                    <w:left w:w="120" w:type="dxa"/>
                    <w:bottom w:w="30" w:type="dxa"/>
                    <w:right w:w="120" w:type="dxa"/>
                  </w:tcMar>
                  <w:vAlign w:val="center"/>
                </w:tcPr>
                <w:p w14:paraId="48BE91AD">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4.2m</w:t>
                  </w:r>
                </w:p>
              </w:tc>
            </w:tr>
            <w:tr w14:paraId="21FF5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949" w:type="pct"/>
                  <w:tcBorders>
                    <w:tl2br w:val="nil"/>
                    <w:tr2bl w:val="nil"/>
                  </w:tcBorders>
                  <w:noWrap w:val="0"/>
                  <w:tcMar>
                    <w:top w:w="60" w:type="dxa"/>
                    <w:left w:w="120" w:type="dxa"/>
                    <w:bottom w:w="30" w:type="dxa"/>
                    <w:right w:w="120" w:type="dxa"/>
                  </w:tcMar>
                  <w:vAlign w:val="center"/>
                </w:tcPr>
                <w:p w14:paraId="6C9E1206">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一般固废暂存库</w:t>
                  </w:r>
                </w:p>
              </w:tc>
              <w:tc>
                <w:tcPr>
                  <w:tcW w:w="874" w:type="pct"/>
                  <w:tcBorders>
                    <w:tl2br w:val="nil"/>
                    <w:tr2bl w:val="nil"/>
                  </w:tcBorders>
                  <w:noWrap w:val="0"/>
                  <w:tcMar>
                    <w:top w:w="60" w:type="dxa"/>
                    <w:left w:w="120" w:type="dxa"/>
                    <w:bottom w:w="30" w:type="dxa"/>
                    <w:right w:w="120" w:type="dxa"/>
                  </w:tcMar>
                  <w:vAlign w:val="center"/>
                </w:tcPr>
                <w:p w14:paraId="5CB53097">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钢筋混凝土框架结构</w:t>
                  </w:r>
                </w:p>
              </w:tc>
              <w:tc>
                <w:tcPr>
                  <w:tcW w:w="2206" w:type="pct"/>
                  <w:tcBorders>
                    <w:tl2br w:val="nil"/>
                    <w:tr2bl w:val="nil"/>
                  </w:tcBorders>
                  <w:noWrap w:val="0"/>
                  <w:tcMar>
                    <w:top w:w="60" w:type="dxa"/>
                    <w:left w:w="120" w:type="dxa"/>
                    <w:bottom w:w="30" w:type="dxa"/>
                    <w:right w:w="120" w:type="dxa"/>
                  </w:tcMar>
                  <w:vAlign w:val="center"/>
                </w:tcPr>
                <w:p w14:paraId="319BBDE4">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占地面积约50m</w:t>
                  </w:r>
                  <w:r>
                    <w:rPr>
                      <w:rFonts w:hint="default" w:ascii="Times New Roman" w:hAnsi="Times New Roman" w:eastAsia="宋体" w:cs="Times New Roman"/>
                      <w:b w:val="0"/>
                      <w:bCs/>
                      <w:color w:val="000000" w:themeColor="text1"/>
                      <w:sz w:val="21"/>
                      <w:szCs w:val="21"/>
                      <w:highlight w:val="none"/>
                      <w:vertAlign w:val="superscript"/>
                      <w14:textFill>
                        <w14:solidFill>
                          <w14:schemeClr w14:val="tx1"/>
                        </w14:solidFill>
                      </w14:textFill>
                    </w:rPr>
                    <w:t>2</w:t>
                  </w:r>
                </w:p>
              </w:tc>
              <w:tc>
                <w:tcPr>
                  <w:tcW w:w="969" w:type="pct"/>
                  <w:tcBorders>
                    <w:tl2br w:val="nil"/>
                    <w:tr2bl w:val="nil"/>
                  </w:tcBorders>
                  <w:noWrap w:val="0"/>
                  <w:tcMar>
                    <w:top w:w="60" w:type="dxa"/>
                    <w:left w:w="120" w:type="dxa"/>
                    <w:bottom w:w="30" w:type="dxa"/>
                    <w:right w:w="120" w:type="dxa"/>
                  </w:tcMar>
                  <w:vAlign w:val="center"/>
                </w:tcPr>
                <w:p w14:paraId="009B1BD2">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4m</w:t>
                  </w:r>
                </w:p>
              </w:tc>
            </w:tr>
            <w:tr w14:paraId="5FF7E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949" w:type="pct"/>
                  <w:tcBorders>
                    <w:tl2br w:val="nil"/>
                    <w:tr2bl w:val="nil"/>
                  </w:tcBorders>
                  <w:noWrap w:val="0"/>
                  <w:tcMar>
                    <w:top w:w="60" w:type="dxa"/>
                    <w:left w:w="120" w:type="dxa"/>
                    <w:bottom w:w="30" w:type="dxa"/>
                    <w:right w:w="120" w:type="dxa"/>
                  </w:tcMar>
                  <w:vAlign w:val="center"/>
                </w:tcPr>
                <w:p w14:paraId="378D8AC7">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危废暂存库</w:t>
                  </w:r>
                </w:p>
              </w:tc>
              <w:tc>
                <w:tcPr>
                  <w:tcW w:w="874" w:type="pct"/>
                  <w:tcBorders>
                    <w:tl2br w:val="nil"/>
                    <w:tr2bl w:val="nil"/>
                  </w:tcBorders>
                  <w:noWrap w:val="0"/>
                  <w:tcMar>
                    <w:top w:w="60" w:type="dxa"/>
                    <w:left w:w="120" w:type="dxa"/>
                    <w:bottom w:w="30" w:type="dxa"/>
                    <w:right w:w="120" w:type="dxa"/>
                  </w:tcMar>
                  <w:vAlign w:val="center"/>
                </w:tcPr>
                <w:p w14:paraId="2793132E">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硬化地面</w:t>
                  </w:r>
                </w:p>
              </w:tc>
              <w:tc>
                <w:tcPr>
                  <w:tcW w:w="2206" w:type="pct"/>
                  <w:tcBorders>
                    <w:tl2br w:val="nil"/>
                    <w:tr2bl w:val="nil"/>
                  </w:tcBorders>
                  <w:noWrap w:val="0"/>
                  <w:tcMar>
                    <w:top w:w="60" w:type="dxa"/>
                    <w:left w:w="120" w:type="dxa"/>
                    <w:bottom w:w="30" w:type="dxa"/>
                    <w:right w:w="120" w:type="dxa"/>
                  </w:tcMar>
                  <w:vAlign w:val="center"/>
                </w:tcPr>
                <w:p w14:paraId="647E0CD4">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占地面积约30m</w:t>
                  </w:r>
                  <w:r>
                    <w:rPr>
                      <w:rFonts w:hint="default" w:ascii="Times New Roman" w:hAnsi="Times New Roman" w:eastAsia="宋体" w:cs="Times New Roman"/>
                      <w:b w:val="0"/>
                      <w:bCs/>
                      <w:color w:val="000000" w:themeColor="text1"/>
                      <w:sz w:val="21"/>
                      <w:szCs w:val="21"/>
                      <w:highlight w:val="none"/>
                      <w:vertAlign w:val="superscript"/>
                      <w14:textFill>
                        <w14:solidFill>
                          <w14:schemeClr w14:val="tx1"/>
                        </w14:solidFill>
                      </w14:textFill>
                    </w:rPr>
                    <w:t>2</w:t>
                  </w:r>
                </w:p>
              </w:tc>
              <w:tc>
                <w:tcPr>
                  <w:tcW w:w="969" w:type="pct"/>
                  <w:tcBorders>
                    <w:tl2br w:val="nil"/>
                    <w:tr2bl w:val="nil"/>
                  </w:tcBorders>
                  <w:noWrap w:val="0"/>
                  <w:tcMar>
                    <w:top w:w="60" w:type="dxa"/>
                    <w:left w:w="120" w:type="dxa"/>
                    <w:bottom w:w="30" w:type="dxa"/>
                    <w:right w:w="120" w:type="dxa"/>
                  </w:tcMar>
                  <w:vAlign w:val="center"/>
                </w:tcPr>
                <w:p w14:paraId="3A961367">
                  <w:pPr>
                    <w:keepNext w:val="0"/>
                    <w:keepLines w:val="0"/>
                    <w:pageBreakBefore w:val="0"/>
                    <w:widowControl w:val="0"/>
                    <w:kinsoku/>
                    <w:wordWrap/>
                    <w:overflowPunct/>
                    <w:topLinePunct w:val="0"/>
                    <w:autoSpaceDE/>
                    <w:autoSpaceDN/>
                    <w:bidi w:val="0"/>
                    <w:adjustRightInd/>
                    <w:snapToGrid/>
                    <w:jc w:val="center"/>
                    <w:textAlignment w:val="baseline"/>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3m</w:t>
                  </w:r>
                </w:p>
              </w:tc>
            </w:tr>
          </w:tbl>
          <w:p w14:paraId="522CF495">
            <w:pPr>
              <w:keepNext w:val="0"/>
              <w:keepLines w:val="0"/>
              <w:pageBreakBefore w:val="0"/>
              <w:widowControl w:val="0"/>
              <w:kinsoku/>
              <w:wordWrap/>
              <w:overflowPunct/>
              <w:topLinePunct w:val="0"/>
              <w:bidi w:val="0"/>
              <w:snapToGrid/>
              <w:spacing w:line="360" w:lineRule="auto"/>
              <w:ind w:firstLine="482" w:firstLineChars="200"/>
              <w:jc w:val="both"/>
              <w:textAlignment w:val="auto"/>
              <w:rPr>
                <w:rFonts w:hint="default" w:ascii="Times New Roman" w:hAnsi="Times New Roman" w:eastAsia="宋体" w:cs="Times New Roman"/>
                <w:b/>
                <w:bCs/>
                <w:color w:val="000000" w:themeColor="text1"/>
                <w:sz w:val="24"/>
                <w:highlight w:val="none"/>
                <w14:textFill>
                  <w14:solidFill>
                    <w14:schemeClr w14:val="tx1"/>
                  </w14:solidFill>
                </w14:textFill>
              </w:rPr>
            </w:pPr>
            <w:r>
              <w:rPr>
                <w:rFonts w:hint="default" w:ascii="Times New Roman" w:hAnsi="Times New Roman" w:eastAsia="宋体" w:cs="Times New Roman"/>
                <w:b/>
                <w:bCs/>
                <w:color w:val="000000" w:themeColor="text1"/>
                <w:sz w:val="24"/>
                <w:highlight w:val="none"/>
                <w14:textFill>
                  <w14:solidFill>
                    <w14:schemeClr w14:val="tx1"/>
                  </w14:solidFill>
                </w14:textFill>
              </w:rPr>
              <w:t>1.</w:t>
            </w:r>
            <w:r>
              <w:rPr>
                <w:rFonts w:hint="default" w:ascii="Times New Roman" w:hAnsi="Times New Roman" w:cs="Times New Roman"/>
                <w:b/>
                <w:bCs/>
                <w:color w:val="000000" w:themeColor="text1"/>
                <w:sz w:val="24"/>
                <w:highlight w:val="none"/>
                <w:lang w:val="en-US" w:eastAsia="zh-CN"/>
                <w14:textFill>
                  <w14:solidFill>
                    <w14:schemeClr w14:val="tx1"/>
                  </w14:solidFill>
                </w14:textFill>
              </w:rPr>
              <w:t>4</w:t>
            </w:r>
            <w:r>
              <w:rPr>
                <w:rFonts w:hint="default" w:ascii="Times New Roman" w:hAnsi="Times New Roman" w:eastAsia="宋体" w:cs="Times New Roman"/>
                <w:b/>
                <w:bCs/>
                <w:color w:val="000000" w:themeColor="text1"/>
                <w:sz w:val="24"/>
                <w:highlight w:val="none"/>
                <w14:textFill>
                  <w14:solidFill>
                    <w14:schemeClr w14:val="tx1"/>
                  </w14:solidFill>
                </w14:textFill>
              </w:rPr>
              <w:t>产品方案</w:t>
            </w:r>
          </w:p>
          <w:p w14:paraId="1F3D7A2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1）产品</w:t>
            </w:r>
          </w:p>
          <w:p w14:paraId="2FF2252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本项目产品</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为</w:t>
            </w:r>
            <w:r>
              <w:rPr>
                <w:rFonts w:hint="default" w:ascii="Times New Roman" w:hAnsi="Times New Roman" w:eastAsia="宋体" w:cs="Times New Roman"/>
                <w:color w:val="000000" w:themeColor="text1"/>
                <w:sz w:val="24"/>
                <w:szCs w:val="24"/>
                <w:highlight w:val="none"/>
                <w14:textFill>
                  <w14:solidFill>
                    <w14:schemeClr w14:val="tx1"/>
                  </w14:solidFill>
                </w14:textFill>
              </w:rPr>
              <w:t>煅烧高岭土1号</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和</w:t>
            </w:r>
            <w:r>
              <w:rPr>
                <w:rFonts w:hint="default" w:ascii="Times New Roman" w:hAnsi="Times New Roman" w:eastAsia="宋体" w:cs="Times New Roman"/>
                <w:color w:val="000000" w:themeColor="text1"/>
                <w:sz w:val="24"/>
                <w:szCs w:val="24"/>
                <w:highlight w:val="none"/>
                <w14:textFill>
                  <w14:solidFill>
                    <w14:schemeClr w14:val="tx1"/>
                  </w14:solidFill>
                </w14:textFill>
              </w:rPr>
              <w:t>煅烧高岭土</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sz w:val="24"/>
                <w:szCs w:val="24"/>
                <w:highlight w:val="none"/>
                <w14:textFill>
                  <w14:solidFill>
                    <w14:schemeClr w14:val="tx1"/>
                  </w14:solidFill>
                </w14:textFill>
              </w:rPr>
              <w:t>号</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产品</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方案和产品质量标准性能</w:t>
            </w:r>
            <w:r>
              <w:rPr>
                <w:rFonts w:hint="default" w:ascii="Times New Roman" w:hAnsi="Times New Roman" w:eastAsia="宋体" w:cs="Times New Roman"/>
                <w:color w:val="000000" w:themeColor="text1"/>
                <w:sz w:val="24"/>
                <w:highlight w:val="none"/>
                <w14:textFill>
                  <w14:solidFill>
                    <w14:schemeClr w14:val="tx1"/>
                  </w14:solidFill>
                </w14:textFill>
              </w:rPr>
              <w:t>见下表</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p>
          <w:p w14:paraId="24977269">
            <w:pPr>
              <w:ind w:firstLine="470" w:firstLineChars="200"/>
              <w:jc w:val="center"/>
              <w:rPr>
                <w:rFonts w:hint="default" w:ascii="Times New Roman" w:hAnsi="Times New Roman" w:eastAsia="宋体" w:cs="Times New Roman"/>
                <w:b/>
                <w:bCs/>
                <w:color w:val="000000" w:themeColor="text1"/>
                <w:spacing w:val="-3"/>
                <w:sz w:val="24"/>
                <w:szCs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pacing w:val="-3"/>
                <w:sz w:val="24"/>
                <w:szCs w:val="24"/>
                <w:highlight w:val="none"/>
                <w14:textFill>
                  <w14:solidFill>
                    <w14:schemeClr w14:val="tx1"/>
                  </w14:solidFill>
                </w14:textFill>
              </w:rPr>
              <w:t>表</w:t>
            </w:r>
            <w:r>
              <w:rPr>
                <w:rFonts w:hint="default" w:ascii="Times New Roman" w:hAnsi="Times New Roman" w:eastAsia="宋体" w:cs="Times New Roman"/>
                <w:b/>
                <w:bCs/>
                <w:color w:val="000000" w:themeColor="text1"/>
                <w:spacing w:val="-3"/>
                <w:sz w:val="24"/>
                <w:szCs w:val="24"/>
                <w:highlight w:val="none"/>
                <w:lang w:val="en-US" w:eastAsia="zh-CN"/>
                <w14:textFill>
                  <w14:solidFill>
                    <w14:schemeClr w14:val="tx1"/>
                  </w14:solidFill>
                </w14:textFill>
              </w:rPr>
              <w:t>2-4</w:t>
            </w:r>
            <w:r>
              <w:rPr>
                <w:rFonts w:hint="default" w:ascii="Times New Roman" w:hAnsi="Times New Roman" w:eastAsia="宋体" w:cs="Times New Roman"/>
                <w:b/>
                <w:bCs/>
                <w:color w:val="000000" w:themeColor="text1"/>
                <w:spacing w:val="-3"/>
                <w:sz w:val="24"/>
                <w:szCs w:val="24"/>
                <w:highlight w:val="none"/>
                <w:lang w:eastAsia="zh-CN"/>
                <w14:textFill>
                  <w14:solidFill>
                    <w14:schemeClr w14:val="tx1"/>
                  </w14:solidFill>
                </w14:textFill>
              </w:rPr>
              <w:t>产品方案</w:t>
            </w:r>
          </w:p>
          <w:tbl>
            <w:tblPr>
              <w:tblStyle w:val="2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1"/>
              <w:gridCol w:w="2131"/>
              <w:gridCol w:w="1310"/>
              <w:gridCol w:w="1416"/>
              <w:gridCol w:w="2798"/>
            </w:tblGrid>
            <w:tr w14:paraId="73ADB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31" w:type="pct"/>
                  <w:noWrap w:val="0"/>
                  <w:vAlign w:val="center"/>
                </w:tcPr>
                <w:p w14:paraId="08F2452F">
                  <w:pPr>
                    <w:tabs>
                      <w:tab w:val="left" w:pos="2700"/>
                    </w:tabs>
                    <w:adjustRightInd w:val="0"/>
                    <w:snapToGrid w:val="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序号</w:t>
                  </w:r>
                </w:p>
              </w:tc>
              <w:tc>
                <w:tcPr>
                  <w:tcW w:w="1272" w:type="pct"/>
                  <w:noWrap w:val="0"/>
                  <w:vAlign w:val="center"/>
                </w:tcPr>
                <w:p w14:paraId="63E6919E">
                  <w:pPr>
                    <w:tabs>
                      <w:tab w:val="left" w:pos="2700"/>
                    </w:tabs>
                    <w:adjustRightInd w:val="0"/>
                    <w:snapToGrid w:val="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名称</w:t>
                  </w:r>
                </w:p>
              </w:tc>
              <w:tc>
                <w:tcPr>
                  <w:tcW w:w="782" w:type="pct"/>
                  <w:noWrap w:val="0"/>
                  <w:vAlign w:val="center"/>
                </w:tcPr>
                <w:p w14:paraId="207C5D33">
                  <w:pPr>
                    <w:tabs>
                      <w:tab w:val="left" w:pos="2700"/>
                    </w:tabs>
                    <w:adjustRightInd w:val="0"/>
                    <w:snapToGrid w:val="0"/>
                    <w:jc w:val="cente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产品</w:t>
                  </w: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类型</w:t>
                  </w:r>
                </w:p>
              </w:tc>
              <w:tc>
                <w:tcPr>
                  <w:tcW w:w="845" w:type="pct"/>
                  <w:noWrap w:val="0"/>
                  <w:vAlign w:val="center"/>
                </w:tcPr>
                <w:p w14:paraId="52880B4E">
                  <w:pPr>
                    <w:tabs>
                      <w:tab w:val="left" w:pos="2700"/>
                    </w:tabs>
                    <w:adjustRightInd w:val="0"/>
                    <w:snapToGrid w:val="0"/>
                    <w:jc w:val="cente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产量</w:t>
                  </w: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（万</w:t>
                  </w:r>
                  <w:r>
                    <w:rPr>
                      <w:rFonts w:hint="default" w:ascii="Times New Roman" w:hAnsi="Times New Roman" w:eastAsia="宋体" w:cs="Times New Roman"/>
                      <w:b w:val="0"/>
                      <w:bCs/>
                      <w:color w:val="000000" w:themeColor="text1"/>
                      <w:szCs w:val="21"/>
                      <w:highlight w:val="none"/>
                      <w:vertAlign w:val="baseline"/>
                      <w:lang w:val="en-US" w:eastAsia="zh-CN"/>
                      <w14:textFill>
                        <w14:solidFill>
                          <w14:schemeClr w14:val="tx1"/>
                        </w14:solidFill>
                      </w14:textFill>
                    </w:rPr>
                    <w:t>/a）</w:t>
                  </w:r>
                </w:p>
              </w:tc>
              <w:tc>
                <w:tcPr>
                  <w:tcW w:w="1668" w:type="pct"/>
                  <w:noWrap w:val="0"/>
                  <w:vAlign w:val="center"/>
                </w:tcPr>
                <w:p w14:paraId="6DABA0B3">
                  <w:pPr>
                    <w:tabs>
                      <w:tab w:val="left" w:pos="2700"/>
                    </w:tabs>
                    <w:adjustRightInd w:val="0"/>
                    <w:snapToGrid w:val="0"/>
                    <w:jc w:val="center"/>
                    <w:rPr>
                      <w:rFonts w:hint="default" w:ascii="Times New Roman" w:hAnsi="Times New Roman" w:eastAsia="宋体" w:cs="Times New Roman"/>
                      <w:b w:val="0"/>
                      <w:bCs/>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lang w:eastAsia="zh-CN"/>
                      <w14:textFill>
                        <w14:solidFill>
                          <w14:schemeClr w14:val="tx1"/>
                        </w14:solidFill>
                      </w14:textFill>
                    </w:rPr>
                    <w:t>备注</w:t>
                  </w:r>
                </w:p>
              </w:tc>
            </w:tr>
            <w:tr w14:paraId="137EC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31" w:type="pct"/>
                  <w:noWrap w:val="0"/>
                  <w:vAlign w:val="center"/>
                </w:tcPr>
                <w:p w14:paraId="585C2FFE">
                  <w:pPr>
                    <w:adjustRightInd w:val="0"/>
                    <w:snapToGrid w:val="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w:t>
                  </w:r>
                </w:p>
              </w:tc>
              <w:tc>
                <w:tcPr>
                  <w:tcW w:w="1272" w:type="pct"/>
                  <w:noWrap w:val="0"/>
                  <w:vAlign w:val="center"/>
                </w:tcPr>
                <w:p w14:paraId="2561A9DD">
                  <w:pPr>
                    <w:adjustRightInd w:val="0"/>
                    <w:snapToGrid w:val="0"/>
                    <w:jc w:val="cente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煅烧高岭土1号</w:t>
                  </w:r>
                </w:p>
              </w:tc>
              <w:tc>
                <w:tcPr>
                  <w:tcW w:w="782" w:type="pct"/>
                  <w:noWrap w:val="0"/>
                  <w:vAlign w:val="center"/>
                </w:tcPr>
                <w:p w14:paraId="7D937624">
                  <w:pPr>
                    <w:adjustRightInd w:val="0"/>
                    <w:snapToGrid w:val="0"/>
                    <w:jc w:val="cente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TT</w:t>
                  </w:r>
                </w:p>
              </w:tc>
              <w:tc>
                <w:tcPr>
                  <w:tcW w:w="845" w:type="pct"/>
                  <w:noWrap w:val="0"/>
                  <w:vAlign w:val="center"/>
                </w:tcPr>
                <w:p w14:paraId="4C2D740C">
                  <w:pPr>
                    <w:adjustRightInd w:val="0"/>
                    <w:snapToGrid w:val="0"/>
                    <w:jc w:val="cente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10</w:t>
                  </w:r>
                </w:p>
              </w:tc>
              <w:tc>
                <w:tcPr>
                  <w:tcW w:w="1668" w:type="pct"/>
                  <w:noWrap w:val="0"/>
                  <w:vAlign w:val="center"/>
                </w:tcPr>
                <w:p w14:paraId="5DBB6DD1">
                  <w:pPr>
                    <w:adjustRightInd w:val="0"/>
                    <w:snapToGrid w:val="0"/>
                    <w:jc w:val="cente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用于陶瓷釉料</w:t>
                  </w:r>
                </w:p>
              </w:tc>
            </w:tr>
            <w:tr w14:paraId="1C50F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31" w:type="pct"/>
                  <w:noWrap w:val="0"/>
                  <w:vAlign w:val="center"/>
                </w:tcPr>
                <w:p w14:paraId="3EB93758">
                  <w:pPr>
                    <w:adjustRightInd w:val="0"/>
                    <w:snapToGrid w:val="0"/>
                    <w:jc w:val="cente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2</w:t>
                  </w:r>
                </w:p>
              </w:tc>
              <w:tc>
                <w:tcPr>
                  <w:tcW w:w="1272" w:type="pct"/>
                  <w:noWrap w:val="0"/>
                  <w:vAlign w:val="center"/>
                </w:tcPr>
                <w:p w14:paraId="0DDFA97F">
                  <w:pPr>
                    <w:adjustRightInd w:val="0"/>
                    <w:snapToGrid w:val="0"/>
                    <w:jc w:val="cente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煅烧高岭土</w:t>
                  </w: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2</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号</w:t>
                  </w:r>
                </w:p>
              </w:tc>
              <w:tc>
                <w:tcPr>
                  <w:tcW w:w="782" w:type="pct"/>
                  <w:noWrap w:val="0"/>
                  <w:vAlign w:val="center"/>
                </w:tcPr>
                <w:p w14:paraId="61C9607B">
                  <w:pPr>
                    <w:adjustRightInd w:val="0"/>
                    <w:snapToGrid w:val="0"/>
                    <w:jc w:val="cente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TC</w:t>
                  </w:r>
                </w:p>
              </w:tc>
              <w:tc>
                <w:tcPr>
                  <w:tcW w:w="845" w:type="pct"/>
                  <w:noWrap w:val="0"/>
                  <w:vAlign w:val="center"/>
                </w:tcPr>
                <w:p w14:paraId="57A1B663">
                  <w:pPr>
                    <w:adjustRightInd w:val="0"/>
                    <w:snapToGrid w:val="0"/>
                    <w:jc w:val="cente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10</w:t>
                  </w:r>
                </w:p>
              </w:tc>
              <w:tc>
                <w:tcPr>
                  <w:tcW w:w="1668" w:type="pct"/>
                  <w:noWrap w:val="0"/>
                  <w:vAlign w:val="center"/>
                </w:tcPr>
                <w:p w14:paraId="478D2418">
                  <w:pPr>
                    <w:adjustRightInd w:val="0"/>
                    <w:snapToGrid w:val="0"/>
                    <w:jc w:val="cente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用于玻纤原料</w:t>
                  </w:r>
                </w:p>
              </w:tc>
            </w:tr>
            <w:tr w14:paraId="61421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00" w:type="pct"/>
                  <w:gridSpan w:val="5"/>
                  <w:noWrap w:val="0"/>
                  <w:vAlign w:val="center"/>
                </w:tcPr>
                <w:p w14:paraId="6BC22394">
                  <w:pPr>
                    <w:adjustRightInd w:val="0"/>
                    <w:snapToGrid w:val="0"/>
                    <w:jc w:val="left"/>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注：煅烧高岭土1号（用于陶瓷釉料）烧成热耗480kCal/kg；</w:t>
                  </w:r>
                </w:p>
                <w:p w14:paraId="5AEB3480">
                  <w:pPr>
                    <w:adjustRightInd w:val="0"/>
                    <w:snapToGrid w:val="0"/>
                    <w:jc w:val="left"/>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煅烧高岭土2号（用于玻纤原料）烧成热耗240kCal/kg</w:t>
                  </w:r>
                </w:p>
              </w:tc>
            </w:tr>
          </w:tbl>
          <w:p w14:paraId="63FBAFC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highlight w:val="none"/>
                <w:lang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煅烧高岭土1号（用于陶瓷釉料）烧成要求：原料烧后指标满足Fe</w:t>
            </w:r>
            <w:r>
              <w:rPr>
                <w:rFonts w:hint="default" w:ascii="Times New Roman" w:hAnsi="Times New Roman" w:eastAsia="宋体" w:cs="Times New Roman"/>
                <w:color w:val="000000" w:themeColor="text1"/>
                <w:sz w:val="24"/>
                <w:highlight w:val="none"/>
                <w:vertAlign w:val="subscript"/>
                <w:lang w:val="en-US" w:eastAsia="zh-CN"/>
                <w14:textFill>
                  <w14:solidFill>
                    <w14:schemeClr w14:val="tx1"/>
                  </w14:solidFill>
                </w14:textFill>
              </w:rPr>
              <w:t>2</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O</w:t>
            </w:r>
            <w:r>
              <w:rPr>
                <w:rFonts w:hint="default" w:ascii="Times New Roman" w:hAnsi="Times New Roman" w:eastAsia="宋体" w:cs="Times New Roman"/>
                <w:color w:val="000000" w:themeColor="text1"/>
                <w:sz w:val="24"/>
                <w:highlight w:val="none"/>
                <w:vertAlign w:val="subscript"/>
                <w:lang w:val="en-US" w:eastAsia="zh-CN"/>
                <w14:textFill>
                  <w14:solidFill>
                    <w14:schemeClr w14:val="tx1"/>
                  </w14:solidFill>
                </w14:textFill>
              </w:rPr>
              <w:t>3</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≤0.4%、TiO</w:t>
            </w:r>
            <w:r>
              <w:rPr>
                <w:rFonts w:hint="default" w:ascii="Times New Roman" w:hAnsi="Times New Roman" w:eastAsia="宋体" w:cs="Times New Roman"/>
                <w:color w:val="000000" w:themeColor="text1"/>
                <w:sz w:val="24"/>
                <w:highlight w:val="none"/>
                <w:vertAlign w:val="subscript"/>
                <w:lang w:val="en-US" w:eastAsia="zh-CN"/>
                <w14:textFill>
                  <w14:solidFill>
                    <w14:schemeClr w14:val="tx1"/>
                  </w14:solidFill>
                </w14:textFill>
              </w:rPr>
              <w:t>2</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≤0.9%、Al</w:t>
            </w:r>
            <w:r>
              <w:rPr>
                <w:rFonts w:hint="default" w:ascii="Times New Roman" w:hAnsi="Times New Roman" w:eastAsia="宋体" w:cs="Times New Roman"/>
                <w:color w:val="000000" w:themeColor="text1"/>
                <w:sz w:val="24"/>
                <w:highlight w:val="none"/>
                <w:vertAlign w:val="subscript"/>
                <w:lang w:val="en-US" w:eastAsia="zh-CN"/>
                <w14:textFill>
                  <w14:solidFill>
                    <w14:schemeClr w14:val="tx1"/>
                  </w14:solidFill>
                </w14:textFill>
              </w:rPr>
              <w:t>2</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O</w:t>
            </w:r>
            <w:r>
              <w:rPr>
                <w:rFonts w:hint="default" w:ascii="Times New Roman" w:hAnsi="Times New Roman" w:eastAsia="宋体" w:cs="Times New Roman"/>
                <w:color w:val="000000" w:themeColor="text1"/>
                <w:sz w:val="24"/>
                <w:highlight w:val="none"/>
                <w:vertAlign w:val="subscript"/>
                <w:lang w:val="en-US" w:eastAsia="zh-CN"/>
                <w14:textFill>
                  <w14:solidFill>
                    <w14:schemeClr w14:val="tx1"/>
                  </w14:solidFill>
                </w14:textFill>
              </w:rPr>
              <w:t>3</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≥43%、K</w:t>
            </w:r>
            <w:r>
              <w:rPr>
                <w:rFonts w:hint="default" w:ascii="Times New Roman" w:hAnsi="Times New Roman" w:eastAsia="宋体" w:cs="Times New Roman"/>
                <w:color w:val="000000" w:themeColor="text1"/>
                <w:sz w:val="24"/>
                <w:highlight w:val="none"/>
                <w:vertAlign w:val="subscript"/>
                <w:lang w:val="en-US" w:eastAsia="zh-CN"/>
                <w14:textFill>
                  <w14:solidFill>
                    <w14:schemeClr w14:val="tx1"/>
                  </w14:solidFill>
                </w14:textFill>
              </w:rPr>
              <w:t>2</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O≤0.3%、Na</w:t>
            </w:r>
            <w:r>
              <w:rPr>
                <w:rFonts w:hint="default" w:ascii="Times New Roman" w:hAnsi="Times New Roman" w:eastAsia="宋体" w:cs="Times New Roman"/>
                <w:color w:val="000000" w:themeColor="text1"/>
                <w:sz w:val="24"/>
                <w:highlight w:val="none"/>
                <w:vertAlign w:val="subscript"/>
                <w:lang w:val="en-US" w:eastAsia="zh-CN"/>
                <w14:textFill>
                  <w14:solidFill>
                    <w14:schemeClr w14:val="tx1"/>
                  </w14:solidFill>
                </w14:textFill>
              </w:rPr>
              <w:t>2</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O≤0.15%且原料烧失量≤19%时，要求煅烧后产品自然白度值≥87%。</w:t>
            </w:r>
          </w:p>
          <w:p w14:paraId="2E1417C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highlight w:val="none"/>
                <w:lang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煅烧高岭土2号（用于玻纤原料）烧成要求：要求煅烧后产品的残碳率≤0.5%；产品用于玻纤产品时应保证煅烧后的COD≤150ppm。</w:t>
            </w:r>
          </w:p>
          <w:p w14:paraId="565E226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highlight w:val="none"/>
                <w:lang w:eastAsia="zh-CN"/>
                <w14:textFill>
                  <w14:solidFill>
                    <w14:schemeClr w14:val="tx1"/>
                  </w14:solidFill>
                </w14:textFill>
              </w:rPr>
            </w:pPr>
            <w:r>
              <w:rPr>
                <w:rFonts w:hint="default" w:ascii="Times New Roman" w:hAnsi="Times New Roman" w:eastAsia="宋体" w:cs="Times New Roman"/>
                <w:color w:val="000000" w:themeColor="text1"/>
                <w:sz w:val="24"/>
                <w:highlight w:val="none"/>
                <w:lang w:eastAsia="zh-CN"/>
                <w14:textFill>
                  <w14:solidFill>
                    <w14:schemeClr w14:val="tx1"/>
                  </w14:solidFill>
                </w14:textFill>
              </w:rPr>
              <w:t>本项目产品出厂设计大袋包装机8台，单台最大能力25t/h，小袋包装1台，单台能力90t/h；大小袋包装各按50%分配，全部汽车运输出厂。</w:t>
            </w:r>
          </w:p>
          <w:p w14:paraId="5EBC900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highlight w:val="none"/>
                <w:lang w:eastAsia="zh-CN"/>
                <w14:textFill>
                  <w14:solidFill>
                    <w14:schemeClr w14:val="tx1"/>
                  </w14:solidFill>
                </w14:textFill>
              </w:rPr>
            </w:pPr>
            <w:r>
              <w:rPr>
                <w:rFonts w:hint="default" w:ascii="Times New Roman" w:hAnsi="Times New Roman" w:eastAsia="宋体" w:cs="Times New Roman"/>
                <w:color w:val="000000" w:themeColor="text1"/>
                <w:sz w:val="24"/>
                <w:highlight w:val="none"/>
                <w:lang w:eastAsia="zh-CN"/>
                <w14:textFill>
                  <w14:solidFill>
                    <w14:schemeClr w14:val="tx1"/>
                  </w14:solidFill>
                </w14:textFill>
              </w:rPr>
              <w:t>煅烧高岭土1号</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和</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煅烧高岭土</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号目前无国家产品质量标准，参考《高岭土及其试验方法》（GB/T14563-2020）中煅烧高岭土质量标准。</w:t>
            </w:r>
          </w:p>
          <w:p w14:paraId="100ECDC9">
            <w:pPr>
              <w:ind w:firstLine="470" w:firstLineChars="200"/>
              <w:jc w:val="center"/>
              <w:rPr>
                <w:rFonts w:hint="default" w:ascii="Times New Roman" w:hAnsi="Times New Roman" w:eastAsia="宋体" w:cs="Times New Roman"/>
                <w:b/>
                <w:bCs/>
                <w:color w:val="000000" w:themeColor="text1"/>
                <w:spacing w:val="-3"/>
                <w:sz w:val="24"/>
                <w:szCs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pacing w:val="-3"/>
                <w:sz w:val="24"/>
                <w:szCs w:val="24"/>
                <w:highlight w:val="none"/>
                <w:lang w:val="en-US" w:eastAsia="zh-CN"/>
                <w14:textFill>
                  <w14:solidFill>
                    <w14:schemeClr w14:val="tx1"/>
                  </w14:solidFill>
                </w14:textFill>
              </w:rPr>
              <w:t>表2-5搪瓷工业用高岭土产品理化性能要求</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48"/>
              <w:gridCol w:w="3664"/>
            </w:tblGrid>
            <w:tr w14:paraId="3A0FA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8" w:type="dxa"/>
                  <w:noWrap w:val="0"/>
                  <w:vAlign w:val="top"/>
                </w:tcPr>
                <w:p w14:paraId="7F476337">
                  <w:pPr>
                    <w:pStyle w:val="116"/>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cs="Times New Roman"/>
                      <w:color w:val="000000" w:themeColor="text1"/>
                      <w:spacing w:val="-1"/>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pacing w:val="-1"/>
                      <w:sz w:val="21"/>
                      <w:szCs w:val="21"/>
                      <w:highlight w:val="none"/>
                      <w:vertAlign w:val="baseline"/>
                      <w:lang w:val="en-US" w:eastAsia="zh-CN"/>
                      <w14:textFill>
                        <w14:solidFill>
                          <w14:schemeClr w14:val="tx1"/>
                        </w14:solidFill>
                      </w14:textFill>
                    </w:rPr>
                    <w:t>项目</w:t>
                  </w:r>
                </w:p>
              </w:tc>
              <w:tc>
                <w:tcPr>
                  <w:tcW w:w="3664" w:type="dxa"/>
                  <w:noWrap w:val="0"/>
                  <w:vAlign w:val="top"/>
                </w:tcPr>
                <w:p w14:paraId="2B88A567">
                  <w:pPr>
                    <w:pStyle w:val="116"/>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cs="Times New Roman"/>
                      <w:color w:val="000000" w:themeColor="text1"/>
                      <w:spacing w:val="-1"/>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pacing w:val="-1"/>
                      <w:sz w:val="21"/>
                      <w:szCs w:val="21"/>
                      <w:highlight w:val="none"/>
                      <w:vertAlign w:val="baseline"/>
                      <w:lang w:val="en-US" w:eastAsia="zh-CN"/>
                      <w14:textFill>
                        <w14:solidFill>
                          <w14:schemeClr w14:val="tx1"/>
                        </w14:solidFill>
                      </w14:textFill>
                    </w:rPr>
                    <w:t>TT</w:t>
                  </w:r>
                </w:p>
              </w:tc>
            </w:tr>
            <w:tr w14:paraId="68026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8" w:type="dxa"/>
                  <w:noWrap w:val="0"/>
                  <w:vAlign w:val="top"/>
                </w:tcPr>
                <w:p w14:paraId="66533FA2">
                  <w:pPr>
                    <w:pStyle w:val="116"/>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宋体" w:cs="Times New Roman"/>
                      <w:color w:val="000000" w:themeColor="text1"/>
                      <w:spacing w:val="-1"/>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pacing w:val="-1"/>
                      <w:sz w:val="21"/>
                      <w:szCs w:val="21"/>
                      <w:highlight w:val="none"/>
                      <w:vertAlign w:val="baseline"/>
                      <w:lang w:val="en-US" w:eastAsia="zh-CN"/>
                      <w14:textFill>
                        <w14:solidFill>
                          <w14:schemeClr w14:val="tx1"/>
                        </w14:solidFill>
                      </w14:textFill>
                    </w:rPr>
                    <w:t>三氧化二铝（质量分数）/%</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2</w:t>
                  </w:r>
                </w:p>
              </w:tc>
              <w:tc>
                <w:tcPr>
                  <w:tcW w:w="3664" w:type="dxa"/>
                  <w:noWrap w:val="0"/>
                  <w:vAlign w:val="top"/>
                </w:tcPr>
                <w:p w14:paraId="3A78AA3B">
                  <w:pPr>
                    <w:pStyle w:val="116"/>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cs="Times New Roman"/>
                      <w:color w:val="000000" w:themeColor="text1"/>
                      <w:spacing w:val="-1"/>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pacing w:val="-1"/>
                      <w:sz w:val="21"/>
                      <w:szCs w:val="21"/>
                      <w:highlight w:val="none"/>
                      <w:vertAlign w:val="baseline"/>
                      <w:lang w:val="en-US" w:eastAsia="zh-CN"/>
                      <w14:textFill>
                        <w14:solidFill>
                          <w14:schemeClr w14:val="tx1"/>
                        </w14:solidFill>
                      </w14:textFill>
                    </w:rPr>
                    <w:t>36.00</w:t>
                  </w:r>
                </w:p>
              </w:tc>
            </w:tr>
            <w:tr w14:paraId="35413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8" w:type="dxa"/>
                  <w:noWrap w:val="0"/>
                  <w:vAlign w:val="top"/>
                </w:tcPr>
                <w:p w14:paraId="61C1DE0B">
                  <w:pPr>
                    <w:pStyle w:val="116"/>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cs="Times New Roman"/>
                      <w:color w:val="000000" w:themeColor="text1"/>
                      <w:spacing w:val="-1"/>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pacing w:val="-1"/>
                      <w:sz w:val="21"/>
                      <w:szCs w:val="21"/>
                      <w:highlight w:val="none"/>
                      <w:vertAlign w:val="baseline"/>
                      <w:lang w:val="en-US" w:eastAsia="zh-CN"/>
                      <w14:textFill>
                        <w14:solidFill>
                          <w14:schemeClr w14:val="tx1"/>
                        </w14:solidFill>
                      </w14:textFill>
                    </w:rPr>
                    <w:t>三氧化二铁含量（质量分数）/%</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w:t>
                  </w:r>
                </w:p>
              </w:tc>
              <w:tc>
                <w:tcPr>
                  <w:tcW w:w="3664" w:type="dxa"/>
                  <w:noWrap w:val="0"/>
                  <w:vAlign w:val="top"/>
                </w:tcPr>
                <w:p w14:paraId="2643C499">
                  <w:pPr>
                    <w:pStyle w:val="116"/>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cs="Times New Roman"/>
                      <w:color w:val="000000" w:themeColor="text1"/>
                      <w:spacing w:val="-1"/>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pacing w:val="-1"/>
                      <w:sz w:val="21"/>
                      <w:szCs w:val="21"/>
                      <w:highlight w:val="none"/>
                      <w:vertAlign w:val="baseline"/>
                      <w:lang w:val="en-US" w:eastAsia="zh-CN"/>
                      <w14:textFill>
                        <w14:solidFill>
                          <w14:schemeClr w14:val="tx1"/>
                        </w14:solidFill>
                      </w14:textFill>
                    </w:rPr>
                    <w:t>0.8</w:t>
                  </w:r>
                </w:p>
              </w:tc>
            </w:tr>
            <w:tr w14:paraId="695C2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8" w:type="dxa"/>
                  <w:noWrap w:val="0"/>
                  <w:vAlign w:val="top"/>
                </w:tcPr>
                <w:p w14:paraId="2C67DDEF">
                  <w:pPr>
                    <w:pStyle w:val="116"/>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cs="Times New Roman"/>
                      <w:color w:val="000000" w:themeColor="text1"/>
                      <w:spacing w:val="-1"/>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pacing w:val="-1"/>
                      <w:sz w:val="21"/>
                      <w:szCs w:val="21"/>
                      <w:highlight w:val="none"/>
                      <w:vertAlign w:val="baseline"/>
                      <w:lang w:val="en-US" w:eastAsia="zh-CN"/>
                      <w14:textFill>
                        <w14:solidFill>
                          <w14:schemeClr w14:val="tx1"/>
                        </w14:solidFill>
                      </w14:textFill>
                    </w:rPr>
                    <w:t>三氧化硫含量（质量分数）/%</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w:t>
                  </w:r>
                </w:p>
              </w:tc>
              <w:tc>
                <w:tcPr>
                  <w:tcW w:w="3664" w:type="dxa"/>
                  <w:noWrap w:val="0"/>
                  <w:vAlign w:val="top"/>
                </w:tcPr>
                <w:p w14:paraId="37E553B9">
                  <w:pPr>
                    <w:pStyle w:val="116"/>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cs="Times New Roman"/>
                      <w:color w:val="000000" w:themeColor="text1"/>
                      <w:spacing w:val="-1"/>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pacing w:val="-1"/>
                      <w:sz w:val="21"/>
                      <w:szCs w:val="21"/>
                      <w:highlight w:val="none"/>
                      <w:vertAlign w:val="baseline"/>
                      <w:lang w:val="en-US" w:eastAsia="zh-CN"/>
                      <w14:textFill>
                        <w14:solidFill>
                          <w14:schemeClr w14:val="tx1"/>
                        </w14:solidFill>
                      </w14:textFill>
                    </w:rPr>
                    <w:t>1.5</w:t>
                  </w:r>
                </w:p>
              </w:tc>
            </w:tr>
            <w:tr w14:paraId="7C587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648" w:type="dxa"/>
                  <w:noWrap w:val="0"/>
                  <w:vAlign w:val="top"/>
                </w:tcPr>
                <w:p w14:paraId="531740F7">
                  <w:pPr>
                    <w:pStyle w:val="116"/>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cs="Times New Roman"/>
                      <w:color w:val="000000" w:themeColor="text1"/>
                      <w:spacing w:val="-1"/>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pacing w:val="-1"/>
                      <w:sz w:val="21"/>
                      <w:szCs w:val="21"/>
                      <w:highlight w:val="none"/>
                      <w:vertAlign w:val="baseline"/>
                      <w:lang w:val="en-US" w:eastAsia="zh-CN"/>
                      <w14:textFill>
                        <w14:solidFill>
                          <w14:schemeClr w14:val="tx1"/>
                        </w14:solidFill>
                      </w14:textFill>
                    </w:rPr>
                    <w:t>白度/%</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w:t>
                  </w:r>
                </w:p>
              </w:tc>
              <w:tc>
                <w:tcPr>
                  <w:tcW w:w="3664" w:type="dxa"/>
                  <w:noWrap w:val="0"/>
                  <w:vAlign w:val="top"/>
                </w:tcPr>
                <w:p w14:paraId="19C537C4">
                  <w:pPr>
                    <w:pStyle w:val="116"/>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cs="Times New Roman"/>
                      <w:color w:val="000000" w:themeColor="text1"/>
                      <w:spacing w:val="-1"/>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pacing w:val="-1"/>
                      <w:sz w:val="21"/>
                      <w:szCs w:val="21"/>
                      <w:highlight w:val="none"/>
                      <w:vertAlign w:val="baseline"/>
                      <w:lang w:val="en-US" w:eastAsia="zh-CN"/>
                      <w14:textFill>
                        <w14:solidFill>
                          <w14:schemeClr w14:val="tx1"/>
                        </w14:solidFill>
                      </w14:textFill>
                    </w:rPr>
                    <w:t>78.0</w:t>
                  </w:r>
                </w:p>
              </w:tc>
            </w:tr>
            <w:tr w14:paraId="479CE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8" w:type="dxa"/>
                  <w:noWrap w:val="0"/>
                  <w:vAlign w:val="top"/>
                </w:tcPr>
                <w:p w14:paraId="29EDED2C">
                  <w:pPr>
                    <w:pStyle w:val="116"/>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cs="Times New Roman"/>
                      <w:color w:val="000000" w:themeColor="text1"/>
                      <w:spacing w:val="-1"/>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pacing w:val="-1"/>
                      <w:sz w:val="21"/>
                      <w:szCs w:val="21"/>
                      <w:highlight w:val="none"/>
                      <w:vertAlign w:val="baseline"/>
                      <w:lang w:val="en-US" w:eastAsia="zh-CN"/>
                      <w14:textFill>
                        <w14:solidFill>
                          <w14:schemeClr w14:val="tx1"/>
                        </w14:solidFill>
                      </w14:textFill>
                    </w:rPr>
                    <w:t>45微m筛余量/%</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w:t>
                  </w:r>
                </w:p>
              </w:tc>
              <w:tc>
                <w:tcPr>
                  <w:tcW w:w="3664" w:type="dxa"/>
                  <w:noWrap w:val="0"/>
                  <w:vAlign w:val="top"/>
                </w:tcPr>
                <w:p w14:paraId="0DCACDD2">
                  <w:pPr>
                    <w:pStyle w:val="116"/>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cs="Times New Roman"/>
                      <w:color w:val="000000" w:themeColor="text1"/>
                      <w:spacing w:val="-1"/>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pacing w:val="-1"/>
                      <w:sz w:val="21"/>
                      <w:szCs w:val="21"/>
                      <w:highlight w:val="none"/>
                      <w:vertAlign w:val="baseline"/>
                      <w:lang w:val="en-US" w:eastAsia="zh-CN"/>
                      <w14:textFill>
                        <w14:solidFill>
                          <w14:schemeClr w14:val="tx1"/>
                        </w14:solidFill>
                      </w14:textFill>
                    </w:rPr>
                    <w:t>0.07</w:t>
                  </w:r>
                </w:p>
              </w:tc>
            </w:tr>
            <w:tr w14:paraId="7FA62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8" w:type="dxa"/>
                  <w:noWrap w:val="0"/>
                  <w:vAlign w:val="top"/>
                </w:tcPr>
                <w:p w14:paraId="4195A922">
                  <w:pPr>
                    <w:pStyle w:val="116"/>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cs="Times New Roman"/>
                      <w:color w:val="000000" w:themeColor="text1"/>
                      <w:spacing w:val="-1"/>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pacing w:val="-1"/>
                      <w:sz w:val="21"/>
                      <w:szCs w:val="21"/>
                      <w:highlight w:val="none"/>
                      <w:vertAlign w:val="baseline"/>
                      <w:lang w:val="en-US" w:eastAsia="zh-CN"/>
                      <w14:textFill>
                        <w14:solidFill>
                          <w14:schemeClr w14:val="tx1"/>
                        </w14:solidFill>
                      </w14:textFill>
                    </w:rPr>
                    <w:t>悬浮物/ml</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w:t>
                  </w:r>
                </w:p>
              </w:tc>
              <w:tc>
                <w:tcPr>
                  <w:tcW w:w="3664" w:type="dxa"/>
                  <w:noWrap w:val="0"/>
                  <w:vAlign w:val="top"/>
                </w:tcPr>
                <w:p w14:paraId="0649314D">
                  <w:pPr>
                    <w:pStyle w:val="116"/>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cs="Times New Roman"/>
                      <w:color w:val="000000" w:themeColor="text1"/>
                      <w:spacing w:val="-1"/>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pacing w:val="-1"/>
                      <w:sz w:val="21"/>
                      <w:szCs w:val="21"/>
                      <w:highlight w:val="none"/>
                      <w:vertAlign w:val="baseline"/>
                      <w:lang w:val="en-US" w:eastAsia="zh-CN"/>
                      <w14:textFill>
                        <w14:solidFill>
                          <w14:schemeClr w14:val="tx1"/>
                        </w14:solidFill>
                      </w14:textFill>
                    </w:rPr>
                    <w:t>60</w:t>
                  </w:r>
                </w:p>
              </w:tc>
            </w:tr>
          </w:tbl>
          <w:p w14:paraId="5A499135">
            <w:pPr>
              <w:ind w:firstLine="470" w:firstLineChars="200"/>
              <w:jc w:val="center"/>
              <w:rPr>
                <w:rFonts w:hint="default" w:ascii="Times New Roman" w:hAnsi="Times New Roman" w:eastAsia="宋体" w:cs="Times New Roman"/>
                <w:b/>
                <w:bCs/>
                <w:color w:val="000000" w:themeColor="text1"/>
                <w:spacing w:val="-3"/>
                <w:sz w:val="24"/>
                <w:szCs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pacing w:val="-3"/>
                <w:sz w:val="24"/>
                <w:szCs w:val="24"/>
                <w:highlight w:val="none"/>
                <w:lang w:val="en-US" w:eastAsia="zh-CN"/>
                <w14:textFill>
                  <w14:solidFill>
                    <w14:schemeClr w14:val="tx1"/>
                  </w14:solidFill>
                </w14:textFill>
              </w:rPr>
              <w:t>表2-6陶瓷工业用高岭土和煅烧高岭土产品理化性能要求</w:t>
            </w:r>
          </w:p>
          <w:tbl>
            <w:tblPr>
              <w:tblStyle w:val="25"/>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99"/>
              <w:gridCol w:w="1889"/>
              <w:gridCol w:w="1889"/>
            </w:tblGrid>
            <w:tr w14:paraId="2E09B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pct"/>
                  <w:noWrap w:val="0"/>
                  <w:vAlign w:val="top"/>
                </w:tcPr>
                <w:p w14:paraId="7FD849F1">
                  <w:pPr>
                    <w:pStyle w:val="116"/>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cs="Times New Roman"/>
                      <w:color w:val="000000" w:themeColor="text1"/>
                      <w:spacing w:val="-1"/>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pacing w:val="-1"/>
                      <w:sz w:val="21"/>
                      <w:szCs w:val="21"/>
                      <w:highlight w:val="none"/>
                      <w:vertAlign w:val="baseline"/>
                      <w:lang w:val="en-US" w:eastAsia="zh-CN"/>
                      <w14:textFill>
                        <w14:solidFill>
                          <w14:schemeClr w14:val="tx1"/>
                        </w14:solidFill>
                      </w14:textFill>
                    </w:rPr>
                    <w:t>项目</w:t>
                  </w:r>
                </w:p>
              </w:tc>
              <w:tc>
                <w:tcPr>
                  <w:tcW w:w="1127" w:type="pct"/>
                  <w:noWrap w:val="0"/>
                  <w:vAlign w:val="top"/>
                </w:tcPr>
                <w:p w14:paraId="78D1BE3D">
                  <w:pPr>
                    <w:pStyle w:val="116"/>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cs="Times New Roman"/>
                      <w:color w:val="000000" w:themeColor="text1"/>
                      <w:spacing w:val="-1"/>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pacing w:val="-1"/>
                      <w:sz w:val="21"/>
                      <w:szCs w:val="21"/>
                      <w:highlight w:val="none"/>
                      <w:vertAlign w:val="baseline"/>
                      <w:lang w:val="en-US" w:eastAsia="zh-CN"/>
                      <w14:textFill>
                        <w14:solidFill>
                          <w14:schemeClr w14:val="tx1"/>
                        </w14:solidFill>
                      </w14:textFill>
                    </w:rPr>
                    <w:t>TC</w:t>
                  </w:r>
                </w:p>
              </w:tc>
              <w:tc>
                <w:tcPr>
                  <w:tcW w:w="1127" w:type="pct"/>
                  <w:noWrap w:val="0"/>
                  <w:vAlign w:val="top"/>
                </w:tcPr>
                <w:p w14:paraId="23A39826">
                  <w:pPr>
                    <w:pStyle w:val="116"/>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cs="Times New Roman"/>
                      <w:color w:val="000000" w:themeColor="text1"/>
                      <w:spacing w:val="-1"/>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pacing w:val="-1"/>
                      <w:sz w:val="21"/>
                      <w:szCs w:val="21"/>
                      <w:highlight w:val="none"/>
                      <w:vertAlign w:val="baseline"/>
                      <w:lang w:val="en-US" w:eastAsia="zh-CN"/>
                      <w14:textFill>
                        <w14:solidFill>
                          <w14:schemeClr w14:val="tx1"/>
                        </w14:solidFill>
                      </w14:textFill>
                    </w:rPr>
                    <w:t>TC-(D)</w:t>
                  </w:r>
                </w:p>
              </w:tc>
            </w:tr>
            <w:tr w14:paraId="66D20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pct"/>
                  <w:noWrap w:val="0"/>
                  <w:vAlign w:val="top"/>
                </w:tcPr>
                <w:p w14:paraId="45F361D1">
                  <w:pPr>
                    <w:pStyle w:val="116"/>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cs="Times New Roman"/>
                      <w:color w:val="000000" w:themeColor="text1"/>
                      <w:spacing w:val="-1"/>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pacing w:val="-1"/>
                      <w:sz w:val="21"/>
                      <w:szCs w:val="21"/>
                      <w:highlight w:val="none"/>
                      <w:vertAlign w:val="baseline"/>
                      <w:lang w:val="en-US" w:eastAsia="zh-CN"/>
                      <w14:textFill>
                        <w14:solidFill>
                          <w14:schemeClr w14:val="tx1"/>
                        </w14:solidFill>
                      </w14:textFill>
                    </w:rPr>
                    <w:t>三氧化二铝（质量分数）/%</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w:t>
                  </w:r>
                </w:p>
              </w:tc>
              <w:tc>
                <w:tcPr>
                  <w:tcW w:w="1127" w:type="pct"/>
                  <w:noWrap w:val="0"/>
                  <w:vAlign w:val="top"/>
                </w:tcPr>
                <w:p w14:paraId="342E4E65">
                  <w:pPr>
                    <w:pStyle w:val="116"/>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cs="Times New Roman"/>
                      <w:color w:val="000000" w:themeColor="text1"/>
                      <w:spacing w:val="-1"/>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pacing w:val="-1"/>
                      <w:sz w:val="21"/>
                      <w:szCs w:val="21"/>
                      <w:highlight w:val="none"/>
                      <w:vertAlign w:val="baseline"/>
                      <w:lang w:val="en-US" w:eastAsia="zh-CN"/>
                      <w14:textFill>
                        <w14:solidFill>
                          <w14:schemeClr w14:val="tx1"/>
                        </w14:solidFill>
                      </w14:textFill>
                    </w:rPr>
                    <w:t>28.00</w:t>
                  </w:r>
                </w:p>
              </w:tc>
              <w:tc>
                <w:tcPr>
                  <w:tcW w:w="1127" w:type="pct"/>
                  <w:noWrap w:val="0"/>
                  <w:vAlign w:val="top"/>
                </w:tcPr>
                <w:p w14:paraId="0FCD6461">
                  <w:pPr>
                    <w:pStyle w:val="116"/>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cs="Times New Roman"/>
                      <w:color w:val="000000" w:themeColor="text1"/>
                      <w:spacing w:val="-1"/>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pacing w:val="-1"/>
                      <w:sz w:val="21"/>
                      <w:szCs w:val="21"/>
                      <w:highlight w:val="none"/>
                      <w:vertAlign w:val="baseline"/>
                      <w:lang w:val="en-US" w:eastAsia="zh-CN"/>
                      <w14:textFill>
                        <w14:solidFill>
                          <w14:schemeClr w14:val="tx1"/>
                        </w14:solidFill>
                      </w14:textFill>
                    </w:rPr>
                    <w:t>42.0</w:t>
                  </w:r>
                </w:p>
              </w:tc>
            </w:tr>
            <w:tr w14:paraId="1B5C4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pct"/>
                  <w:noWrap w:val="0"/>
                  <w:vAlign w:val="top"/>
                </w:tcPr>
                <w:p w14:paraId="55BB274E">
                  <w:pPr>
                    <w:pStyle w:val="116"/>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cs="Times New Roman"/>
                      <w:color w:val="000000" w:themeColor="text1"/>
                      <w:spacing w:val="-1"/>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pacing w:val="-1"/>
                      <w:sz w:val="21"/>
                      <w:szCs w:val="21"/>
                      <w:highlight w:val="none"/>
                      <w:vertAlign w:val="baseline"/>
                      <w:lang w:val="en-US" w:eastAsia="zh-CN"/>
                      <w14:textFill>
                        <w14:solidFill>
                          <w14:schemeClr w14:val="tx1"/>
                        </w14:solidFill>
                      </w14:textFill>
                    </w:rPr>
                    <w:t>三氧化二铁含量（质量分数）/%</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w:t>
                  </w:r>
                </w:p>
              </w:tc>
              <w:tc>
                <w:tcPr>
                  <w:tcW w:w="1127" w:type="pct"/>
                  <w:noWrap w:val="0"/>
                  <w:vAlign w:val="top"/>
                </w:tcPr>
                <w:p w14:paraId="4CF20AB8">
                  <w:pPr>
                    <w:pStyle w:val="116"/>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cs="Times New Roman"/>
                      <w:color w:val="000000" w:themeColor="text1"/>
                      <w:spacing w:val="-1"/>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pacing w:val="-1"/>
                      <w:sz w:val="21"/>
                      <w:szCs w:val="21"/>
                      <w:highlight w:val="none"/>
                      <w:vertAlign w:val="baseline"/>
                      <w:lang w:val="en-US" w:eastAsia="zh-CN"/>
                      <w14:textFill>
                        <w14:solidFill>
                          <w14:schemeClr w14:val="tx1"/>
                        </w14:solidFill>
                      </w14:textFill>
                    </w:rPr>
                    <w:t>1.5</w:t>
                  </w:r>
                </w:p>
              </w:tc>
              <w:tc>
                <w:tcPr>
                  <w:tcW w:w="1127" w:type="pct"/>
                  <w:noWrap w:val="0"/>
                  <w:vAlign w:val="top"/>
                </w:tcPr>
                <w:p w14:paraId="3D545A34">
                  <w:pPr>
                    <w:pStyle w:val="116"/>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cs="Times New Roman"/>
                      <w:color w:val="000000" w:themeColor="text1"/>
                      <w:spacing w:val="-1"/>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pacing w:val="-1"/>
                      <w:sz w:val="21"/>
                      <w:szCs w:val="21"/>
                      <w:highlight w:val="none"/>
                      <w:vertAlign w:val="baseline"/>
                      <w:lang w:val="en-US" w:eastAsia="zh-CN"/>
                      <w14:textFill>
                        <w14:solidFill>
                          <w14:schemeClr w14:val="tx1"/>
                        </w14:solidFill>
                      </w14:textFill>
                    </w:rPr>
                    <w:t>0.8</w:t>
                  </w:r>
                </w:p>
              </w:tc>
            </w:tr>
            <w:tr w14:paraId="2BF66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pct"/>
                  <w:noWrap w:val="0"/>
                  <w:vAlign w:val="top"/>
                </w:tcPr>
                <w:p w14:paraId="0F163589">
                  <w:pPr>
                    <w:pStyle w:val="116"/>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cs="Times New Roman"/>
                      <w:color w:val="000000" w:themeColor="text1"/>
                      <w:spacing w:val="-1"/>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pacing w:val="-1"/>
                      <w:sz w:val="21"/>
                      <w:szCs w:val="21"/>
                      <w:highlight w:val="none"/>
                      <w:vertAlign w:val="baseline"/>
                      <w:lang w:val="en-US" w:eastAsia="zh-CN"/>
                      <w14:textFill>
                        <w14:solidFill>
                          <w14:schemeClr w14:val="tx1"/>
                        </w14:solidFill>
                      </w14:textFill>
                    </w:rPr>
                    <w:t>二氧化钛含量（质量分数）/%</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w:t>
                  </w:r>
                </w:p>
              </w:tc>
              <w:tc>
                <w:tcPr>
                  <w:tcW w:w="1127" w:type="pct"/>
                  <w:noWrap w:val="0"/>
                  <w:vAlign w:val="top"/>
                </w:tcPr>
                <w:p w14:paraId="4BF14D57">
                  <w:pPr>
                    <w:pStyle w:val="116"/>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cs="Times New Roman"/>
                      <w:color w:val="000000" w:themeColor="text1"/>
                      <w:spacing w:val="-1"/>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pacing w:val="-1"/>
                      <w:sz w:val="21"/>
                      <w:szCs w:val="21"/>
                      <w:highlight w:val="none"/>
                      <w:vertAlign w:val="baseline"/>
                      <w:lang w:val="en-US" w:eastAsia="zh-CN"/>
                      <w14:textFill>
                        <w14:solidFill>
                          <w14:schemeClr w14:val="tx1"/>
                        </w14:solidFill>
                      </w14:textFill>
                    </w:rPr>
                    <w:t>0.4</w:t>
                  </w:r>
                </w:p>
              </w:tc>
              <w:tc>
                <w:tcPr>
                  <w:tcW w:w="1127" w:type="pct"/>
                  <w:noWrap w:val="0"/>
                  <w:vAlign w:val="top"/>
                </w:tcPr>
                <w:p w14:paraId="12695920">
                  <w:pPr>
                    <w:pStyle w:val="116"/>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cs="Times New Roman"/>
                      <w:color w:val="000000" w:themeColor="text1"/>
                      <w:spacing w:val="-1"/>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pacing w:val="-1"/>
                      <w:sz w:val="21"/>
                      <w:szCs w:val="21"/>
                      <w:highlight w:val="none"/>
                      <w:vertAlign w:val="baseline"/>
                      <w:lang w:val="en-US" w:eastAsia="zh-CN"/>
                      <w14:textFill>
                        <w14:solidFill>
                          <w14:schemeClr w14:val="tx1"/>
                        </w14:solidFill>
                      </w14:textFill>
                    </w:rPr>
                    <w:t>1.5</w:t>
                  </w:r>
                </w:p>
              </w:tc>
            </w:tr>
            <w:tr w14:paraId="63026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pct"/>
                  <w:noWrap w:val="0"/>
                  <w:vAlign w:val="top"/>
                </w:tcPr>
                <w:p w14:paraId="3581564E">
                  <w:pPr>
                    <w:pStyle w:val="116"/>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cs="Times New Roman"/>
                      <w:color w:val="000000" w:themeColor="text1"/>
                      <w:spacing w:val="-1"/>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pacing w:val="-1"/>
                      <w:sz w:val="21"/>
                      <w:szCs w:val="21"/>
                      <w:highlight w:val="none"/>
                      <w:vertAlign w:val="baseline"/>
                      <w:lang w:val="en-US" w:eastAsia="zh-CN"/>
                      <w14:textFill>
                        <w14:solidFill>
                          <w14:schemeClr w14:val="tx1"/>
                        </w14:solidFill>
                      </w14:textFill>
                    </w:rPr>
                    <w:t>三氧化硫含量（质量分数）/%</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w:t>
                  </w:r>
                </w:p>
              </w:tc>
              <w:tc>
                <w:tcPr>
                  <w:tcW w:w="1127" w:type="pct"/>
                  <w:noWrap w:val="0"/>
                  <w:vAlign w:val="top"/>
                </w:tcPr>
                <w:p w14:paraId="737AC6D5">
                  <w:pPr>
                    <w:pStyle w:val="116"/>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cs="Times New Roman"/>
                      <w:color w:val="000000" w:themeColor="text1"/>
                      <w:spacing w:val="-1"/>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pacing w:val="-1"/>
                      <w:sz w:val="21"/>
                      <w:szCs w:val="21"/>
                      <w:highlight w:val="none"/>
                      <w:vertAlign w:val="baseline"/>
                      <w:lang w:val="en-US" w:eastAsia="zh-CN"/>
                      <w14:textFill>
                        <w14:solidFill>
                          <w14:schemeClr w14:val="tx1"/>
                        </w14:solidFill>
                      </w14:textFill>
                    </w:rPr>
                    <w:t>0.8</w:t>
                  </w:r>
                </w:p>
              </w:tc>
              <w:tc>
                <w:tcPr>
                  <w:tcW w:w="1127" w:type="pct"/>
                  <w:noWrap w:val="0"/>
                  <w:vAlign w:val="top"/>
                </w:tcPr>
                <w:p w14:paraId="09E46383">
                  <w:pPr>
                    <w:pStyle w:val="116"/>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cs="Times New Roman"/>
                      <w:color w:val="000000" w:themeColor="text1"/>
                      <w:spacing w:val="-1"/>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pacing w:val="-1"/>
                      <w:sz w:val="21"/>
                      <w:szCs w:val="21"/>
                      <w:highlight w:val="none"/>
                      <w:vertAlign w:val="baseline"/>
                      <w:lang w:val="en-US" w:eastAsia="zh-CN"/>
                      <w14:textFill>
                        <w14:solidFill>
                          <w14:schemeClr w14:val="tx1"/>
                        </w14:solidFill>
                      </w14:textFill>
                    </w:rPr>
                    <w:t>-</w:t>
                  </w:r>
                </w:p>
              </w:tc>
            </w:tr>
            <w:tr w14:paraId="49BFD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pct"/>
                  <w:noWrap w:val="0"/>
                  <w:vAlign w:val="top"/>
                </w:tcPr>
                <w:p w14:paraId="41869D6D">
                  <w:pPr>
                    <w:pStyle w:val="116"/>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cs="Times New Roman"/>
                      <w:color w:val="000000" w:themeColor="text1"/>
                      <w:spacing w:val="-1"/>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pacing w:val="-1"/>
                      <w:sz w:val="21"/>
                      <w:szCs w:val="21"/>
                      <w:highlight w:val="none"/>
                      <w:vertAlign w:val="baseline"/>
                      <w:lang w:val="en-US" w:eastAsia="zh-CN"/>
                      <w14:textFill>
                        <w14:solidFill>
                          <w14:schemeClr w14:val="tx1"/>
                        </w14:solidFill>
                      </w14:textFill>
                    </w:rPr>
                    <w:t>63微米筛余量/%</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w:t>
                  </w:r>
                </w:p>
              </w:tc>
              <w:tc>
                <w:tcPr>
                  <w:tcW w:w="1127" w:type="pct"/>
                  <w:noWrap w:val="0"/>
                  <w:vAlign w:val="top"/>
                </w:tcPr>
                <w:p w14:paraId="4B36E4B1">
                  <w:pPr>
                    <w:pStyle w:val="116"/>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cs="Times New Roman"/>
                      <w:color w:val="000000" w:themeColor="text1"/>
                      <w:spacing w:val="-1"/>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pacing w:val="-1"/>
                      <w:sz w:val="21"/>
                      <w:szCs w:val="21"/>
                      <w:highlight w:val="none"/>
                      <w:vertAlign w:val="baseline"/>
                      <w:lang w:val="en-US" w:eastAsia="zh-CN"/>
                      <w14:textFill>
                        <w14:solidFill>
                          <w14:schemeClr w14:val="tx1"/>
                        </w14:solidFill>
                      </w14:textFill>
                    </w:rPr>
                    <w:t>1.0</w:t>
                  </w:r>
                </w:p>
              </w:tc>
              <w:tc>
                <w:tcPr>
                  <w:tcW w:w="1127" w:type="pct"/>
                  <w:noWrap w:val="0"/>
                  <w:vAlign w:val="top"/>
                </w:tcPr>
                <w:p w14:paraId="10E19638">
                  <w:pPr>
                    <w:pStyle w:val="116"/>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cs="Times New Roman"/>
                      <w:color w:val="000000" w:themeColor="text1"/>
                      <w:spacing w:val="-1"/>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pacing w:val="-1"/>
                      <w:sz w:val="21"/>
                      <w:szCs w:val="21"/>
                      <w:highlight w:val="none"/>
                      <w:vertAlign w:val="baseline"/>
                      <w:lang w:val="en-US" w:eastAsia="zh-CN"/>
                      <w14:textFill>
                        <w14:solidFill>
                          <w14:schemeClr w14:val="tx1"/>
                        </w14:solidFill>
                      </w14:textFill>
                    </w:rPr>
                    <w:t>-</w:t>
                  </w:r>
                </w:p>
              </w:tc>
            </w:tr>
          </w:tbl>
          <w:p w14:paraId="474A27E1">
            <w:pPr>
              <w:ind w:firstLine="470" w:firstLineChars="200"/>
              <w:jc w:val="center"/>
              <w:rPr>
                <w:rFonts w:hint="default" w:ascii="Times New Roman" w:hAnsi="Times New Roman" w:eastAsia="宋体" w:cs="Times New Roman"/>
                <w:b/>
                <w:bCs/>
                <w:color w:val="000000" w:themeColor="text1"/>
                <w:spacing w:val="-3"/>
                <w:sz w:val="24"/>
                <w:szCs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pacing w:val="-3"/>
                <w:sz w:val="24"/>
                <w:szCs w:val="24"/>
                <w:highlight w:val="none"/>
                <w:lang w:val="en-US" w:eastAsia="zh-CN"/>
                <w14:textFill>
                  <w14:solidFill>
                    <w14:schemeClr w14:val="tx1"/>
                  </w14:solidFill>
                </w14:textFill>
              </w:rPr>
              <w:t>表2-7各类高岭土产品的水分含量</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6"/>
              <w:gridCol w:w="4156"/>
            </w:tblGrid>
            <w:tr w14:paraId="44A25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6" w:type="dxa"/>
                  <w:noWrap w:val="0"/>
                  <w:vAlign w:val="top"/>
                </w:tcPr>
                <w:p w14:paraId="45F0644D">
                  <w:pPr>
                    <w:pStyle w:val="116"/>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cs="Times New Roman"/>
                      <w:color w:val="000000" w:themeColor="text1"/>
                      <w:spacing w:val="-1"/>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pacing w:val="-1"/>
                      <w:sz w:val="21"/>
                      <w:szCs w:val="21"/>
                      <w:highlight w:val="none"/>
                      <w:vertAlign w:val="baseline"/>
                      <w:lang w:val="en-US" w:eastAsia="zh-CN"/>
                      <w14:textFill>
                        <w14:solidFill>
                          <w14:schemeClr w14:val="tx1"/>
                        </w14:solidFill>
                      </w14:textFill>
                    </w:rPr>
                    <w:t>产品形态</w:t>
                  </w:r>
                </w:p>
              </w:tc>
              <w:tc>
                <w:tcPr>
                  <w:tcW w:w="4156" w:type="dxa"/>
                  <w:noWrap w:val="0"/>
                  <w:vAlign w:val="top"/>
                </w:tcPr>
                <w:p w14:paraId="290F0557">
                  <w:pPr>
                    <w:pStyle w:val="116"/>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cs="Times New Roman"/>
                      <w:color w:val="000000" w:themeColor="text1"/>
                      <w:spacing w:val="-1"/>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pacing w:val="-1"/>
                      <w:sz w:val="21"/>
                      <w:szCs w:val="21"/>
                      <w:highlight w:val="none"/>
                      <w:vertAlign w:val="baseline"/>
                      <w:lang w:val="en-US" w:eastAsia="zh-CN"/>
                      <w14:textFill>
                        <w14:solidFill>
                          <w14:schemeClr w14:val="tx1"/>
                        </w14:solidFill>
                      </w14:textFill>
                    </w:rPr>
                    <w:t>水分含量要求%/</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w:t>
                  </w:r>
                </w:p>
              </w:tc>
            </w:tr>
            <w:tr w14:paraId="28651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6" w:type="dxa"/>
                  <w:noWrap w:val="0"/>
                  <w:vAlign w:val="top"/>
                </w:tcPr>
                <w:p w14:paraId="4B1487FC">
                  <w:pPr>
                    <w:pStyle w:val="116"/>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cs="Times New Roman"/>
                      <w:color w:val="000000" w:themeColor="text1"/>
                      <w:spacing w:val="-1"/>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pacing w:val="-1"/>
                      <w:sz w:val="21"/>
                      <w:szCs w:val="21"/>
                      <w:highlight w:val="none"/>
                      <w:vertAlign w:val="baseline"/>
                      <w:lang w:val="en-US" w:eastAsia="zh-CN"/>
                      <w14:textFill>
                        <w14:solidFill>
                          <w14:schemeClr w14:val="tx1"/>
                        </w14:solidFill>
                      </w14:textFill>
                    </w:rPr>
                    <w:t>膏状</w:t>
                  </w:r>
                </w:p>
              </w:tc>
              <w:tc>
                <w:tcPr>
                  <w:tcW w:w="4156" w:type="dxa"/>
                  <w:noWrap w:val="0"/>
                  <w:vAlign w:val="top"/>
                </w:tcPr>
                <w:p w14:paraId="7F09E1EB">
                  <w:pPr>
                    <w:pStyle w:val="116"/>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cs="Times New Roman"/>
                      <w:color w:val="000000" w:themeColor="text1"/>
                      <w:spacing w:val="-1"/>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pacing w:val="-1"/>
                      <w:sz w:val="21"/>
                      <w:szCs w:val="21"/>
                      <w:highlight w:val="none"/>
                      <w:vertAlign w:val="baseline"/>
                      <w:lang w:val="en-US" w:eastAsia="zh-CN"/>
                      <w14:textFill>
                        <w14:solidFill>
                          <w14:schemeClr w14:val="tx1"/>
                        </w14:solidFill>
                      </w14:textFill>
                    </w:rPr>
                    <w:t>35.0</w:t>
                  </w:r>
                </w:p>
              </w:tc>
            </w:tr>
            <w:tr w14:paraId="1C0FF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6" w:type="dxa"/>
                  <w:noWrap w:val="0"/>
                  <w:vAlign w:val="top"/>
                </w:tcPr>
                <w:p w14:paraId="7947E073">
                  <w:pPr>
                    <w:pStyle w:val="116"/>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cs="Times New Roman"/>
                      <w:color w:val="000000" w:themeColor="text1"/>
                      <w:spacing w:val="-1"/>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pacing w:val="-1"/>
                      <w:sz w:val="21"/>
                      <w:szCs w:val="21"/>
                      <w:highlight w:val="none"/>
                      <w:vertAlign w:val="baseline"/>
                      <w:lang w:val="en-US" w:eastAsia="zh-CN"/>
                      <w14:textFill>
                        <w14:solidFill>
                          <w14:schemeClr w14:val="tx1"/>
                        </w14:solidFill>
                      </w14:textFill>
                    </w:rPr>
                    <w:t>块（粒）状</w:t>
                  </w:r>
                </w:p>
              </w:tc>
              <w:tc>
                <w:tcPr>
                  <w:tcW w:w="4156" w:type="dxa"/>
                  <w:noWrap w:val="0"/>
                  <w:vAlign w:val="top"/>
                </w:tcPr>
                <w:p w14:paraId="2578308C">
                  <w:pPr>
                    <w:pStyle w:val="116"/>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cs="Times New Roman"/>
                      <w:color w:val="000000" w:themeColor="text1"/>
                      <w:spacing w:val="-1"/>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pacing w:val="-1"/>
                      <w:sz w:val="21"/>
                      <w:szCs w:val="21"/>
                      <w:highlight w:val="none"/>
                      <w:vertAlign w:val="baseline"/>
                      <w:lang w:val="en-US" w:eastAsia="zh-CN"/>
                      <w14:textFill>
                        <w14:solidFill>
                          <w14:schemeClr w14:val="tx1"/>
                        </w14:solidFill>
                      </w14:textFill>
                    </w:rPr>
                    <w:t>18.0</w:t>
                  </w:r>
                </w:p>
              </w:tc>
            </w:tr>
            <w:tr w14:paraId="68E0C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6" w:type="dxa"/>
                  <w:noWrap w:val="0"/>
                  <w:vAlign w:val="top"/>
                </w:tcPr>
                <w:p w14:paraId="2A38C741">
                  <w:pPr>
                    <w:pStyle w:val="116"/>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cs="Times New Roman"/>
                      <w:color w:val="000000" w:themeColor="text1"/>
                      <w:spacing w:val="-1"/>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pacing w:val="-1"/>
                      <w:sz w:val="21"/>
                      <w:szCs w:val="21"/>
                      <w:highlight w:val="none"/>
                      <w:vertAlign w:val="baseline"/>
                      <w:lang w:val="en-US" w:eastAsia="zh-CN"/>
                      <w14:textFill>
                        <w14:solidFill>
                          <w14:schemeClr w14:val="tx1"/>
                        </w14:solidFill>
                      </w14:textFill>
                    </w:rPr>
                    <w:t>粉状</w:t>
                  </w:r>
                </w:p>
              </w:tc>
              <w:tc>
                <w:tcPr>
                  <w:tcW w:w="4156" w:type="dxa"/>
                  <w:noWrap w:val="0"/>
                  <w:vAlign w:val="top"/>
                </w:tcPr>
                <w:p w14:paraId="5C6B7789">
                  <w:pPr>
                    <w:pStyle w:val="116"/>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cs="Times New Roman"/>
                      <w:color w:val="000000" w:themeColor="text1"/>
                      <w:spacing w:val="-1"/>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pacing w:val="-1"/>
                      <w:sz w:val="21"/>
                      <w:szCs w:val="21"/>
                      <w:highlight w:val="none"/>
                      <w:vertAlign w:val="baseline"/>
                      <w:lang w:val="en-US" w:eastAsia="zh-CN"/>
                      <w14:textFill>
                        <w14:solidFill>
                          <w14:schemeClr w14:val="tx1"/>
                        </w14:solidFill>
                      </w14:textFill>
                    </w:rPr>
                    <w:t>10.0</w:t>
                  </w:r>
                </w:p>
              </w:tc>
            </w:tr>
            <w:tr w14:paraId="6A474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6" w:type="dxa"/>
                  <w:noWrap w:val="0"/>
                  <w:vAlign w:val="top"/>
                </w:tcPr>
                <w:p w14:paraId="10494E25">
                  <w:pPr>
                    <w:pStyle w:val="116"/>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cs="Times New Roman"/>
                      <w:color w:val="000000" w:themeColor="text1"/>
                      <w:spacing w:val="-1"/>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pacing w:val="-1"/>
                      <w:sz w:val="21"/>
                      <w:szCs w:val="21"/>
                      <w:highlight w:val="none"/>
                      <w:vertAlign w:val="baseline"/>
                      <w:lang w:val="en-US" w:eastAsia="zh-CN"/>
                      <w14:textFill>
                        <w14:solidFill>
                          <w14:schemeClr w14:val="tx1"/>
                        </w14:solidFill>
                      </w14:textFill>
                    </w:rPr>
                    <w:t>干粉状</w:t>
                  </w:r>
                </w:p>
              </w:tc>
              <w:tc>
                <w:tcPr>
                  <w:tcW w:w="4156" w:type="dxa"/>
                  <w:noWrap w:val="0"/>
                  <w:vAlign w:val="top"/>
                </w:tcPr>
                <w:p w14:paraId="5AAD23CD">
                  <w:pPr>
                    <w:pStyle w:val="116"/>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cs="Times New Roman"/>
                      <w:color w:val="000000" w:themeColor="text1"/>
                      <w:spacing w:val="-1"/>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pacing w:val="-1"/>
                      <w:sz w:val="21"/>
                      <w:szCs w:val="21"/>
                      <w:highlight w:val="none"/>
                      <w:vertAlign w:val="baseline"/>
                      <w:lang w:val="en-US" w:eastAsia="zh-CN"/>
                      <w14:textFill>
                        <w14:solidFill>
                          <w14:schemeClr w14:val="tx1"/>
                        </w14:solidFill>
                      </w14:textFill>
                    </w:rPr>
                    <w:t>2.0</w:t>
                  </w:r>
                </w:p>
              </w:tc>
            </w:tr>
            <w:tr w14:paraId="04ED9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12" w:type="dxa"/>
                  <w:gridSpan w:val="2"/>
                  <w:noWrap w:val="0"/>
                  <w:vAlign w:val="top"/>
                </w:tcPr>
                <w:p w14:paraId="1B97E013">
                  <w:pPr>
                    <w:pStyle w:val="116"/>
                    <w:keepNext w:val="0"/>
                    <w:keepLines w:val="0"/>
                    <w:pageBreakBefore w:val="0"/>
                    <w:widowControl w:val="0"/>
                    <w:kinsoku/>
                    <w:wordWrap/>
                    <w:overflowPunct/>
                    <w:topLinePunct w:val="0"/>
                    <w:autoSpaceDE/>
                    <w:autoSpaceDN/>
                    <w:bidi w:val="0"/>
                    <w:adjustRightInd/>
                    <w:snapToGrid/>
                    <w:spacing w:line="240" w:lineRule="auto"/>
                    <w:ind w:right="0"/>
                    <w:jc w:val="both"/>
                    <w:textAlignment w:val="auto"/>
                    <w:rPr>
                      <w:rFonts w:hint="default" w:ascii="Times New Roman" w:hAnsi="Times New Roman" w:cs="Times New Roman"/>
                      <w:color w:val="000000" w:themeColor="text1"/>
                      <w:spacing w:val="-1"/>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pacing w:val="-1"/>
                      <w:sz w:val="21"/>
                      <w:szCs w:val="21"/>
                      <w:highlight w:val="none"/>
                      <w:vertAlign w:val="baseline"/>
                      <w:lang w:val="en-US" w:eastAsia="zh-CN"/>
                      <w14:textFill>
                        <w14:solidFill>
                          <w14:schemeClr w14:val="tx1"/>
                        </w14:solidFill>
                      </w14:textFill>
                    </w:rPr>
                    <w:t>注：上述要求将作为双方数量补差依据，不作质量验收标准</w:t>
                  </w:r>
                </w:p>
              </w:tc>
            </w:tr>
          </w:tbl>
          <w:p w14:paraId="0EF11A8C">
            <w:pPr>
              <w:ind w:firstLine="470" w:firstLineChars="200"/>
              <w:jc w:val="center"/>
              <w:rPr>
                <w:rFonts w:hint="default" w:ascii="Times New Roman" w:hAnsi="Times New Roman" w:cs="Times New Roman"/>
                <w:b/>
                <w:bCs/>
                <w:color w:val="000000" w:themeColor="text1"/>
                <w:spacing w:val="-3"/>
                <w:sz w:val="23"/>
                <w:szCs w:val="23"/>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pacing w:val="-3"/>
                <w:sz w:val="24"/>
                <w:szCs w:val="24"/>
                <w:highlight w:val="none"/>
                <w14:textFill>
                  <w14:solidFill>
                    <w14:schemeClr w14:val="tx1"/>
                  </w14:solidFill>
                </w14:textFill>
              </w:rPr>
              <w:t>表</w:t>
            </w:r>
            <w:r>
              <w:rPr>
                <w:rFonts w:hint="default" w:ascii="Times New Roman" w:hAnsi="Times New Roman" w:eastAsia="宋体" w:cs="Times New Roman"/>
                <w:b/>
                <w:bCs/>
                <w:color w:val="000000" w:themeColor="text1"/>
                <w:spacing w:val="-3"/>
                <w:sz w:val="24"/>
                <w:szCs w:val="24"/>
                <w:highlight w:val="none"/>
                <w:lang w:val="en-US" w:eastAsia="zh-CN"/>
                <w14:textFill>
                  <w14:solidFill>
                    <w14:schemeClr w14:val="tx1"/>
                  </w14:solidFill>
                </w14:textFill>
              </w:rPr>
              <w:t>2-8</w:t>
            </w:r>
            <w:r>
              <w:rPr>
                <w:rFonts w:hint="default" w:ascii="Times New Roman" w:hAnsi="Times New Roman" w:eastAsia="宋体" w:cs="Times New Roman"/>
                <w:b/>
                <w:bCs/>
                <w:color w:val="000000" w:themeColor="text1"/>
                <w:spacing w:val="-3"/>
                <w:sz w:val="24"/>
                <w:szCs w:val="24"/>
                <w:highlight w:val="none"/>
                <w14:textFill>
                  <w14:solidFill>
                    <w14:schemeClr w14:val="tx1"/>
                  </w14:solidFill>
                </w14:textFill>
              </w:rPr>
              <w:t>高岭土产品质量</w:t>
            </w:r>
            <w:r>
              <w:rPr>
                <w:rFonts w:hint="default" w:ascii="Times New Roman" w:hAnsi="Times New Roman" w:cs="Times New Roman"/>
                <w:b/>
                <w:bCs/>
                <w:color w:val="000000" w:themeColor="text1"/>
                <w:spacing w:val="-3"/>
                <w:sz w:val="24"/>
                <w:szCs w:val="24"/>
                <w:highlight w:val="none"/>
                <w14:textFill>
                  <w14:solidFill>
                    <w14:schemeClr w14:val="tx1"/>
                  </w14:solidFill>
                </w14:textFill>
              </w:rPr>
              <w:t>指标</w:t>
            </w:r>
            <w:r>
              <w:rPr>
                <w:rFonts w:hint="default" w:ascii="Times New Roman" w:hAnsi="Times New Roman" w:cs="Times New Roman"/>
                <w:b/>
                <w:bCs/>
                <w:color w:val="000000" w:themeColor="text1"/>
                <w:spacing w:val="-3"/>
                <w:sz w:val="24"/>
                <w:szCs w:val="24"/>
                <w:highlight w:val="none"/>
                <w:lang w:val="en-US" w:eastAsia="zh-CN"/>
                <w14:textFill>
                  <w14:solidFill>
                    <w14:schemeClr w14:val="tx1"/>
                  </w14:solidFill>
                </w14:textFill>
              </w:rPr>
              <w:t>（%）</w:t>
            </w:r>
          </w:p>
          <w:tbl>
            <w:tblPr>
              <w:tblStyle w:val="25"/>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9"/>
              <w:gridCol w:w="929"/>
              <w:gridCol w:w="929"/>
              <w:gridCol w:w="929"/>
              <w:gridCol w:w="930"/>
              <w:gridCol w:w="930"/>
              <w:gridCol w:w="930"/>
              <w:gridCol w:w="930"/>
              <w:gridCol w:w="935"/>
            </w:tblGrid>
            <w:tr w14:paraId="0BEFF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1" w:type="dxa"/>
                  <w:noWrap w:val="0"/>
                  <w:vAlign w:val="center"/>
                </w:tcPr>
                <w:p w14:paraId="3F3CF44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pacing w:val="-1"/>
                      <w:sz w:val="21"/>
                      <w:szCs w:val="21"/>
                      <w:highlight w:val="none"/>
                      <w14:textFill>
                        <w14:solidFill>
                          <w14:schemeClr w14:val="tx1"/>
                        </w14:solidFill>
                      </w14:textFill>
                    </w:rPr>
                  </w:pPr>
                  <w:r>
                    <w:rPr>
                      <w:rFonts w:hint="default" w:ascii="Times New Roman" w:hAnsi="Times New Roman" w:eastAsia="宋体" w:cs="Times New Roman"/>
                      <w:bCs/>
                      <w:color w:val="000000" w:themeColor="text1"/>
                      <w:sz w:val="21"/>
                      <w:szCs w:val="21"/>
                      <w:highlight w:val="none"/>
                      <w14:textFill>
                        <w14:solidFill>
                          <w14:schemeClr w14:val="tx1"/>
                        </w14:solidFill>
                      </w14:textFill>
                    </w:rPr>
                    <w:t>SiO</w:t>
                  </w:r>
                  <w:r>
                    <w:rPr>
                      <w:rFonts w:hint="default" w:ascii="Times New Roman" w:hAnsi="Times New Roman" w:eastAsia="宋体" w:cs="Times New Roman"/>
                      <w:bCs/>
                      <w:color w:val="000000" w:themeColor="text1"/>
                      <w:sz w:val="21"/>
                      <w:szCs w:val="21"/>
                      <w:highlight w:val="none"/>
                      <w:vertAlign w:val="subscript"/>
                      <w14:textFill>
                        <w14:solidFill>
                          <w14:schemeClr w14:val="tx1"/>
                        </w14:solidFill>
                      </w14:textFill>
                    </w:rPr>
                    <w:t>2</w:t>
                  </w:r>
                </w:p>
              </w:tc>
              <w:tc>
                <w:tcPr>
                  <w:tcW w:w="921" w:type="dxa"/>
                  <w:noWrap w:val="0"/>
                  <w:vAlign w:val="center"/>
                </w:tcPr>
                <w:p w14:paraId="0D143A2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vertAlign w:val="baseline"/>
                      <w14:textFill>
                        <w14:solidFill>
                          <w14:schemeClr w14:val="tx1"/>
                        </w14:solidFill>
                      </w14:textFill>
                    </w:rPr>
                  </w:pPr>
                  <w:r>
                    <w:rPr>
                      <w:rFonts w:hint="default" w:ascii="Times New Roman" w:hAnsi="Times New Roman" w:eastAsia="宋体" w:cs="Times New Roman"/>
                      <w:bCs/>
                      <w:color w:val="000000" w:themeColor="text1"/>
                      <w:sz w:val="21"/>
                      <w:szCs w:val="21"/>
                      <w:highlight w:val="none"/>
                      <w14:textFill>
                        <w14:solidFill>
                          <w14:schemeClr w14:val="tx1"/>
                        </w14:solidFill>
                      </w14:textFill>
                    </w:rPr>
                    <w:t>Al</w:t>
                  </w:r>
                  <w:r>
                    <w:rPr>
                      <w:rFonts w:hint="default" w:ascii="Times New Roman" w:hAnsi="Times New Roman" w:eastAsia="宋体" w:cs="Times New Roman"/>
                      <w:bCs/>
                      <w:color w:val="000000" w:themeColor="text1"/>
                      <w:sz w:val="21"/>
                      <w:szCs w:val="21"/>
                      <w:highlight w:val="none"/>
                      <w:vertAlign w:val="subscript"/>
                      <w14:textFill>
                        <w14:solidFill>
                          <w14:schemeClr w14:val="tx1"/>
                        </w14:solidFill>
                      </w14:textFill>
                    </w:rPr>
                    <w:t>2</w:t>
                  </w:r>
                  <w:r>
                    <w:rPr>
                      <w:rFonts w:hint="default" w:ascii="Times New Roman" w:hAnsi="Times New Roman" w:eastAsia="宋体" w:cs="Times New Roman"/>
                      <w:bCs/>
                      <w:color w:val="000000" w:themeColor="text1"/>
                      <w:sz w:val="21"/>
                      <w:szCs w:val="21"/>
                      <w:highlight w:val="none"/>
                      <w14:textFill>
                        <w14:solidFill>
                          <w14:schemeClr w14:val="tx1"/>
                        </w14:solidFill>
                      </w14:textFill>
                    </w:rPr>
                    <w:t>O</w:t>
                  </w:r>
                  <w:r>
                    <w:rPr>
                      <w:rFonts w:hint="default" w:ascii="Times New Roman" w:hAnsi="Times New Roman" w:eastAsia="宋体" w:cs="Times New Roman"/>
                      <w:bCs/>
                      <w:color w:val="000000" w:themeColor="text1"/>
                      <w:sz w:val="21"/>
                      <w:szCs w:val="21"/>
                      <w:highlight w:val="none"/>
                      <w:vertAlign w:val="subscript"/>
                      <w14:textFill>
                        <w14:solidFill>
                          <w14:schemeClr w14:val="tx1"/>
                        </w14:solidFill>
                      </w14:textFill>
                    </w:rPr>
                    <w:t>3</w:t>
                  </w:r>
                </w:p>
              </w:tc>
              <w:tc>
                <w:tcPr>
                  <w:tcW w:w="921" w:type="dxa"/>
                  <w:noWrap w:val="0"/>
                  <w:vAlign w:val="center"/>
                </w:tcPr>
                <w:p w14:paraId="576A574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vertAlign w:val="baseline"/>
                      <w14:textFill>
                        <w14:solidFill>
                          <w14:schemeClr w14:val="tx1"/>
                        </w14:solidFill>
                      </w14:textFill>
                    </w:rPr>
                  </w:pPr>
                  <w:r>
                    <w:rPr>
                      <w:rFonts w:hint="default" w:ascii="Times New Roman" w:hAnsi="Times New Roman" w:eastAsia="宋体" w:cs="Times New Roman"/>
                      <w:bCs/>
                      <w:color w:val="000000" w:themeColor="text1"/>
                      <w:sz w:val="21"/>
                      <w:szCs w:val="21"/>
                      <w:highlight w:val="none"/>
                      <w14:textFill>
                        <w14:solidFill>
                          <w14:schemeClr w14:val="tx1"/>
                        </w14:solidFill>
                      </w14:textFill>
                    </w:rPr>
                    <w:t>Fe</w:t>
                  </w:r>
                  <w:r>
                    <w:rPr>
                      <w:rFonts w:hint="default" w:ascii="Times New Roman" w:hAnsi="Times New Roman" w:eastAsia="宋体" w:cs="Times New Roman"/>
                      <w:bCs/>
                      <w:color w:val="000000" w:themeColor="text1"/>
                      <w:sz w:val="21"/>
                      <w:szCs w:val="21"/>
                      <w:highlight w:val="none"/>
                      <w:vertAlign w:val="subscript"/>
                      <w14:textFill>
                        <w14:solidFill>
                          <w14:schemeClr w14:val="tx1"/>
                        </w14:solidFill>
                      </w14:textFill>
                    </w:rPr>
                    <w:t>2</w:t>
                  </w:r>
                  <w:r>
                    <w:rPr>
                      <w:rFonts w:hint="default" w:ascii="Times New Roman" w:hAnsi="Times New Roman" w:eastAsia="宋体" w:cs="Times New Roman"/>
                      <w:bCs/>
                      <w:color w:val="000000" w:themeColor="text1"/>
                      <w:sz w:val="21"/>
                      <w:szCs w:val="21"/>
                      <w:highlight w:val="none"/>
                      <w14:textFill>
                        <w14:solidFill>
                          <w14:schemeClr w14:val="tx1"/>
                        </w14:solidFill>
                      </w14:textFill>
                    </w:rPr>
                    <w:t>O</w:t>
                  </w:r>
                  <w:r>
                    <w:rPr>
                      <w:rFonts w:hint="default" w:ascii="Times New Roman" w:hAnsi="Times New Roman" w:eastAsia="宋体" w:cs="Times New Roman"/>
                      <w:bCs/>
                      <w:color w:val="000000" w:themeColor="text1"/>
                      <w:sz w:val="21"/>
                      <w:szCs w:val="21"/>
                      <w:highlight w:val="none"/>
                      <w:vertAlign w:val="subscript"/>
                      <w14:textFill>
                        <w14:solidFill>
                          <w14:schemeClr w14:val="tx1"/>
                        </w14:solidFill>
                      </w14:textFill>
                    </w:rPr>
                    <w:t>3</w:t>
                  </w:r>
                </w:p>
              </w:tc>
              <w:tc>
                <w:tcPr>
                  <w:tcW w:w="921" w:type="dxa"/>
                  <w:noWrap w:val="0"/>
                  <w:vAlign w:val="center"/>
                </w:tcPr>
                <w:p w14:paraId="1BB850B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vertAlign w:val="baseline"/>
                      <w14:textFill>
                        <w14:solidFill>
                          <w14:schemeClr w14:val="tx1"/>
                        </w14:solidFill>
                      </w14:textFill>
                    </w:rPr>
                  </w:pPr>
                  <w:r>
                    <w:rPr>
                      <w:rFonts w:hint="default" w:ascii="Times New Roman" w:hAnsi="Times New Roman" w:eastAsia="宋体" w:cs="Times New Roman"/>
                      <w:bCs/>
                      <w:color w:val="000000" w:themeColor="text1"/>
                      <w:sz w:val="21"/>
                      <w:szCs w:val="21"/>
                      <w:highlight w:val="none"/>
                      <w14:textFill>
                        <w14:solidFill>
                          <w14:schemeClr w14:val="tx1"/>
                        </w14:solidFill>
                      </w14:textFill>
                    </w:rPr>
                    <w:t>CaO</w:t>
                  </w:r>
                </w:p>
              </w:tc>
              <w:tc>
                <w:tcPr>
                  <w:tcW w:w="921" w:type="dxa"/>
                  <w:noWrap w:val="0"/>
                  <w:vAlign w:val="center"/>
                </w:tcPr>
                <w:p w14:paraId="3762EF4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vertAlign w:val="baseline"/>
                      <w14:textFill>
                        <w14:solidFill>
                          <w14:schemeClr w14:val="tx1"/>
                        </w14:solidFill>
                      </w14:textFill>
                    </w:rPr>
                  </w:pPr>
                  <w:r>
                    <w:rPr>
                      <w:rFonts w:hint="default" w:ascii="Times New Roman" w:hAnsi="Times New Roman" w:eastAsia="宋体" w:cs="Times New Roman"/>
                      <w:bCs/>
                      <w:color w:val="000000" w:themeColor="text1"/>
                      <w:sz w:val="21"/>
                      <w:szCs w:val="21"/>
                      <w:highlight w:val="none"/>
                      <w14:textFill>
                        <w14:solidFill>
                          <w14:schemeClr w14:val="tx1"/>
                        </w14:solidFill>
                      </w14:textFill>
                    </w:rPr>
                    <w:t>MgO</w:t>
                  </w:r>
                </w:p>
              </w:tc>
              <w:tc>
                <w:tcPr>
                  <w:tcW w:w="921" w:type="dxa"/>
                  <w:noWrap w:val="0"/>
                  <w:vAlign w:val="center"/>
                </w:tcPr>
                <w:p w14:paraId="1B49BE0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vertAlign w:val="baseline"/>
                      <w14:textFill>
                        <w14:solidFill>
                          <w14:schemeClr w14:val="tx1"/>
                        </w14:solidFill>
                      </w14:textFill>
                    </w:rPr>
                  </w:pPr>
                  <w:r>
                    <w:rPr>
                      <w:rFonts w:hint="default" w:ascii="Times New Roman" w:hAnsi="Times New Roman" w:eastAsia="宋体" w:cs="Times New Roman"/>
                      <w:bCs/>
                      <w:color w:val="000000" w:themeColor="text1"/>
                      <w:sz w:val="21"/>
                      <w:szCs w:val="21"/>
                      <w:highlight w:val="none"/>
                      <w14:textFill>
                        <w14:solidFill>
                          <w14:schemeClr w14:val="tx1"/>
                        </w14:solidFill>
                      </w14:textFill>
                    </w:rPr>
                    <w:t>Na</w:t>
                  </w:r>
                  <w:r>
                    <w:rPr>
                      <w:rFonts w:hint="default" w:ascii="Times New Roman" w:hAnsi="Times New Roman" w:eastAsia="宋体" w:cs="Times New Roman"/>
                      <w:bCs/>
                      <w:color w:val="000000" w:themeColor="text1"/>
                      <w:sz w:val="21"/>
                      <w:szCs w:val="21"/>
                      <w:highlight w:val="none"/>
                      <w:vertAlign w:val="subscript"/>
                      <w14:textFill>
                        <w14:solidFill>
                          <w14:schemeClr w14:val="tx1"/>
                        </w14:solidFill>
                      </w14:textFill>
                    </w:rPr>
                    <w:t>2</w:t>
                  </w:r>
                  <w:r>
                    <w:rPr>
                      <w:rFonts w:hint="default" w:ascii="Times New Roman" w:hAnsi="Times New Roman" w:eastAsia="宋体" w:cs="Times New Roman"/>
                      <w:bCs/>
                      <w:color w:val="000000" w:themeColor="text1"/>
                      <w:sz w:val="21"/>
                      <w:szCs w:val="21"/>
                      <w:highlight w:val="none"/>
                      <w14:textFill>
                        <w14:solidFill>
                          <w14:schemeClr w14:val="tx1"/>
                        </w14:solidFill>
                      </w14:textFill>
                    </w:rPr>
                    <w:t>O</w:t>
                  </w:r>
                </w:p>
              </w:tc>
              <w:tc>
                <w:tcPr>
                  <w:tcW w:w="921" w:type="dxa"/>
                  <w:noWrap w:val="0"/>
                  <w:vAlign w:val="center"/>
                </w:tcPr>
                <w:p w14:paraId="747661A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vertAlign w:val="baseline"/>
                      <w14:textFill>
                        <w14:solidFill>
                          <w14:schemeClr w14:val="tx1"/>
                        </w14:solidFill>
                      </w14:textFill>
                    </w:rPr>
                  </w:pPr>
                  <w:r>
                    <w:rPr>
                      <w:rFonts w:hint="default" w:ascii="Times New Roman" w:hAnsi="Times New Roman" w:eastAsia="宋体" w:cs="Times New Roman"/>
                      <w:bCs/>
                      <w:color w:val="000000" w:themeColor="text1"/>
                      <w:sz w:val="21"/>
                      <w:szCs w:val="21"/>
                      <w:highlight w:val="none"/>
                      <w14:textFill>
                        <w14:solidFill>
                          <w14:schemeClr w14:val="tx1"/>
                        </w14:solidFill>
                      </w14:textFill>
                    </w:rPr>
                    <w:t>K</w:t>
                  </w:r>
                  <w:r>
                    <w:rPr>
                      <w:rFonts w:hint="default" w:ascii="Times New Roman" w:hAnsi="Times New Roman" w:eastAsia="宋体" w:cs="Times New Roman"/>
                      <w:bCs/>
                      <w:color w:val="000000" w:themeColor="text1"/>
                      <w:sz w:val="21"/>
                      <w:szCs w:val="21"/>
                      <w:highlight w:val="none"/>
                      <w:vertAlign w:val="subscript"/>
                      <w14:textFill>
                        <w14:solidFill>
                          <w14:schemeClr w14:val="tx1"/>
                        </w14:solidFill>
                      </w14:textFill>
                    </w:rPr>
                    <w:t>2</w:t>
                  </w:r>
                  <w:r>
                    <w:rPr>
                      <w:rFonts w:hint="default" w:ascii="Times New Roman" w:hAnsi="Times New Roman" w:eastAsia="宋体" w:cs="Times New Roman"/>
                      <w:bCs/>
                      <w:color w:val="000000" w:themeColor="text1"/>
                      <w:sz w:val="21"/>
                      <w:szCs w:val="21"/>
                      <w:highlight w:val="none"/>
                      <w14:textFill>
                        <w14:solidFill>
                          <w14:schemeClr w14:val="tx1"/>
                        </w14:solidFill>
                      </w14:textFill>
                    </w:rPr>
                    <w:t>O</w:t>
                  </w:r>
                </w:p>
              </w:tc>
              <w:tc>
                <w:tcPr>
                  <w:tcW w:w="921" w:type="dxa"/>
                  <w:noWrap w:val="0"/>
                  <w:vAlign w:val="center"/>
                </w:tcPr>
                <w:p w14:paraId="4AB5629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vertAlign w:val="baseline"/>
                      <w14:textFill>
                        <w14:solidFill>
                          <w14:schemeClr w14:val="tx1"/>
                        </w14:solidFill>
                      </w14:textFill>
                    </w:rPr>
                  </w:pPr>
                  <w:r>
                    <w:rPr>
                      <w:rFonts w:hint="default" w:ascii="Times New Roman" w:hAnsi="Times New Roman" w:eastAsia="宋体" w:cs="Times New Roman"/>
                      <w:bCs/>
                      <w:color w:val="000000" w:themeColor="text1"/>
                      <w:sz w:val="21"/>
                      <w:szCs w:val="21"/>
                      <w:highlight w:val="none"/>
                      <w14:textFill>
                        <w14:solidFill>
                          <w14:schemeClr w14:val="tx1"/>
                        </w14:solidFill>
                      </w14:textFill>
                    </w:rPr>
                    <w:t>TiO</w:t>
                  </w:r>
                  <w:r>
                    <w:rPr>
                      <w:rFonts w:hint="default" w:ascii="Times New Roman" w:hAnsi="Times New Roman" w:eastAsia="宋体" w:cs="Times New Roman"/>
                      <w:bCs/>
                      <w:color w:val="000000" w:themeColor="text1"/>
                      <w:sz w:val="21"/>
                      <w:szCs w:val="21"/>
                      <w:highlight w:val="none"/>
                      <w:vertAlign w:val="subscript"/>
                      <w14:textFill>
                        <w14:solidFill>
                          <w14:schemeClr w14:val="tx1"/>
                        </w14:solidFill>
                      </w14:textFill>
                    </w:rPr>
                    <w:t>2</w:t>
                  </w:r>
                </w:p>
              </w:tc>
              <w:tc>
                <w:tcPr>
                  <w:tcW w:w="926" w:type="dxa"/>
                  <w:noWrap w:val="0"/>
                  <w:vAlign w:val="center"/>
                </w:tcPr>
                <w:p w14:paraId="5D6FCDB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vertAlign w:val="baseline"/>
                      <w14:textFill>
                        <w14:solidFill>
                          <w14:schemeClr w14:val="tx1"/>
                        </w14:solidFill>
                      </w14:textFill>
                    </w:rPr>
                  </w:pPr>
                  <w:r>
                    <w:rPr>
                      <w:rFonts w:hint="default" w:ascii="Times New Roman" w:hAnsi="Times New Roman" w:eastAsia="宋体" w:cs="Times New Roman"/>
                      <w:bCs/>
                      <w:color w:val="000000" w:themeColor="text1"/>
                      <w:sz w:val="21"/>
                      <w:szCs w:val="21"/>
                      <w:highlight w:val="none"/>
                      <w14:textFill>
                        <w14:solidFill>
                          <w14:schemeClr w14:val="tx1"/>
                        </w14:solidFill>
                      </w14:textFill>
                    </w:rPr>
                    <w:t>Cl</w:t>
                  </w:r>
                  <w:r>
                    <w:rPr>
                      <w:rFonts w:hint="default" w:ascii="Times New Roman" w:hAnsi="Times New Roman" w:eastAsia="宋体" w:cs="Times New Roman"/>
                      <w:bCs/>
                      <w:color w:val="000000" w:themeColor="text1"/>
                      <w:sz w:val="21"/>
                      <w:szCs w:val="21"/>
                      <w:highlight w:val="none"/>
                      <w:vertAlign w:val="superscript"/>
                      <w14:textFill>
                        <w14:solidFill>
                          <w14:schemeClr w14:val="tx1"/>
                        </w14:solidFill>
                      </w14:textFill>
                    </w:rPr>
                    <w:t>-</w:t>
                  </w:r>
                </w:p>
              </w:tc>
            </w:tr>
            <w:tr w14:paraId="4CD9A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1" w:type="dxa"/>
                  <w:noWrap w:val="0"/>
                  <w:vAlign w:val="center"/>
                </w:tcPr>
                <w:p w14:paraId="63B3057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pacing w:val="-2"/>
                      <w:sz w:val="21"/>
                      <w:szCs w:val="21"/>
                      <w:highlight w:val="none"/>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highlight w:val="none"/>
                      <w14:textFill>
                        <w14:solidFill>
                          <w14:schemeClr w14:val="tx1"/>
                        </w14:solidFill>
                      </w14:textFill>
                    </w:rPr>
                    <w:t>53.12</w:t>
                  </w:r>
                </w:p>
              </w:tc>
              <w:tc>
                <w:tcPr>
                  <w:tcW w:w="921" w:type="dxa"/>
                  <w:noWrap w:val="0"/>
                  <w:vAlign w:val="center"/>
                </w:tcPr>
                <w:p w14:paraId="1E4DDF1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highlight w:val="none"/>
                      <w14:textFill>
                        <w14:solidFill>
                          <w14:schemeClr w14:val="tx1"/>
                        </w14:solidFill>
                      </w14:textFill>
                    </w:rPr>
                    <w:t>45.78</w:t>
                  </w:r>
                </w:p>
              </w:tc>
              <w:tc>
                <w:tcPr>
                  <w:tcW w:w="921" w:type="dxa"/>
                  <w:noWrap w:val="0"/>
                  <w:vAlign w:val="center"/>
                </w:tcPr>
                <w:p w14:paraId="4FC1D9A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highlight w:val="none"/>
                      <w14:textFill>
                        <w14:solidFill>
                          <w14:schemeClr w14:val="tx1"/>
                        </w14:solidFill>
                      </w14:textFill>
                    </w:rPr>
                    <w:t>0.47</w:t>
                  </w:r>
                </w:p>
              </w:tc>
              <w:tc>
                <w:tcPr>
                  <w:tcW w:w="921" w:type="dxa"/>
                  <w:noWrap w:val="0"/>
                  <w:vAlign w:val="center"/>
                </w:tcPr>
                <w:p w14:paraId="52AD2FA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vertAlign w:val="baseline"/>
                      <w14:textFill>
                        <w14:solidFill>
                          <w14:schemeClr w14:val="tx1"/>
                        </w14:solidFill>
                      </w14:textFill>
                    </w:rPr>
                  </w:pPr>
                  <w:r>
                    <w:rPr>
                      <w:rFonts w:hint="default" w:ascii="Times New Roman" w:hAnsi="Times New Roman" w:eastAsia="宋体" w:cs="Times New Roman"/>
                      <w:bCs/>
                      <w:color w:val="000000" w:themeColor="text1"/>
                      <w:sz w:val="21"/>
                      <w:szCs w:val="21"/>
                      <w:highlight w:val="none"/>
                      <w14:textFill>
                        <w14:solidFill>
                          <w14:schemeClr w14:val="tx1"/>
                        </w14:solidFill>
                      </w14:textFill>
                    </w:rPr>
                    <w:t>0.04</w:t>
                  </w:r>
                </w:p>
              </w:tc>
              <w:tc>
                <w:tcPr>
                  <w:tcW w:w="921" w:type="dxa"/>
                  <w:noWrap w:val="0"/>
                  <w:vAlign w:val="center"/>
                </w:tcPr>
                <w:p w14:paraId="0363B5F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vertAlign w:val="baseline"/>
                      <w14:textFill>
                        <w14:solidFill>
                          <w14:schemeClr w14:val="tx1"/>
                        </w14:solidFill>
                      </w14:textFill>
                    </w:rPr>
                  </w:pPr>
                  <w:r>
                    <w:rPr>
                      <w:rFonts w:hint="default" w:ascii="Times New Roman" w:hAnsi="Times New Roman" w:eastAsia="宋体" w:cs="Times New Roman"/>
                      <w:bCs/>
                      <w:color w:val="000000" w:themeColor="text1"/>
                      <w:sz w:val="21"/>
                      <w:szCs w:val="21"/>
                      <w:highlight w:val="none"/>
                      <w14:textFill>
                        <w14:solidFill>
                          <w14:schemeClr w14:val="tx1"/>
                        </w14:solidFill>
                      </w14:textFill>
                    </w:rPr>
                    <w:t>0.04</w:t>
                  </w:r>
                </w:p>
              </w:tc>
              <w:tc>
                <w:tcPr>
                  <w:tcW w:w="921" w:type="dxa"/>
                  <w:noWrap w:val="0"/>
                  <w:vAlign w:val="center"/>
                </w:tcPr>
                <w:p w14:paraId="0FE806C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vertAlign w:val="baseline"/>
                      <w14:textFill>
                        <w14:solidFill>
                          <w14:schemeClr w14:val="tx1"/>
                        </w14:solidFill>
                      </w14:textFill>
                    </w:rPr>
                  </w:pPr>
                  <w:r>
                    <w:rPr>
                      <w:rFonts w:hint="default" w:ascii="Times New Roman" w:hAnsi="Times New Roman" w:eastAsia="宋体" w:cs="Times New Roman"/>
                      <w:bCs/>
                      <w:color w:val="000000" w:themeColor="text1"/>
                      <w:sz w:val="21"/>
                      <w:szCs w:val="21"/>
                      <w:highlight w:val="none"/>
                      <w14:textFill>
                        <w14:solidFill>
                          <w14:schemeClr w14:val="tx1"/>
                        </w14:solidFill>
                      </w14:textFill>
                    </w:rPr>
                    <w:t>0.04</w:t>
                  </w:r>
                </w:p>
              </w:tc>
              <w:tc>
                <w:tcPr>
                  <w:tcW w:w="921" w:type="dxa"/>
                  <w:noWrap w:val="0"/>
                  <w:vAlign w:val="center"/>
                </w:tcPr>
                <w:p w14:paraId="70CC3FA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vertAlign w:val="baseline"/>
                      <w14:textFill>
                        <w14:solidFill>
                          <w14:schemeClr w14:val="tx1"/>
                        </w14:solidFill>
                      </w14:textFill>
                    </w:rPr>
                  </w:pPr>
                  <w:r>
                    <w:rPr>
                      <w:rFonts w:hint="default" w:ascii="Times New Roman" w:hAnsi="Times New Roman" w:eastAsia="宋体" w:cs="Times New Roman"/>
                      <w:bCs/>
                      <w:color w:val="000000" w:themeColor="text1"/>
                      <w:sz w:val="21"/>
                      <w:szCs w:val="21"/>
                      <w:highlight w:val="none"/>
                      <w14:textFill>
                        <w14:solidFill>
                          <w14:schemeClr w14:val="tx1"/>
                        </w14:solidFill>
                      </w14:textFill>
                    </w:rPr>
                    <w:t>0.05</w:t>
                  </w:r>
                </w:p>
              </w:tc>
              <w:tc>
                <w:tcPr>
                  <w:tcW w:w="921" w:type="dxa"/>
                  <w:noWrap w:val="0"/>
                  <w:vAlign w:val="center"/>
                </w:tcPr>
                <w:p w14:paraId="1F5D3D2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vertAlign w:val="baseline"/>
                      <w14:textFill>
                        <w14:solidFill>
                          <w14:schemeClr w14:val="tx1"/>
                        </w14:solidFill>
                      </w14:textFill>
                    </w:rPr>
                  </w:pPr>
                  <w:r>
                    <w:rPr>
                      <w:rFonts w:hint="default" w:ascii="Times New Roman" w:hAnsi="Times New Roman" w:eastAsia="宋体" w:cs="Times New Roman"/>
                      <w:bCs/>
                      <w:color w:val="000000" w:themeColor="text1"/>
                      <w:sz w:val="21"/>
                      <w:szCs w:val="21"/>
                      <w:highlight w:val="none"/>
                      <w14:textFill>
                        <w14:solidFill>
                          <w14:schemeClr w14:val="tx1"/>
                        </w14:solidFill>
                      </w14:textFill>
                    </w:rPr>
                    <w:t>0.46</w:t>
                  </w:r>
                </w:p>
              </w:tc>
              <w:tc>
                <w:tcPr>
                  <w:tcW w:w="926" w:type="dxa"/>
                  <w:noWrap w:val="0"/>
                  <w:vAlign w:val="center"/>
                </w:tcPr>
                <w:p w14:paraId="128A300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vertAlign w:val="baseline"/>
                      <w14:textFill>
                        <w14:solidFill>
                          <w14:schemeClr w14:val="tx1"/>
                        </w14:solidFill>
                      </w14:textFill>
                    </w:rPr>
                  </w:pPr>
                  <w:r>
                    <w:rPr>
                      <w:rFonts w:hint="default" w:ascii="Times New Roman" w:hAnsi="Times New Roman" w:eastAsia="宋体" w:cs="Times New Roman"/>
                      <w:bCs/>
                      <w:color w:val="000000" w:themeColor="text1"/>
                      <w:sz w:val="21"/>
                      <w:szCs w:val="21"/>
                      <w:highlight w:val="none"/>
                      <w14:textFill>
                        <w14:solidFill>
                          <w14:schemeClr w14:val="tx1"/>
                        </w14:solidFill>
                      </w14:textFill>
                    </w:rPr>
                    <w:t>0.00</w:t>
                  </w:r>
                </w:p>
              </w:tc>
            </w:tr>
          </w:tbl>
          <w:p w14:paraId="7B599F25">
            <w:pPr>
              <w:pStyle w:val="116"/>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2）副产</w:t>
            </w:r>
          </w:p>
          <w:p w14:paraId="5E73DB6F">
            <w:pPr>
              <w:pStyle w:val="116"/>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jc w:val="both"/>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系统产生1MPa-420℃的过热蒸汽15</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.09</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t/h，除去</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余热</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锅炉自身给水加热及供汽管道疏水，可以对蒸汽用户提供约9.5t/h的蒸汽；东晟公司计划用该蒸汽给三个公司供暖，同时计划供汽给生产新产品开发使用。</w:t>
            </w:r>
          </w:p>
          <w:p w14:paraId="419D2AA0">
            <w:pPr>
              <w:keepNext w:val="0"/>
              <w:keepLines w:val="0"/>
              <w:pageBreakBefore w:val="0"/>
              <w:widowControl w:val="0"/>
              <w:kinsoku/>
              <w:wordWrap/>
              <w:overflowPunct/>
              <w:topLinePunct w:val="0"/>
              <w:autoSpaceDE/>
              <w:autoSpaceDN/>
              <w:bidi w:val="0"/>
              <w:spacing w:line="360" w:lineRule="auto"/>
              <w:ind w:firstLine="482" w:firstLineChars="200"/>
              <w:jc w:val="both"/>
              <w:textAlignment w:val="auto"/>
              <w:rPr>
                <w:rFonts w:hint="default" w:ascii="Times New Roman" w:hAnsi="Times New Roman" w:eastAsia="宋体" w:cs="Times New Roman"/>
                <w:b/>
                <w:bCs/>
                <w:color w:val="000000" w:themeColor="text1"/>
                <w:sz w:val="24"/>
                <w:highlight w:val="none"/>
                <w14:textFill>
                  <w14:solidFill>
                    <w14:schemeClr w14:val="tx1"/>
                  </w14:solidFill>
                </w14:textFill>
              </w:rPr>
            </w:pPr>
            <w:r>
              <w:rPr>
                <w:rFonts w:hint="default" w:ascii="Times New Roman" w:hAnsi="Times New Roman" w:eastAsia="宋体" w:cs="Times New Roman"/>
                <w:b/>
                <w:bCs/>
                <w:color w:val="000000" w:themeColor="text1"/>
                <w:sz w:val="24"/>
                <w:highlight w:val="none"/>
                <w14:textFill>
                  <w14:solidFill>
                    <w14:schemeClr w14:val="tx1"/>
                  </w14:solidFill>
                </w14:textFill>
              </w:rPr>
              <w:t>1.</w:t>
            </w:r>
            <w:r>
              <w:rPr>
                <w:rFonts w:hint="default" w:ascii="Times New Roman" w:hAnsi="Times New Roman" w:cs="Times New Roman"/>
                <w:b/>
                <w:bCs/>
                <w:color w:val="000000" w:themeColor="text1"/>
                <w:sz w:val="24"/>
                <w:highlight w:val="none"/>
                <w:lang w:val="en-US" w:eastAsia="zh-CN"/>
                <w14:textFill>
                  <w14:solidFill>
                    <w14:schemeClr w14:val="tx1"/>
                  </w14:solidFill>
                </w14:textFill>
              </w:rPr>
              <w:t>5</w:t>
            </w:r>
            <w:r>
              <w:rPr>
                <w:rFonts w:hint="default" w:ascii="Times New Roman" w:hAnsi="Times New Roman" w:eastAsia="宋体" w:cs="Times New Roman"/>
                <w:b/>
                <w:bCs/>
                <w:color w:val="000000" w:themeColor="text1"/>
                <w:sz w:val="24"/>
                <w:highlight w:val="none"/>
                <w14:textFill>
                  <w14:solidFill>
                    <w14:schemeClr w14:val="tx1"/>
                  </w14:solidFill>
                </w14:textFill>
              </w:rPr>
              <w:t>主要设备</w:t>
            </w:r>
          </w:p>
          <w:p w14:paraId="0433F367">
            <w:pPr>
              <w:pStyle w:val="86"/>
              <w:keepNext w:val="0"/>
              <w:keepLines w:val="0"/>
              <w:pageBreakBefore w:val="0"/>
              <w:widowControl w:val="0"/>
              <w:kinsoku/>
              <w:wordWrap/>
              <w:overflowPunct/>
              <w:topLinePunct w:val="0"/>
              <w:autoSpaceDE/>
              <w:autoSpaceDN/>
              <w:bidi w:val="0"/>
              <w:snapToGrid w:val="0"/>
              <w:ind w:firstLine="480" w:firstLineChars="200"/>
              <w:jc w:val="both"/>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全厂主机设备详见</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下</w:t>
            </w:r>
            <w:r>
              <w:rPr>
                <w:rFonts w:hint="default" w:ascii="Times New Roman" w:hAnsi="Times New Roman" w:eastAsia="宋体" w:cs="Times New Roman"/>
                <w:color w:val="000000" w:themeColor="text1"/>
                <w:sz w:val="24"/>
                <w:szCs w:val="24"/>
                <w:highlight w:val="none"/>
                <w14:textFill>
                  <w14:solidFill>
                    <w14:schemeClr w14:val="tx1"/>
                  </w14:solidFill>
                </w14:textFill>
              </w:rPr>
              <w:t>表。</w:t>
            </w:r>
          </w:p>
          <w:p w14:paraId="5A6ADF48">
            <w:pPr>
              <w:ind w:firstLine="470" w:firstLineChars="200"/>
              <w:jc w:val="center"/>
              <w:rPr>
                <w:rFonts w:hint="default" w:ascii="Times New Roman" w:hAnsi="Times New Roman" w:eastAsia="宋体" w:cs="Times New Roman"/>
                <w:b/>
                <w:bCs/>
                <w:color w:val="000000" w:themeColor="text1"/>
                <w:spacing w:val="-3"/>
                <w:sz w:val="24"/>
                <w:szCs w:val="24"/>
                <w:highlight w:val="none"/>
                <w14:textFill>
                  <w14:solidFill>
                    <w14:schemeClr w14:val="tx1"/>
                  </w14:solidFill>
                </w14:textFill>
              </w:rPr>
            </w:pPr>
          </w:p>
          <w:p w14:paraId="5409A5D7">
            <w:pPr>
              <w:ind w:firstLine="470" w:firstLineChars="200"/>
              <w:jc w:val="center"/>
              <w:rPr>
                <w:rFonts w:hint="default" w:ascii="Times New Roman" w:hAnsi="Times New Roman" w:eastAsia="宋体" w:cs="Times New Roman"/>
                <w:b/>
                <w:bCs/>
                <w:color w:val="000000" w:themeColor="text1"/>
                <w:spacing w:val="-3"/>
                <w:sz w:val="24"/>
                <w:szCs w:val="24"/>
                <w:highlight w:val="none"/>
                <w14:textFill>
                  <w14:solidFill>
                    <w14:schemeClr w14:val="tx1"/>
                  </w14:solidFill>
                </w14:textFill>
              </w:rPr>
            </w:pPr>
          </w:p>
          <w:p w14:paraId="6E3D0875">
            <w:pPr>
              <w:ind w:firstLine="470" w:firstLineChars="200"/>
              <w:jc w:val="center"/>
              <w:rPr>
                <w:rFonts w:hint="default" w:ascii="Times New Roman" w:hAnsi="Times New Roman" w:eastAsia="宋体" w:cs="Times New Roman"/>
                <w:b/>
                <w:bCs/>
                <w:color w:val="000000" w:themeColor="text1"/>
                <w:spacing w:val="-3"/>
                <w:sz w:val="24"/>
                <w:szCs w:val="24"/>
                <w:highlight w:val="none"/>
                <w14:textFill>
                  <w14:solidFill>
                    <w14:schemeClr w14:val="tx1"/>
                  </w14:solidFill>
                </w14:textFill>
              </w:rPr>
            </w:pPr>
            <w:r>
              <w:rPr>
                <w:rFonts w:hint="default" w:ascii="Times New Roman" w:hAnsi="Times New Roman" w:eastAsia="宋体" w:cs="Times New Roman"/>
                <w:b/>
                <w:bCs/>
                <w:color w:val="000000" w:themeColor="text1"/>
                <w:spacing w:val="-3"/>
                <w:sz w:val="24"/>
                <w:szCs w:val="24"/>
                <w:highlight w:val="none"/>
                <w14:textFill>
                  <w14:solidFill>
                    <w14:schemeClr w14:val="tx1"/>
                  </w14:solidFill>
                </w14:textFill>
              </w:rPr>
              <w:t>表</w:t>
            </w:r>
            <w:r>
              <w:rPr>
                <w:rFonts w:hint="default" w:ascii="Times New Roman" w:hAnsi="Times New Roman" w:eastAsia="宋体" w:cs="Times New Roman"/>
                <w:b/>
                <w:bCs/>
                <w:color w:val="000000" w:themeColor="text1"/>
                <w:spacing w:val="-3"/>
                <w:sz w:val="24"/>
                <w:szCs w:val="24"/>
                <w:highlight w:val="none"/>
                <w:lang w:val="en-US" w:eastAsia="zh-CN"/>
                <w14:textFill>
                  <w14:solidFill>
                    <w14:schemeClr w14:val="tx1"/>
                  </w14:solidFill>
                </w14:textFill>
              </w:rPr>
              <w:t>2-9</w:t>
            </w:r>
            <w:r>
              <w:rPr>
                <w:rFonts w:hint="default" w:ascii="Times New Roman" w:hAnsi="Times New Roman" w:eastAsia="宋体" w:cs="Times New Roman"/>
                <w:b/>
                <w:bCs/>
                <w:color w:val="000000" w:themeColor="text1"/>
                <w:spacing w:val="-3"/>
                <w:sz w:val="24"/>
                <w:szCs w:val="24"/>
                <w:highlight w:val="none"/>
                <w14:textFill>
                  <w14:solidFill>
                    <w14:schemeClr w14:val="tx1"/>
                  </w14:solidFill>
                </w14:textFill>
              </w:rPr>
              <w:t>本项目主要生产设备一览表</w:t>
            </w:r>
          </w:p>
          <w:tbl>
            <w:tblPr>
              <w:tblStyle w:val="24"/>
              <w:tblW w:w="83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0"/>
              <w:gridCol w:w="707"/>
              <w:gridCol w:w="4207"/>
              <w:gridCol w:w="916"/>
              <w:gridCol w:w="690"/>
              <w:gridCol w:w="1152"/>
            </w:tblGrid>
            <w:tr w14:paraId="742B2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trPr>
              <w:tc>
                <w:tcPr>
                  <w:tcW w:w="630" w:type="dxa"/>
                  <w:tcBorders>
                    <w:bottom w:val="single" w:color="auto" w:sz="4" w:space="0"/>
                  </w:tcBorders>
                  <w:noWrap/>
                  <w:vAlign w:val="center"/>
                </w:tcPr>
                <w:p w14:paraId="75542E5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序号</w:t>
                  </w:r>
                </w:p>
              </w:tc>
              <w:tc>
                <w:tcPr>
                  <w:tcW w:w="707" w:type="dxa"/>
                  <w:tcBorders>
                    <w:bottom w:val="single" w:color="auto" w:sz="4" w:space="0"/>
                  </w:tcBorders>
                  <w:noWrap/>
                  <w:vAlign w:val="center"/>
                </w:tcPr>
                <w:p w14:paraId="6DB1DDB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子项</w:t>
                  </w:r>
                </w:p>
                <w:p w14:paraId="45E43E3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名称</w:t>
                  </w:r>
                </w:p>
              </w:tc>
              <w:tc>
                <w:tcPr>
                  <w:tcW w:w="4207" w:type="dxa"/>
                  <w:tcBorders>
                    <w:bottom w:val="single" w:color="auto" w:sz="4" w:space="0"/>
                  </w:tcBorders>
                  <w:noWrap/>
                  <w:vAlign w:val="center"/>
                </w:tcPr>
                <w:p w14:paraId="4D04BAD4">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设备名称、规格及技术性能</w:t>
                  </w:r>
                </w:p>
              </w:tc>
              <w:tc>
                <w:tcPr>
                  <w:tcW w:w="916" w:type="dxa"/>
                  <w:tcBorders>
                    <w:bottom w:val="single" w:color="auto" w:sz="4" w:space="0"/>
                  </w:tcBorders>
                  <w:noWrap/>
                  <w:vAlign w:val="center"/>
                </w:tcPr>
                <w:p w14:paraId="69B7C2D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能力</w:t>
                  </w:r>
                </w:p>
                <w:p w14:paraId="6EB96B8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color w:val="000000" w:themeColor="text1"/>
                      <w:sz w:val="21"/>
                      <w:szCs w:val="21"/>
                      <w:highlight w:val="none"/>
                      <w:lang w:eastAsia="zh-CN"/>
                      <w14:textFill>
                        <w14:solidFill>
                          <w14:schemeClr w14:val="tx1"/>
                        </w14:solidFill>
                      </w14:textFill>
                    </w:rPr>
                  </w:pPr>
                  <w:r>
                    <w:rPr>
                      <w:rFonts w:hint="default" w:ascii="Times New Roman" w:hAnsi="Times New Roman" w:cs="Times New Roman"/>
                      <w:b w:val="0"/>
                      <w:bCs/>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t/h</w:t>
                  </w:r>
                  <w:r>
                    <w:rPr>
                      <w:rFonts w:hint="default" w:ascii="Times New Roman" w:hAnsi="Times New Roman" w:cs="Times New Roman"/>
                      <w:b w:val="0"/>
                      <w:bCs/>
                      <w:color w:val="000000" w:themeColor="text1"/>
                      <w:sz w:val="21"/>
                      <w:szCs w:val="21"/>
                      <w:highlight w:val="none"/>
                      <w:lang w:eastAsia="zh-CN"/>
                      <w14:textFill>
                        <w14:solidFill>
                          <w14:schemeClr w14:val="tx1"/>
                        </w14:solidFill>
                      </w14:textFill>
                    </w:rPr>
                    <w:t>)</w:t>
                  </w:r>
                </w:p>
              </w:tc>
              <w:tc>
                <w:tcPr>
                  <w:tcW w:w="690" w:type="dxa"/>
                  <w:tcBorders>
                    <w:bottom w:val="single" w:color="auto" w:sz="4" w:space="0"/>
                  </w:tcBorders>
                  <w:noWrap/>
                  <w:vAlign w:val="center"/>
                </w:tcPr>
                <w:p w14:paraId="7CAE628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台数</w:t>
                  </w:r>
                </w:p>
              </w:tc>
              <w:tc>
                <w:tcPr>
                  <w:tcW w:w="1152" w:type="dxa"/>
                  <w:tcBorders>
                    <w:bottom w:val="single" w:color="auto" w:sz="4" w:space="0"/>
                  </w:tcBorders>
                  <w:noWrap/>
                  <w:vAlign w:val="center"/>
                </w:tcPr>
                <w:p w14:paraId="26FD859F">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年利用</w:t>
                  </w:r>
                </w:p>
                <w:p w14:paraId="018ECA63">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宋体" w:cs="Times New Roman"/>
                      <w:b w:val="0"/>
                      <w:bCs/>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率</w:t>
                  </w:r>
                  <w:r>
                    <w:rPr>
                      <w:rFonts w:hint="default" w:ascii="Times New Roman" w:hAnsi="Times New Roman" w:eastAsia="宋体" w:cs="Times New Roman"/>
                      <w:b w:val="0"/>
                      <w:bCs/>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lang w:eastAsia="zh-CN"/>
                      <w14:textFill>
                        <w14:solidFill>
                          <w14:schemeClr w14:val="tx1"/>
                        </w14:solidFill>
                      </w14:textFill>
                    </w:rPr>
                    <w:t>）</w:t>
                  </w:r>
                </w:p>
              </w:tc>
            </w:tr>
            <w:tr w14:paraId="09602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30" w:type="dxa"/>
                  <w:vMerge w:val="restart"/>
                  <w:tcBorders>
                    <w:top w:val="single" w:color="auto" w:sz="4" w:space="0"/>
                    <w:left w:val="single" w:color="auto" w:sz="4" w:space="0"/>
                    <w:right w:val="single" w:color="auto" w:sz="4" w:space="0"/>
                  </w:tcBorders>
                  <w:noWrap/>
                  <w:vAlign w:val="center"/>
                </w:tcPr>
                <w:p w14:paraId="5498281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w:t>
                  </w:r>
                </w:p>
              </w:tc>
              <w:tc>
                <w:tcPr>
                  <w:tcW w:w="707" w:type="dxa"/>
                  <w:vMerge w:val="restart"/>
                  <w:tcBorders>
                    <w:top w:val="single" w:color="auto" w:sz="4" w:space="0"/>
                    <w:left w:val="single" w:color="auto" w:sz="4" w:space="0"/>
                    <w:right w:val="single" w:color="auto" w:sz="4" w:space="0"/>
                  </w:tcBorders>
                  <w:noWrap/>
                  <w:vAlign w:val="center"/>
                </w:tcPr>
                <w:p w14:paraId="2EFA121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煅烧废气处理</w:t>
                  </w:r>
                </w:p>
              </w:tc>
              <w:tc>
                <w:tcPr>
                  <w:tcW w:w="4207" w:type="dxa"/>
                  <w:tcBorders>
                    <w:top w:val="single" w:color="auto" w:sz="4" w:space="0"/>
                    <w:left w:val="single" w:color="auto" w:sz="4" w:space="0"/>
                    <w:bottom w:val="single" w:color="auto" w:sz="4" w:space="0"/>
                    <w:right w:val="single" w:color="auto" w:sz="4" w:space="0"/>
                  </w:tcBorders>
                  <w:noWrap/>
                  <w:vAlign w:val="center"/>
                </w:tcPr>
                <w:p w14:paraId="6D270988">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窑尾袋收尘器</w:t>
                  </w:r>
                </w:p>
                <w:p w14:paraId="5F78FE7A">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处理风量：</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24</w:t>
                  </w:r>
                  <w:r>
                    <w:rPr>
                      <w:rFonts w:hint="default" w:ascii="Times New Roman" w:hAnsi="Times New Roman" w:eastAsia="宋体" w:cs="Times New Roman"/>
                      <w:color w:val="000000" w:themeColor="text1"/>
                      <w:sz w:val="21"/>
                      <w:szCs w:val="21"/>
                      <w:highlight w:val="none"/>
                      <w14:textFill>
                        <w14:solidFill>
                          <w14:schemeClr w14:val="tx1"/>
                        </w14:solidFill>
                      </w14:textFill>
                    </w:rPr>
                    <w:t>0000m</w:t>
                  </w:r>
                  <w:r>
                    <w:rPr>
                      <w:rFonts w:hint="default" w:ascii="Times New Roman" w:hAnsi="Times New Roman" w:eastAsia="宋体" w:cs="Times New Roman"/>
                      <w:color w:val="000000" w:themeColor="text1"/>
                      <w:sz w:val="21"/>
                      <w:szCs w:val="21"/>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z w:val="21"/>
                      <w:szCs w:val="21"/>
                      <w:highlight w:val="none"/>
                      <w14:textFill>
                        <w14:solidFill>
                          <w14:schemeClr w14:val="tx1"/>
                        </w14:solidFill>
                      </w14:textFill>
                    </w:rPr>
                    <w:t>/h</w:t>
                  </w:r>
                </w:p>
                <w:p w14:paraId="11EC98A7">
                  <w:pPr>
                    <w:keepNext w:val="0"/>
                    <w:keepLines w:val="0"/>
                    <w:widowControl/>
                    <w:suppressLineNumbers w:val="0"/>
                    <w:jc w:val="lef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含尘气体温度：200℃（max:250℃）</w:t>
                  </w:r>
                </w:p>
                <w:p w14:paraId="2BB4E865">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净过滤面积</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5444</w:t>
                  </w:r>
                  <w:r>
                    <w:rPr>
                      <w:rFonts w:hint="default" w:ascii="Times New Roman" w:hAnsi="Times New Roman" w:eastAsia="宋体" w:cs="Times New Roman"/>
                      <w:color w:val="000000" w:themeColor="text1"/>
                      <w:sz w:val="21"/>
                      <w:szCs w:val="21"/>
                      <w:highlight w:val="none"/>
                      <w14:textFill>
                        <w14:solidFill>
                          <w14:schemeClr w14:val="tx1"/>
                        </w14:solidFill>
                      </w14:textFill>
                    </w:rPr>
                    <w:t>m</w:t>
                  </w:r>
                  <w:r>
                    <w:rPr>
                      <w:rFonts w:hint="default" w:ascii="Times New Roman" w:hAnsi="Times New Roman" w:eastAsia="宋体" w:cs="Times New Roman"/>
                      <w:color w:val="000000" w:themeColor="text1"/>
                      <w:sz w:val="21"/>
                      <w:szCs w:val="21"/>
                      <w:highlight w:val="none"/>
                      <w:vertAlign w:val="superscript"/>
                      <w14:textFill>
                        <w14:solidFill>
                          <w14:schemeClr w14:val="tx1"/>
                        </w14:solidFill>
                      </w14:textFill>
                    </w:rPr>
                    <w:t>2</w:t>
                  </w:r>
                </w:p>
                <w:p w14:paraId="6B0033FE">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净过滤风速</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≤0.</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75</w:t>
                  </w:r>
                  <w:r>
                    <w:rPr>
                      <w:rFonts w:hint="default" w:ascii="Times New Roman" w:hAnsi="Times New Roman" w:eastAsia="宋体" w:cs="Times New Roman"/>
                      <w:color w:val="000000" w:themeColor="text1"/>
                      <w:sz w:val="21"/>
                      <w:szCs w:val="21"/>
                      <w:highlight w:val="none"/>
                      <w14:textFill>
                        <w14:solidFill>
                          <w14:schemeClr w14:val="tx1"/>
                        </w14:solidFill>
                      </w14:textFill>
                    </w:rPr>
                    <w:t>m/min</w:t>
                  </w:r>
                </w:p>
                <w:p w14:paraId="4F1F082A">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壳体承受</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11</w:t>
                  </w:r>
                  <w:r>
                    <w:rPr>
                      <w:rFonts w:hint="default" w:ascii="Times New Roman" w:hAnsi="Times New Roman" w:eastAsia="宋体" w:cs="Times New Roman"/>
                      <w:color w:val="000000" w:themeColor="text1"/>
                      <w:sz w:val="21"/>
                      <w:szCs w:val="21"/>
                      <w:highlight w:val="none"/>
                      <w14:textFill>
                        <w14:solidFill>
                          <w14:schemeClr w14:val="tx1"/>
                        </w14:solidFill>
                      </w14:textFill>
                    </w:rPr>
                    <w:t>000Pa</w:t>
                  </w:r>
                </w:p>
                <w:p w14:paraId="485769AC">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入口气体含尘浓度：≤</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highlight w:val="none"/>
                      <w14:textFill>
                        <w14:solidFill>
                          <w14:schemeClr w14:val="tx1"/>
                        </w14:solidFill>
                      </w14:textFill>
                    </w:rPr>
                    <w:t>00g/Nm</w:t>
                  </w:r>
                  <w:r>
                    <w:rPr>
                      <w:rFonts w:hint="default" w:ascii="Times New Roman" w:hAnsi="Times New Roman" w:eastAsia="宋体" w:cs="Times New Roman"/>
                      <w:color w:val="000000" w:themeColor="text1"/>
                      <w:sz w:val="21"/>
                      <w:szCs w:val="21"/>
                      <w:highlight w:val="none"/>
                      <w:vertAlign w:val="superscript"/>
                      <w14:textFill>
                        <w14:solidFill>
                          <w14:schemeClr w14:val="tx1"/>
                        </w14:solidFill>
                      </w14:textFill>
                    </w:rPr>
                    <w:t>3</w:t>
                  </w:r>
                </w:p>
                <w:p w14:paraId="3B981714">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出口气体含尘浓度：≤</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3</w:t>
                  </w:r>
                  <w:r>
                    <w:rPr>
                      <w:rFonts w:hint="default" w:ascii="Times New Roman" w:hAnsi="Times New Roman" w:eastAsia="宋体" w:cs="Times New Roman"/>
                      <w:color w:val="000000" w:themeColor="text1"/>
                      <w:sz w:val="21"/>
                      <w:szCs w:val="21"/>
                      <w:highlight w:val="none"/>
                      <w14:textFill>
                        <w14:solidFill>
                          <w14:schemeClr w14:val="tx1"/>
                        </w14:solidFill>
                      </w14:textFill>
                    </w:rPr>
                    <w:t>0mg/Nm</w:t>
                  </w:r>
                  <w:r>
                    <w:rPr>
                      <w:rFonts w:hint="default" w:ascii="Times New Roman" w:hAnsi="Times New Roman" w:eastAsia="宋体" w:cs="Times New Roman"/>
                      <w:color w:val="000000" w:themeColor="text1"/>
                      <w:sz w:val="21"/>
                      <w:szCs w:val="21"/>
                      <w:highlight w:val="none"/>
                      <w:vertAlign w:val="superscript"/>
                      <w14:textFill>
                        <w14:solidFill>
                          <w14:schemeClr w14:val="tx1"/>
                        </w14:solidFill>
                      </w14:textFill>
                    </w:rPr>
                    <w:t>3</w:t>
                  </w:r>
                </w:p>
              </w:tc>
              <w:tc>
                <w:tcPr>
                  <w:tcW w:w="916" w:type="dxa"/>
                  <w:vMerge w:val="restart"/>
                  <w:tcBorders>
                    <w:top w:val="single" w:color="auto" w:sz="4" w:space="0"/>
                    <w:left w:val="single" w:color="auto" w:sz="4" w:space="0"/>
                    <w:right w:val="single" w:color="auto" w:sz="4" w:space="0"/>
                  </w:tcBorders>
                  <w:noWrap/>
                  <w:vAlign w:val="center"/>
                </w:tcPr>
                <w:p w14:paraId="5CE29E3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lang w:val="en-US"/>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w:t>
                  </w:r>
                </w:p>
              </w:tc>
              <w:tc>
                <w:tcPr>
                  <w:tcW w:w="690" w:type="dxa"/>
                  <w:tcBorders>
                    <w:top w:val="single" w:color="auto" w:sz="4" w:space="0"/>
                    <w:left w:val="single" w:color="auto" w:sz="4" w:space="0"/>
                    <w:bottom w:val="single" w:color="auto" w:sz="4" w:space="0"/>
                    <w:right w:val="single" w:color="auto" w:sz="4" w:space="0"/>
                  </w:tcBorders>
                  <w:noWrap/>
                  <w:vAlign w:val="center"/>
                </w:tcPr>
                <w:p w14:paraId="594BCE8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w:t>
                  </w:r>
                </w:p>
              </w:tc>
              <w:tc>
                <w:tcPr>
                  <w:tcW w:w="1152" w:type="dxa"/>
                  <w:vMerge w:val="restart"/>
                  <w:tcBorders>
                    <w:top w:val="single" w:color="auto" w:sz="4" w:space="0"/>
                    <w:left w:val="single" w:color="auto" w:sz="4" w:space="0"/>
                    <w:right w:val="single" w:color="auto" w:sz="4" w:space="0"/>
                  </w:tcBorders>
                  <w:noWrap/>
                  <w:vAlign w:val="center"/>
                </w:tcPr>
                <w:p w14:paraId="1FAC256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82.19</w:t>
                  </w:r>
                </w:p>
              </w:tc>
            </w:tr>
            <w:tr w14:paraId="4E9C3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30" w:type="dxa"/>
                  <w:vMerge w:val="continue"/>
                  <w:tcBorders>
                    <w:left w:val="single" w:color="auto" w:sz="4" w:space="0"/>
                    <w:bottom w:val="single" w:color="auto" w:sz="4" w:space="0"/>
                    <w:right w:val="single" w:color="auto" w:sz="4" w:space="0"/>
                  </w:tcBorders>
                  <w:noWrap/>
                  <w:vAlign w:val="center"/>
                </w:tcPr>
                <w:p w14:paraId="5955450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707" w:type="dxa"/>
                  <w:vMerge w:val="continue"/>
                  <w:tcBorders>
                    <w:left w:val="single" w:color="auto" w:sz="4" w:space="0"/>
                    <w:bottom w:val="single" w:color="auto" w:sz="4" w:space="0"/>
                    <w:right w:val="single" w:color="auto" w:sz="4" w:space="0"/>
                  </w:tcBorders>
                  <w:noWrap/>
                  <w:vAlign w:val="center"/>
                </w:tcPr>
                <w:p w14:paraId="6A53DDFC">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4207" w:type="dxa"/>
                  <w:tcBorders>
                    <w:top w:val="single" w:color="auto" w:sz="4" w:space="0"/>
                    <w:left w:val="single" w:color="auto" w:sz="4" w:space="0"/>
                    <w:bottom w:val="single" w:color="auto" w:sz="4" w:space="0"/>
                    <w:right w:val="single" w:color="auto" w:sz="4" w:space="0"/>
                  </w:tcBorders>
                  <w:noWrap/>
                  <w:vAlign w:val="center"/>
                </w:tcPr>
                <w:p w14:paraId="0C0BD014">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窑尾废气风机（高效风机）</w:t>
                  </w:r>
                </w:p>
                <w:p w14:paraId="0D09BD57">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流量：</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25</w:t>
                  </w:r>
                  <w:r>
                    <w:rPr>
                      <w:rFonts w:hint="default" w:ascii="Times New Roman" w:hAnsi="Times New Roman" w:eastAsia="宋体" w:cs="Times New Roman"/>
                      <w:color w:val="000000" w:themeColor="text1"/>
                      <w:sz w:val="21"/>
                      <w:szCs w:val="21"/>
                      <w:highlight w:val="none"/>
                      <w14:textFill>
                        <w14:solidFill>
                          <w14:schemeClr w14:val="tx1"/>
                        </w14:solidFill>
                      </w14:textFill>
                    </w:rPr>
                    <w:t>0000m</w:t>
                  </w:r>
                  <w:r>
                    <w:rPr>
                      <w:rFonts w:hint="default" w:ascii="Times New Roman" w:hAnsi="Times New Roman" w:eastAsia="宋体" w:cs="Times New Roman"/>
                      <w:color w:val="000000" w:themeColor="text1"/>
                      <w:sz w:val="21"/>
                      <w:szCs w:val="21"/>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z w:val="21"/>
                      <w:szCs w:val="21"/>
                      <w:highlight w:val="none"/>
                      <w14:textFill>
                        <w14:solidFill>
                          <w14:schemeClr w14:val="tx1"/>
                        </w14:solidFill>
                      </w14:textFill>
                    </w:rPr>
                    <w:t>/h</w:t>
                  </w:r>
                </w:p>
                <w:p w14:paraId="5FEE8994">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入口静压：-</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8</w:t>
                  </w:r>
                  <w:r>
                    <w:rPr>
                      <w:rFonts w:hint="default" w:ascii="Times New Roman" w:hAnsi="Times New Roman" w:eastAsia="宋体" w:cs="Times New Roman"/>
                      <w:color w:val="000000" w:themeColor="text1"/>
                      <w:sz w:val="21"/>
                      <w:szCs w:val="21"/>
                      <w:highlight w:val="none"/>
                      <w14:textFill>
                        <w14:solidFill>
                          <w14:schemeClr w14:val="tx1"/>
                        </w14:solidFill>
                      </w14:textFill>
                    </w:rPr>
                    <w:t>500Pa</w:t>
                  </w:r>
                </w:p>
                <w:p w14:paraId="0E3E05EF">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出口静压：</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20</w:t>
                  </w:r>
                  <w:r>
                    <w:rPr>
                      <w:rFonts w:hint="default" w:ascii="Times New Roman" w:hAnsi="Times New Roman" w:eastAsia="宋体" w:cs="Times New Roman"/>
                      <w:color w:val="000000" w:themeColor="text1"/>
                      <w:sz w:val="21"/>
                      <w:szCs w:val="21"/>
                      <w:highlight w:val="none"/>
                      <w14:textFill>
                        <w14:solidFill>
                          <w14:schemeClr w14:val="tx1"/>
                        </w14:solidFill>
                      </w14:textFill>
                    </w:rPr>
                    <w:t>00Pa</w:t>
                  </w:r>
                </w:p>
                <w:p w14:paraId="6CA8DA8B">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转速：</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145</w:t>
                  </w:r>
                  <w:r>
                    <w:rPr>
                      <w:rFonts w:hint="default" w:ascii="Times New Roman" w:hAnsi="Times New Roman" w:eastAsia="宋体" w:cs="Times New Roman"/>
                      <w:color w:val="000000" w:themeColor="text1"/>
                      <w:sz w:val="21"/>
                      <w:szCs w:val="21"/>
                      <w:highlight w:val="none"/>
                      <w14:textFill>
                        <w14:solidFill>
                          <w14:schemeClr w14:val="tx1"/>
                        </w14:solidFill>
                      </w14:textFill>
                    </w:rPr>
                    <w:t>0r/min</w:t>
                  </w:r>
                </w:p>
                <w:p w14:paraId="513DE3D0">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风温：</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18</w:t>
                  </w:r>
                  <w:r>
                    <w:rPr>
                      <w:rFonts w:hint="default" w:ascii="Times New Roman" w:hAnsi="Times New Roman" w:eastAsia="宋体" w:cs="Times New Roman"/>
                      <w:color w:val="000000" w:themeColor="text1"/>
                      <w:sz w:val="21"/>
                      <w:szCs w:val="21"/>
                      <w:highlight w:val="none"/>
                      <w14:textFill>
                        <w14:solidFill>
                          <w14:schemeClr w14:val="tx1"/>
                        </w14:solidFill>
                      </w14:textFill>
                    </w:rPr>
                    <w:t>0℃</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max2</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0</w:t>
                  </w:r>
                  <w:r>
                    <w:rPr>
                      <w:rFonts w:hint="default" w:ascii="Times New Roman" w:hAnsi="Times New Roman" w:eastAsia="宋体" w:cs="Times New Roman"/>
                      <w:color w:val="000000" w:themeColor="text1"/>
                      <w:sz w:val="21"/>
                      <w:szCs w:val="21"/>
                      <w:highlight w:val="none"/>
                      <w14:textFill>
                        <w14:solidFill>
                          <w14:schemeClr w14:val="tx1"/>
                        </w14:solidFill>
                      </w14:textFill>
                    </w:rPr>
                    <w:t>0℃</w:t>
                  </w:r>
                </w:p>
                <w:p w14:paraId="7F30866C">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电机功率：</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1120</w:t>
                  </w:r>
                  <w:r>
                    <w:rPr>
                      <w:rFonts w:hint="default" w:ascii="Times New Roman" w:hAnsi="Times New Roman" w:eastAsia="宋体" w:cs="Times New Roman"/>
                      <w:color w:val="000000" w:themeColor="text1"/>
                      <w:sz w:val="21"/>
                      <w:szCs w:val="21"/>
                      <w:highlight w:val="none"/>
                      <w14:textFill>
                        <w14:solidFill>
                          <w14:schemeClr w14:val="tx1"/>
                        </w14:solidFill>
                      </w14:textFill>
                    </w:rPr>
                    <w:t>kW（变频调速）</w:t>
                  </w:r>
                </w:p>
              </w:tc>
              <w:tc>
                <w:tcPr>
                  <w:tcW w:w="916" w:type="dxa"/>
                  <w:vMerge w:val="continue"/>
                  <w:tcBorders>
                    <w:left w:val="single" w:color="auto" w:sz="4" w:space="0"/>
                    <w:bottom w:val="single" w:color="auto" w:sz="4" w:space="0"/>
                    <w:right w:val="single" w:color="auto" w:sz="4" w:space="0"/>
                  </w:tcBorders>
                  <w:noWrap/>
                  <w:vAlign w:val="center"/>
                </w:tcPr>
                <w:p w14:paraId="3E4F170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690" w:type="dxa"/>
                  <w:tcBorders>
                    <w:top w:val="single" w:color="auto" w:sz="4" w:space="0"/>
                    <w:left w:val="single" w:color="auto" w:sz="4" w:space="0"/>
                    <w:bottom w:val="single" w:color="auto" w:sz="4" w:space="0"/>
                    <w:right w:val="single" w:color="auto" w:sz="4" w:space="0"/>
                  </w:tcBorders>
                  <w:noWrap/>
                  <w:vAlign w:val="center"/>
                </w:tcPr>
                <w:p w14:paraId="0C4F0D64">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w:t>
                  </w:r>
                </w:p>
              </w:tc>
              <w:tc>
                <w:tcPr>
                  <w:tcW w:w="1152" w:type="dxa"/>
                  <w:vMerge w:val="continue"/>
                  <w:tcBorders>
                    <w:left w:val="single" w:color="auto" w:sz="4" w:space="0"/>
                    <w:bottom w:val="single" w:color="auto" w:sz="4" w:space="0"/>
                    <w:right w:val="single" w:color="auto" w:sz="4" w:space="0"/>
                  </w:tcBorders>
                  <w:noWrap/>
                  <w:vAlign w:val="center"/>
                </w:tcPr>
                <w:p w14:paraId="5533B21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3142A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30" w:type="dxa"/>
                  <w:vMerge w:val="restart"/>
                  <w:tcBorders>
                    <w:top w:val="single" w:color="auto" w:sz="4" w:space="0"/>
                    <w:left w:val="single" w:color="auto" w:sz="4" w:space="0"/>
                    <w:right w:val="single" w:color="auto" w:sz="4" w:space="0"/>
                  </w:tcBorders>
                  <w:noWrap/>
                  <w:vAlign w:val="center"/>
                </w:tcPr>
                <w:p w14:paraId="0BD529D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w:t>
                  </w:r>
                </w:p>
              </w:tc>
              <w:tc>
                <w:tcPr>
                  <w:tcW w:w="707" w:type="dxa"/>
                  <w:vMerge w:val="restart"/>
                  <w:tcBorders>
                    <w:top w:val="single" w:color="auto" w:sz="4" w:space="0"/>
                    <w:left w:val="single" w:color="auto" w:sz="4" w:space="0"/>
                    <w:right w:val="single" w:color="auto" w:sz="4" w:space="0"/>
                  </w:tcBorders>
                  <w:noWrap/>
                  <w:vAlign w:val="center"/>
                </w:tcPr>
                <w:p w14:paraId="421DB39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煅烧</w:t>
                  </w:r>
                </w:p>
                <w:p w14:paraId="499422F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窑尾</w:t>
                  </w:r>
                </w:p>
              </w:tc>
              <w:tc>
                <w:tcPr>
                  <w:tcW w:w="4207" w:type="dxa"/>
                  <w:tcBorders>
                    <w:top w:val="single" w:color="auto" w:sz="4" w:space="0"/>
                    <w:left w:val="single" w:color="auto" w:sz="4" w:space="0"/>
                    <w:bottom w:val="single" w:color="auto" w:sz="4" w:space="0"/>
                    <w:right w:val="single" w:color="auto" w:sz="4" w:space="0"/>
                  </w:tcBorders>
                  <w:noWrap/>
                  <w:vAlign w:val="center"/>
                </w:tcPr>
                <w:p w14:paraId="180EE50F">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悬浮煅烧系统</w:t>
                  </w:r>
                </w:p>
                <w:p w14:paraId="480FAD04">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旋风筒规格</w:t>
                  </w:r>
                </w:p>
                <w:p w14:paraId="2FE970DE">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2-C1</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φ</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43</w:t>
                  </w:r>
                  <w:r>
                    <w:rPr>
                      <w:rFonts w:hint="default" w:ascii="Times New Roman" w:hAnsi="Times New Roman" w:eastAsia="宋体" w:cs="Times New Roman"/>
                      <w:color w:val="000000" w:themeColor="text1"/>
                      <w:sz w:val="21"/>
                      <w:szCs w:val="21"/>
                      <w:highlight w:val="none"/>
                      <w14:textFill>
                        <w14:solidFill>
                          <w14:schemeClr w14:val="tx1"/>
                        </w14:solidFill>
                      </w14:textFill>
                    </w:rPr>
                    <w:t>00mm</w:t>
                  </w:r>
                </w:p>
                <w:p w14:paraId="71AA6D4B">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C2</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φ5500mm</w:t>
                  </w:r>
                </w:p>
                <w:p w14:paraId="6815C1E8">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C3</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φ5500mm</w:t>
                  </w:r>
                </w:p>
                <w:p w14:paraId="78797900">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C4</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φ5500mm</w:t>
                  </w:r>
                </w:p>
                <w:p w14:paraId="29196E04">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悬浮炉规格：φ4000mm</w:t>
                  </w:r>
                </w:p>
              </w:tc>
              <w:tc>
                <w:tcPr>
                  <w:tcW w:w="916" w:type="dxa"/>
                  <w:vMerge w:val="restart"/>
                  <w:tcBorders>
                    <w:top w:val="single" w:color="auto" w:sz="4" w:space="0"/>
                    <w:left w:val="single" w:color="auto" w:sz="4" w:space="0"/>
                    <w:right w:val="single" w:color="auto" w:sz="4" w:space="0"/>
                  </w:tcBorders>
                  <w:noWrap/>
                  <w:vAlign w:val="center"/>
                </w:tcPr>
                <w:p w14:paraId="5DD1AA5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667</w:t>
                  </w:r>
                  <w:r>
                    <w:rPr>
                      <w:rFonts w:hint="default" w:ascii="Times New Roman" w:hAnsi="Times New Roman" w:eastAsia="宋体" w:cs="Times New Roman"/>
                      <w:color w:val="000000" w:themeColor="text1"/>
                      <w:sz w:val="21"/>
                      <w:szCs w:val="21"/>
                      <w:highlight w:val="none"/>
                      <w14:textFill>
                        <w14:solidFill>
                          <w14:schemeClr w14:val="tx1"/>
                        </w14:solidFill>
                      </w14:textFill>
                    </w:rPr>
                    <w:t>t/d</w:t>
                  </w:r>
                </w:p>
              </w:tc>
              <w:tc>
                <w:tcPr>
                  <w:tcW w:w="690" w:type="dxa"/>
                  <w:tcBorders>
                    <w:top w:val="single" w:color="auto" w:sz="4" w:space="0"/>
                    <w:left w:val="single" w:color="auto" w:sz="4" w:space="0"/>
                    <w:bottom w:val="single" w:color="auto" w:sz="4" w:space="0"/>
                    <w:right w:val="single" w:color="auto" w:sz="4" w:space="0"/>
                  </w:tcBorders>
                  <w:noWrap/>
                  <w:vAlign w:val="center"/>
                </w:tcPr>
                <w:p w14:paraId="628D6EF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w:t>
                  </w:r>
                </w:p>
              </w:tc>
              <w:tc>
                <w:tcPr>
                  <w:tcW w:w="1152" w:type="dxa"/>
                  <w:vMerge w:val="restart"/>
                  <w:tcBorders>
                    <w:top w:val="single" w:color="auto" w:sz="4" w:space="0"/>
                    <w:left w:val="single" w:color="auto" w:sz="4" w:space="0"/>
                    <w:right w:val="single" w:color="auto" w:sz="4" w:space="0"/>
                  </w:tcBorders>
                  <w:noWrap/>
                  <w:vAlign w:val="center"/>
                </w:tcPr>
                <w:p w14:paraId="2C71D79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82.19</w:t>
                  </w:r>
                </w:p>
              </w:tc>
            </w:tr>
            <w:tr w14:paraId="7E438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30" w:type="dxa"/>
                  <w:vMerge w:val="continue"/>
                  <w:tcBorders>
                    <w:top w:val="single" w:color="auto" w:sz="4" w:space="0"/>
                    <w:left w:val="single" w:color="auto" w:sz="4" w:space="0"/>
                    <w:right w:val="single" w:color="auto" w:sz="4" w:space="0"/>
                  </w:tcBorders>
                  <w:noWrap/>
                  <w:vAlign w:val="center"/>
                </w:tcPr>
                <w:p w14:paraId="46B7D3C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707" w:type="dxa"/>
                  <w:vMerge w:val="continue"/>
                  <w:tcBorders>
                    <w:top w:val="single" w:color="auto" w:sz="4" w:space="0"/>
                    <w:left w:val="single" w:color="auto" w:sz="4" w:space="0"/>
                    <w:right w:val="single" w:color="auto" w:sz="4" w:space="0"/>
                  </w:tcBorders>
                  <w:noWrap/>
                  <w:vAlign w:val="center"/>
                </w:tcPr>
                <w:p w14:paraId="5C63021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4207" w:type="dxa"/>
                  <w:tcBorders>
                    <w:top w:val="single" w:color="auto" w:sz="4" w:space="0"/>
                    <w:left w:val="single" w:color="auto" w:sz="4" w:space="0"/>
                    <w:bottom w:val="single" w:color="auto" w:sz="4" w:space="0"/>
                    <w:right w:val="single" w:color="auto" w:sz="4" w:space="0"/>
                  </w:tcBorders>
                  <w:noWrap/>
                  <w:vAlign w:val="center"/>
                </w:tcPr>
                <w:p w14:paraId="621455E4">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高温风机（高效风机）</w:t>
                  </w:r>
                </w:p>
                <w:p w14:paraId="46CBA78A">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风量：180000m</w:t>
                  </w:r>
                  <w:r>
                    <w:rPr>
                      <w:rFonts w:hint="default" w:ascii="Times New Roman" w:hAnsi="Times New Roman" w:eastAsia="宋体" w:cs="Times New Roman"/>
                      <w:color w:val="000000" w:themeColor="text1"/>
                      <w:sz w:val="21"/>
                      <w:szCs w:val="21"/>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z w:val="21"/>
                      <w:szCs w:val="21"/>
                      <w:highlight w:val="none"/>
                      <w14:textFill>
                        <w14:solidFill>
                          <w14:schemeClr w14:val="tx1"/>
                        </w14:solidFill>
                      </w14:textFill>
                    </w:rPr>
                    <w:t>/h</w:t>
                  </w:r>
                </w:p>
                <w:p w14:paraId="51A2B5E1">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进口静压：7000Pa</w:t>
                  </w:r>
                </w:p>
                <w:p w14:paraId="08D52298">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工作温度：200℃</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max350℃</w:t>
                  </w:r>
                </w:p>
                <w:p w14:paraId="602415D6">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最高瞬时温度：450℃</w:t>
                  </w:r>
                </w:p>
                <w:p w14:paraId="3DD81ADE">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转速：980r/min</w:t>
                  </w:r>
                </w:p>
                <w:p w14:paraId="17D27970">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主电机功率：560kW</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变频调速</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w:t>
                  </w:r>
                </w:p>
              </w:tc>
              <w:tc>
                <w:tcPr>
                  <w:tcW w:w="916" w:type="dxa"/>
                  <w:vMerge w:val="continue"/>
                  <w:tcBorders>
                    <w:top w:val="single" w:color="auto" w:sz="4" w:space="0"/>
                    <w:left w:val="single" w:color="auto" w:sz="4" w:space="0"/>
                    <w:right w:val="single" w:color="auto" w:sz="4" w:space="0"/>
                  </w:tcBorders>
                  <w:noWrap/>
                  <w:vAlign w:val="center"/>
                </w:tcPr>
                <w:p w14:paraId="7ADEFD9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690" w:type="dxa"/>
                  <w:tcBorders>
                    <w:top w:val="single" w:color="auto" w:sz="4" w:space="0"/>
                    <w:left w:val="single" w:color="auto" w:sz="4" w:space="0"/>
                    <w:bottom w:val="single" w:color="auto" w:sz="4" w:space="0"/>
                    <w:right w:val="single" w:color="auto" w:sz="4" w:space="0"/>
                  </w:tcBorders>
                  <w:noWrap/>
                  <w:vAlign w:val="center"/>
                </w:tcPr>
                <w:p w14:paraId="12D65744">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w:t>
                  </w:r>
                </w:p>
              </w:tc>
              <w:tc>
                <w:tcPr>
                  <w:tcW w:w="1152" w:type="dxa"/>
                  <w:vMerge w:val="continue"/>
                  <w:tcBorders>
                    <w:top w:val="single" w:color="auto" w:sz="4" w:space="0"/>
                    <w:left w:val="single" w:color="auto" w:sz="4" w:space="0"/>
                    <w:right w:val="single" w:color="auto" w:sz="4" w:space="0"/>
                  </w:tcBorders>
                  <w:noWrap/>
                  <w:vAlign w:val="center"/>
                </w:tcPr>
                <w:p w14:paraId="4129ADC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13833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30" w:type="dxa"/>
                  <w:tcBorders>
                    <w:top w:val="single" w:color="auto" w:sz="4" w:space="0"/>
                    <w:left w:val="single" w:color="auto" w:sz="4" w:space="0"/>
                    <w:right w:val="single" w:color="auto" w:sz="4" w:space="0"/>
                  </w:tcBorders>
                  <w:noWrap/>
                  <w:vAlign w:val="center"/>
                </w:tcPr>
                <w:p w14:paraId="038E3BD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3</w:t>
                  </w:r>
                </w:p>
              </w:tc>
              <w:tc>
                <w:tcPr>
                  <w:tcW w:w="707" w:type="dxa"/>
                  <w:tcBorders>
                    <w:top w:val="single" w:color="auto" w:sz="4" w:space="0"/>
                    <w:left w:val="single" w:color="auto" w:sz="4" w:space="0"/>
                    <w:right w:val="single" w:color="auto" w:sz="4" w:space="0"/>
                  </w:tcBorders>
                  <w:noWrap/>
                  <w:vAlign w:val="center"/>
                </w:tcPr>
                <w:p w14:paraId="7BB73E6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煅烧</w:t>
                  </w:r>
                </w:p>
                <w:p w14:paraId="2A484C8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窑中</w:t>
                  </w:r>
                </w:p>
              </w:tc>
              <w:tc>
                <w:tcPr>
                  <w:tcW w:w="4207" w:type="dxa"/>
                  <w:tcBorders>
                    <w:top w:val="single" w:color="auto" w:sz="4" w:space="0"/>
                    <w:left w:val="single" w:color="auto" w:sz="4" w:space="0"/>
                    <w:bottom w:val="single" w:color="auto" w:sz="4" w:space="0"/>
                    <w:right w:val="single" w:color="auto" w:sz="4" w:space="0"/>
                  </w:tcBorders>
                  <w:noWrap/>
                  <w:vAlign w:val="center"/>
                </w:tcPr>
                <w:p w14:paraId="3EDD231D">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回转窑</w:t>
                  </w:r>
                </w:p>
                <w:p w14:paraId="01169EFE">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规格：ф4</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highlight w:val="none"/>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70</w:t>
                  </w:r>
                  <w:r>
                    <w:rPr>
                      <w:rFonts w:hint="default" w:ascii="Times New Roman" w:hAnsi="Times New Roman" w:eastAsia="宋体" w:cs="Times New Roman"/>
                      <w:color w:val="000000" w:themeColor="text1"/>
                      <w:sz w:val="21"/>
                      <w:szCs w:val="21"/>
                      <w:highlight w:val="none"/>
                      <w14:textFill>
                        <w14:solidFill>
                          <w14:schemeClr w14:val="tx1"/>
                        </w14:solidFill>
                      </w14:textFill>
                    </w:rPr>
                    <w:t>m</w:t>
                  </w:r>
                </w:p>
                <w:p w14:paraId="44545397">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转速：0.37～3.7r/min</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主传</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w:t>
                  </w:r>
                </w:p>
                <w:p w14:paraId="5BA0C8C4">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主电机功率：</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40</w:t>
                  </w:r>
                  <w:r>
                    <w:rPr>
                      <w:rFonts w:hint="default" w:ascii="Times New Roman" w:hAnsi="Times New Roman" w:eastAsia="宋体" w:cs="Times New Roman"/>
                      <w:color w:val="000000" w:themeColor="text1"/>
                      <w:sz w:val="21"/>
                      <w:szCs w:val="21"/>
                      <w:highlight w:val="none"/>
                      <w14:textFill>
                        <w14:solidFill>
                          <w14:schemeClr w14:val="tx1"/>
                        </w14:solidFill>
                      </w14:textFill>
                    </w:rPr>
                    <w:t>0kW</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变频调速</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w:t>
                  </w:r>
                </w:p>
              </w:tc>
              <w:tc>
                <w:tcPr>
                  <w:tcW w:w="916" w:type="dxa"/>
                  <w:tcBorders>
                    <w:top w:val="single" w:color="auto" w:sz="4" w:space="0"/>
                    <w:left w:val="single" w:color="auto" w:sz="4" w:space="0"/>
                    <w:right w:val="single" w:color="auto" w:sz="4" w:space="0"/>
                  </w:tcBorders>
                  <w:noWrap/>
                  <w:vAlign w:val="center"/>
                </w:tcPr>
                <w:p w14:paraId="5A1F1F0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667</w:t>
                  </w:r>
                  <w:r>
                    <w:rPr>
                      <w:rFonts w:hint="default" w:ascii="Times New Roman" w:hAnsi="Times New Roman" w:eastAsia="宋体" w:cs="Times New Roman"/>
                      <w:color w:val="000000" w:themeColor="text1"/>
                      <w:sz w:val="21"/>
                      <w:szCs w:val="21"/>
                      <w:highlight w:val="none"/>
                      <w14:textFill>
                        <w14:solidFill>
                          <w14:schemeClr w14:val="tx1"/>
                        </w14:solidFill>
                      </w14:textFill>
                    </w:rPr>
                    <w:t>t/d</w:t>
                  </w:r>
                </w:p>
              </w:tc>
              <w:tc>
                <w:tcPr>
                  <w:tcW w:w="690" w:type="dxa"/>
                  <w:tcBorders>
                    <w:top w:val="single" w:color="auto" w:sz="4" w:space="0"/>
                    <w:left w:val="single" w:color="auto" w:sz="4" w:space="0"/>
                    <w:bottom w:val="single" w:color="auto" w:sz="4" w:space="0"/>
                    <w:right w:val="single" w:color="auto" w:sz="4" w:space="0"/>
                  </w:tcBorders>
                  <w:noWrap/>
                  <w:vAlign w:val="center"/>
                </w:tcPr>
                <w:p w14:paraId="5190834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w:t>
                  </w:r>
                </w:p>
              </w:tc>
              <w:tc>
                <w:tcPr>
                  <w:tcW w:w="1152" w:type="dxa"/>
                  <w:tcBorders>
                    <w:top w:val="single" w:color="auto" w:sz="4" w:space="0"/>
                    <w:left w:val="single" w:color="auto" w:sz="4" w:space="0"/>
                    <w:right w:val="single" w:color="auto" w:sz="4" w:space="0"/>
                  </w:tcBorders>
                  <w:noWrap/>
                  <w:vAlign w:val="center"/>
                </w:tcPr>
                <w:p w14:paraId="6A50235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82.19</w:t>
                  </w:r>
                </w:p>
              </w:tc>
            </w:tr>
            <w:tr w14:paraId="2DEC5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30" w:type="dxa"/>
                  <w:vMerge w:val="restart"/>
                  <w:tcBorders>
                    <w:left w:val="single" w:color="auto" w:sz="4" w:space="0"/>
                    <w:right w:val="single" w:color="auto" w:sz="4" w:space="0"/>
                  </w:tcBorders>
                  <w:noWrap/>
                  <w:vAlign w:val="center"/>
                </w:tcPr>
                <w:p w14:paraId="52D0D14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4</w:t>
                  </w:r>
                </w:p>
              </w:tc>
              <w:tc>
                <w:tcPr>
                  <w:tcW w:w="707" w:type="dxa"/>
                  <w:vMerge w:val="restart"/>
                  <w:tcBorders>
                    <w:left w:val="single" w:color="auto" w:sz="4" w:space="0"/>
                    <w:right w:val="single" w:color="auto" w:sz="4" w:space="0"/>
                  </w:tcBorders>
                  <w:noWrap/>
                  <w:vAlign w:val="center"/>
                </w:tcPr>
                <w:p w14:paraId="7A4B40A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高岭土冷却</w:t>
                  </w:r>
                </w:p>
              </w:tc>
              <w:tc>
                <w:tcPr>
                  <w:tcW w:w="4207" w:type="dxa"/>
                  <w:tcBorders>
                    <w:top w:val="single" w:color="auto" w:sz="4" w:space="0"/>
                    <w:left w:val="single" w:color="auto" w:sz="4" w:space="0"/>
                    <w:bottom w:val="single" w:color="auto" w:sz="4" w:space="0"/>
                    <w:right w:val="single" w:color="auto" w:sz="4" w:space="0"/>
                  </w:tcBorders>
                  <w:noWrap/>
                  <w:vAlign w:val="center"/>
                </w:tcPr>
                <w:p w14:paraId="70B695E1">
                  <w:pPr>
                    <w:keepNext w:val="0"/>
                    <w:keepLines w:val="0"/>
                    <w:widowControl/>
                    <w:suppressLineNumbers w:val="0"/>
                    <w:jc w:val="lef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燃气热风炉</w:t>
                  </w:r>
                </w:p>
                <w:p w14:paraId="7601F885">
                  <w:pPr>
                    <w:keepNext w:val="0"/>
                    <w:keepLines w:val="0"/>
                    <w:widowControl/>
                    <w:suppressLineNumbers w:val="0"/>
                    <w:jc w:val="lef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能力：18GCal/h</w:t>
                  </w:r>
                </w:p>
                <w:p w14:paraId="0A8038AF">
                  <w:pPr>
                    <w:keepNext w:val="0"/>
                    <w:keepLines w:val="0"/>
                    <w:widowControl/>
                    <w:suppressLineNumbers w:val="0"/>
                    <w:jc w:val="lef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荒煤气消耗量：8000Nm</w:t>
                  </w:r>
                  <w:r>
                    <w:rPr>
                      <w:rFonts w:hint="default" w:ascii="Times New Roman" w:hAnsi="Times New Roman" w:eastAsia="宋体" w:cs="Times New Roman"/>
                      <w:color w:val="000000" w:themeColor="text1"/>
                      <w:kern w:val="0"/>
                      <w:sz w:val="21"/>
                      <w:szCs w:val="21"/>
                      <w:highlight w:val="none"/>
                      <w:vertAlign w:val="superscript"/>
                      <w:lang w:val="en-US" w:eastAsia="zh-CN" w:bidi="ar"/>
                      <w14:textFill>
                        <w14:solidFill>
                          <w14:schemeClr w14:val="tx1"/>
                        </w14:solidFill>
                      </w14:textFill>
                    </w:rPr>
                    <w:t>3</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/h</w:t>
                  </w:r>
                </w:p>
                <w:p w14:paraId="164C31E7">
                  <w:pPr>
                    <w:keepNext w:val="0"/>
                    <w:keepLines w:val="0"/>
                    <w:widowControl/>
                    <w:suppressLineNumbers w:val="0"/>
                    <w:jc w:val="left"/>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荒煤气低位热值：1635kCal/Nm</w:t>
                  </w:r>
                  <w:r>
                    <w:rPr>
                      <w:rFonts w:hint="default" w:ascii="Times New Roman" w:hAnsi="Times New Roman" w:eastAsia="宋体" w:cs="Times New Roman"/>
                      <w:color w:val="000000" w:themeColor="text1"/>
                      <w:kern w:val="0"/>
                      <w:sz w:val="21"/>
                      <w:szCs w:val="21"/>
                      <w:highlight w:val="none"/>
                      <w:vertAlign w:val="superscript"/>
                      <w:lang w:val="en-US" w:eastAsia="zh-CN" w:bidi="ar"/>
                      <w14:textFill>
                        <w14:solidFill>
                          <w14:schemeClr w14:val="tx1"/>
                        </w14:solidFill>
                      </w14:textFill>
                    </w:rPr>
                    <w:t>3</w:t>
                  </w:r>
                </w:p>
              </w:tc>
              <w:tc>
                <w:tcPr>
                  <w:tcW w:w="916" w:type="dxa"/>
                  <w:tcBorders>
                    <w:top w:val="single" w:color="auto" w:sz="4" w:space="0"/>
                    <w:left w:val="single" w:color="auto" w:sz="4" w:space="0"/>
                    <w:right w:val="single" w:color="auto" w:sz="4" w:space="0"/>
                  </w:tcBorders>
                  <w:noWrap/>
                  <w:vAlign w:val="center"/>
                </w:tcPr>
                <w:p w14:paraId="0865112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w:t>
                  </w:r>
                </w:p>
              </w:tc>
              <w:tc>
                <w:tcPr>
                  <w:tcW w:w="690" w:type="dxa"/>
                  <w:tcBorders>
                    <w:top w:val="single" w:color="auto" w:sz="4" w:space="0"/>
                    <w:left w:val="single" w:color="auto" w:sz="4" w:space="0"/>
                    <w:bottom w:val="single" w:color="auto" w:sz="4" w:space="0"/>
                    <w:right w:val="single" w:color="auto" w:sz="4" w:space="0"/>
                  </w:tcBorders>
                  <w:noWrap/>
                  <w:vAlign w:val="center"/>
                </w:tcPr>
                <w:p w14:paraId="2D2AD22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w:t>
                  </w:r>
                </w:p>
              </w:tc>
              <w:tc>
                <w:tcPr>
                  <w:tcW w:w="1152" w:type="dxa"/>
                  <w:tcBorders>
                    <w:top w:val="single" w:color="auto" w:sz="4" w:space="0"/>
                    <w:left w:val="single" w:color="auto" w:sz="4" w:space="0"/>
                    <w:right w:val="single" w:color="auto" w:sz="4" w:space="0"/>
                  </w:tcBorders>
                  <w:noWrap/>
                  <w:vAlign w:val="center"/>
                </w:tcPr>
                <w:p w14:paraId="602E162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82.19</w:t>
                  </w:r>
                </w:p>
              </w:tc>
            </w:tr>
            <w:tr w14:paraId="48DA0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30" w:type="dxa"/>
                  <w:vMerge w:val="continue"/>
                  <w:tcBorders>
                    <w:left w:val="single" w:color="auto" w:sz="4" w:space="0"/>
                    <w:right w:val="single" w:color="auto" w:sz="4" w:space="0"/>
                  </w:tcBorders>
                  <w:noWrap/>
                  <w:vAlign w:val="center"/>
                </w:tcPr>
                <w:p w14:paraId="266453F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707" w:type="dxa"/>
                  <w:vMerge w:val="continue"/>
                  <w:tcBorders>
                    <w:left w:val="single" w:color="auto" w:sz="4" w:space="0"/>
                    <w:right w:val="single" w:color="auto" w:sz="4" w:space="0"/>
                  </w:tcBorders>
                  <w:noWrap/>
                  <w:vAlign w:val="center"/>
                </w:tcPr>
                <w:p w14:paraId="0BA6A6F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4207" w:type="dxa"/>
                  <w:tcBorders>
                    <w:top w:val="single" w:color="auto" w:sz="4" w:space="0"/>
                    <w:left w:val="single" w:color="auto" w:sz="4" w:space="0"/>
                    <w:bottom w:val="single" w:color="auto" w:sz="4" w:space="0"/>
                    <w:right w:val="single" w:color="auto" w:sz="4" w:space="0"/>
                  </w:tcBorders>
                  <w:noWrap/>
                  <w:vAlign w:val="center"/>
                </w:tcPr>
                <w:p w14:paraId="0BB7A600">
                  <w:pPr>
                    <w:keepNext w:val="0"/>
                    <w:keepLines w:val="0"/>
                    <w:widowControl/>
                    <w:suppressLineNumbers w:val="0"/>
                    <w:jc w:val="lef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高温粉体冷却机</w:t>
                  </w:r>
                </w:p>
                <w:p w14:paraId="1A7AB2AD">
                  <w:pPr>
                    <w:keepNext w:val="0"/>
                    <w:keepLines w:val="0"/>
                    <w:widowControl/>
                    <w:suppressLineNumbers w:val="0"/>
                    <w:jc w:val="lef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用途：粉体冷却与热回收</w:t>
                  </w:r>
                </w:p>
                <w:p w14:paraId="02681247">
                  <w:pPr>
                    <w:keepNext w:val="0"/>
                    <w:keepLines w:val="0"/>
                    <w:widowControl/>
                    <w:suppressLineNumbers w:val="0"/>
                    <w:jc w:val="lef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入料温度：900～1150℃</w:t>
                  </w:r>
                </w:p>
                <w:p w14:paraId="129F5854">
                  <w:pPr>
                    <w:keepNext w:val="0"/>
                    <w:keepLines w:val="0"/>
                    <w:widowControl/>
                    <w:suppressLineNumbers w:val="0"/>
                    <w:jc w:val="lef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出料温度：≤400℃</w:t>
                  </w:r>
                </w:p>
                <w:p w14:paraId="45F58E8A">
                  <w:pPr>
                    <w:keepNext w:val="0"/>
                    <w:keepLines w:val="0"/>
                    <w:widowControl/>
                    <w:suppressLineNumbers w:val="0"/>
                    <w:jc w:val="left"/>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装机功率</w:t>
                  </w:r>
                  <w:r>
                    <w:rPr>
                      <w:rFonts w:hint="default" w:ascii="Times New Roman" w:hAnsi="Times New Roman" w:cs="Times New Roman"/>
                      <w:color w:val="000000" w:themeColor="text1"/>
                      <w:kern w:val="0"/>
                      <w:sz w:val="21"/>
                      <w:szCs w:val="21"/>
                      <w:highlight w:val="none"/>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330kW</w:t>
                  </w:r>
                </w:p>
              </w:tc>
              <w:tc>
                <w:tcPr>
                  <w:tcW w:w="916" w:type="dxa"/>
                  <w:tcBorders>
                    <w:top w:val="single" w:color="auto" w:sz="4" w:space="0"/>
                    <w:left w:val="single" w:color="auto" w:sz="4" w:space="0"/>
                    <w:right w:val="single" w:color="auto" w:sz="4" w:space="0"/>
                  </w:tcBorders>
                  <w:noWrap/>
                  <w:vAlign w:val="center"/>
                </w:tcPr>
                <w:p w14:paraId="2377FDA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667</w:t>
                  </w:r>
                  <w:r>
                    <w:rPr>
                      <w:rFonts w:hint="default" w:ascii="Times New Roman" w:hAnsi="Times New Roman" w:eastAsia="宋体" w:cs="Times New Roman"/>
                      <w:color w:val="000000" w:themeColor="text1"/>
                      <w:sz w:val="21"/>
                      <w:szCs w:val="21"/>
                      <w:highlight w:val="none"/>
                      <w14:textFill>
                        <w14:solidFill>
                          <w14:schemeClr w14:val="tx1"/>
                        </w14:solidFill>
                      </w14:textFill>
                    </w:rPr>
                    <w:t>t/d</w:t>
                  </w:r>
                </w:p>
              </w:tc>
              <w:tc>
                <w:tcPr>
                  <w:tcW w:w="690" w:type="dxa"/>
                  <w:tcBorders>
                    <w:top w:val="single" w:color="auto" w:sz="4" w:space="0"/>
                    <w:left w:val="single" w:color="auto" w:sz="4" w:space="0"/>
                    <w:bottom w:val="single" w:color="auto" w:sz="4" w:space="0"/>
                    <w:right w:val="single" w:color="auto" w:sz="4" w:space="0"/>
                  </w:tcBorders>
                  <w:noWrap/>
                  <w:vAlign w:val="center"/>
                </w:tcPr>
                <w:p w14:paraId="2FAC33B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w:t>
                  </w:r>
                </w:p>
              </w:tc>
              <w:tc>
                <w:tcPr>
                  <w:tcW w:w="1152" w:type="dxa"/>
                  <w:tcBorders>
                    <w:top w:val="single" w:color="auto" w:sz="4" w:space="0"/>
                    <w:left w:val="single" w:color="auto" w:sz="4" w:space="0"/>
                    <w:right w:val="single" w:color="auto" w:sz="4" w:space="0"/>
                  </w:tcBorders>
                  <w:noWrap/>
                  <w:vAlign w:val="center"/>
                </w:tcPr>
                <w:p w14:paraId="02F9492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82.19</w:t>
                  </w:r>
                </w:p>
              </w:tc>
            </w:tr>
            <w:tr w14:paraId="1731D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30" w:type="dxa"/>
                  <w:vMerge w:val="continue"/>
                  <w:tcBorders>
                    <w:left w:val="single" w:color="auto" w:sz="4" w:space="0"/>
                    <w:right w:val="single" w:color="auto" w:sz="4" w:space="0"/>
                  </w:tcBorders>
                  <w:noWrap/>
                  <w:vAlign w:val="center"/>
                </w:tcPr>
                <w:p w14:paraId="2B69B0B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707" w:type="dxa"/>
                  <w:vMerge w:val="continue"/>
                  <w:tcBorders>
                    <w:left w:val="single" w:color="auto" w:sz="4" w:space="0"/>
                    <w:right w:val="single" w:color="auto" w:sz="4" w:space="0"/>
                  </w:tcBorders>
                  <w:noWrap/>
                  <w:vAlign w:val="center"/>
                </w:tcPr>
                <w:p w14:paraId="57A1B36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4207" w:type="dxa"/>
                  <w:tcBorders>
                    <w:top w:val="single" w:color="auto" w:sz="4" w:space="0"/>
                    <w:left w:val="single" w:color="auto" w:sz="4" w:space="0"/>
                    <w:bottom w:val="single" w:color="auto" w:sz="4" w:space="0"/>
                    <w:right w:val="single" w:color="auto" w:sz="4" w:space="0"/>
                  </w:tcBorders>
                  <w:noWrap/>
                  <w:vAlign w:val="center"/>
                </w:tcPr>
                <w:p w14:paraId="7B34EC90">
                  <w:pPr>
                    <w:keepNext w:val="0"/>
                    <w:keepLines w:val="0"/>
                    <w:widowControl/>
                    <w:suppressLineNumbers w:val="0"/>
                    <w:jc w:val="lef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窑头冷却高温风机</w:t>
                  </w:r>
                </w:p>
                <w:p w14:paraId="14C8C742">
                  <w:pPr>
                    <w:keepNext w:val="0"/>
                    <w:keepLines w:val="0"/>
                    <w:widowControl/>
                    <w:suppressLineNumbers w:val="0"/>
                    <w:jc w:val="lef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流量：37000m</w:t>
                  </w:r>
                  <w:r>
                    <w:rPr>
                      <w:rFonts w:hint="default" w:ascii="Times New Roman" w:hAnsi="Times New Roman" w:eastAsia="宋体" w:cs="Times New Roman"/>
                      <w:color w:val="000000" w:themeColor="text1"/>
                      <w:kern w:val="0"/>
                      <w:sz w:val="21"/>
                      <w:szCs w:val="21"/>
                      <w:highlight w:val="none"/>
                      <w:vertAlign w:val="superscript"/>
                      <w:lang w:val="en-US" w:eastAsia="zh-CN" w:bidi="ar"/>
                      <w14:textFill>
                        <w14:solidFill>
                          <w14:schemeClr w14:val="tx1"/>
                        </w14:solidFill>
                      </w14:textFill>
                    </w:rPr>
                    <w:t>3</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/h</w:t>
                  </w:r>
                </w:p>
                <w:p w14:paraId="081D6EB8">
                  <w:pPr>
                    <w:keepNext w:val="0"/>
                    <w:keepLines w:val="0"/>
                    <w:widowControl/>
                    <w:suppressLineNumbers w:val="0"/>
                    <w:jc w:val="lef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全压：4300Pa</w:t>
                  </w:r>
                </w:p>
                <w:p w14:paraId="59BCECA1">
                  <w:pPr>
                    <w:keepNext w:val="0"/>
                    <w:keepLines w:val="0"/>
                    <w:widowControl/>
                    <w:suppressLineNumbers w:val="0"/>
                    <w:jc w:val="lef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转速：1450r/min</w:t>
                  </w:r>
                </w:p>
                <w:p w14:paraId="54A38AFA">
                  <w:pPr>
                    <w:keepNext w:val="0"/>
                    <w:keepLines w:val="0"/>
                    <w:widowControl/>
                    <w:suppressLineNumbers w:val="0"/>
                    <w:jc w:val="lef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风温：450℃</w:t>
                  </w:r>
                  <w:r>
                    <w:rPr>
                      <w:rFonts w:hint="default" w:ascii="Times New Roman" w:hAnsi="Times New Roman" w:cs="Times New Roman"/>
                      <w:color w:val="000000" w:themeColor="text1"/>
                      <w:kern w:val="0"/>
                      <w:sz w:val="21"/>
                      <w:szCs w:val="21"/>
                      <w:highlight w:val="none"/>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max550℃</w:t>
                  </w:r>
                </w:p>
                <w:p w14:paraId="5595D915">
                  <w:pPr>
                    <w:keepNext w:val="0"/>
                    <w:keepLines w:val="0"/>
                    <w:widowControl/>
                    <w:suppressLineNumbers w:val="0"/>
                    <w:jc w:val="left"/>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电机功率：75kW（变频调速）</w:t>
                  </w:r>
                </w:p>
              </w:tc>
              <w:tc>
                <w:tcPr>
                  <w:tcW w:w="916" w:type="dxa"/>
                  <w:tcBorders>
                    <w:top w:val="single" w:color="auto" w:sz="4" w:space="0"/>
                    <w:left w:val="single" w:color="auto" w:sz="4" w:space="0"/>
                    <w:right w:val="single" w:color="auto" w:sz="4" w:space="0"/>
                  </w:tcBorders>
                  <w:noWrap/>
                  <w:vAlign w:val="center"/>
                </w:tcPr>
                <w:p w14:paraId="03B98CC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p>
              </w:tc>
              <w:tc>
                <w:tcPr>
                  <w:tcW w:w="690" w:type="dxa"/>
                  <w:tcBorders>
                    <w:top w:val="single" w:color="auto" w:sz="4" w:space="0"/>
                    <w:left w:val="single" w:color="auto" w:sz="4" w:space="0"/>
                    <w:bottom w:val="single" w:color="auto" w:sz="4" w:space="0"/>
                    <w:right w:val="single" w:color="auto" w:sz="4" w:space="0"/>
                  </w:tcBorders>
                  <w:noWrap/>
                  <w:vAlign w:val="center"/>
                </w:tcPr>
                <w:p w14:paraId="01729F3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152" w:type="dxa"/>
                  <w:tcBorders>
                    <w:top w:val="single" w:color="auto" w:sz="4" w:space="0"/>
                    <w:left w:val="single" w:color="auto" w:sz="4" w:space="0"/>
                    <w:right w:val="single" w:color="auto" w:sz="4" w:space="0"/>
                  </w:tcBorders>
                  <w:noWrap/>
                  <w:vAlign w:val="center"/>
                </w:tcPr>
                <w:p w14:paraId="52CCECD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16152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30" w:type="dxa"/>
                  <w:vMerge w:val="restart"/>
                  <w:tcBorders>
                    <w:top w:val="single" w:color="auto" w:sz="4" w:space="0"/>
                    <w:left w:val="single" w:color="auto" w:sz="4" w:space="0"/>
                    <w:right w:val="single" w:color="auto" w:sz="4" w:space="0"/>
                  </w:tcBorders>
                  <w:noWrap/>
                  <w:vAlign w:val="center"/>
                </w:tcPr>
                <w:p w14:paraId="605A1E7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5</w:t>
                  </w:r>
                </w:p>
              </w:tc>
              <w:tc>
                <w:tcPr>
                  <w:tcW w:w="707" w:type="dxa"/>
                  <w:vMerge w:val="restart"/>
                  <w:tcBorders>
                    <w:top w:val="single" w:color="auto" w:sz="4" w:space="0"/>
                    <w:left w:val="single" w:color="auto" w:sz="4" w:space="0"/>
                    <w:right w:val="single" w:color="auto" w:sz="4" w:space="0"/>
                  </w:tcBorders>
                  <w:noWrap/>
                  <w:vAlign w:val="center"/>
                </w:tcPr>
                <w:p w14:paraId="7C5D3ED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高岭土</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分选</w:t>
                  </w:r>
                </w:p>
              </w:tc>
              <w:tc>
                <w:tcPr>
                  <w:tcW w:w="4207" w:type="dxa"/>
                  <w:tcBorders>
                    <w:top w:val="single" w:color="auto" w:sz="4" w:space="0"/>
                    <w:left w:val="single" w:color="auto" w:sz="4" w:space="0"/>
                    <w:bottom w:val="single" w:color="auto" w:sz="4" w:space="0"/>
                    <w:right w:val="single" w:color="auto" w:sz="4" w:space="0"/>
                  </w:tcBorders>
                  <w:noWrap/>
                  <w:vAlign w:val="center"/>
                </w:tcPr>
                <w:p w14:paraId="5E5CEAC8">
                  <w:pPr>
                    <w:keepNext w:val="0"/>
                    <w:keepLines w:val="0"/>
                    <w:widowControl/>
                    <w:suppressLineNumbers w:val="0"/>
                    <w:jc w:val="lef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分级机</w:t>
                  </w:r>
                </w:p>
                <w:p w14:paraId="0FA78EFD">
                  <w:pPr>
                    <w:keepNext w:val="0"/>
                    <w:keepLines w:val="0"/>
                    <w:widowControl/>
                    <w:suppressLineNumbers w:val="0"/>
                    <w:jc w:val="lef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喂料量：35t/h</w:t>
                  </w:r>
                </w:p>
                <w:p w14:paraId="794BF273">
                  <w:pPr>
                    <w:keepNext w:val="0"/>
                    <w:keepLines w:val="0"/>
                    <w:widowControl/>
                    <w:suppressLineNumbers w:val="0"/>
                    <w:jc w:val="lef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处理风量：160000m</w:t>
                  </w:r>
                  <w:r>
                    <w:rPr>
                      <w:rFonts w:hint="default" w:ascii="Times New Roman" w:hAnsi="Times New Roman" w:eastAsia="宋体" w:cs="Times New Roman"/>
                      <w:color w:val="000000" w:themeColor="text1"/>
                      <w:kern w:val="0"/>
                      <w:sz w:val="21"/>
                      <w:szCs w:val="21"/>
                      <w:highlight w:val="none"/>
                      <w:vertAlign w:val="superscript"/>
                      <w:lang w:val="en-US" w:eastAsia="zh-CN" w:bidi="ar"/>
                      <w14:textFill>
                        <w14:solidFill>
                          <w14:schemeClr w14:val="tx1"/>
                        </w14:solidFill>
                      </w14:textFill>
                    </w:rPr>
                    <w:t>3</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/h</w:t>
                  </w:r>
                </w:p>
                <w:p w14:paraId="67EE34C4">
                  <w:pPr>
                    <w:keepNext w:val="0"/>
                    <w:keepLines w:val="0"/>
                    <w:widowControl/>
                    <w:suppressLineNumbers w:val="0"/>
                    <w:jc w:val="lef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进口风速：30m/s</w:t>
                  </w:r>
                </w:p>
                <w:p w14:paraId="113430CB">
                  <w:pPr>
                    <w:keepNext w:val="0"/>
                    <w:keepLines w:val="0"/>
                    <w:widowControl/>
                    <w:suppressLineNumbers w:val="0"/>
                    <w:jc w:val="lef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出口风速：≤18m/s</w:t>
                  </w:r>
                </w:p>
                <w:p w14:paraId="44BEADE1">
                  <w:pPr>
                    <w:keepNext w:val="0"/>
                    <w:keepLines w:val="0"/>
                    <w:widowControl/>
                    <w:suppressLineNumbers w:val="0"/>
                    <w:jc w:val="lef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设备阻力：＜3000Pa</w:t>
                  </w:r>
                </w:p>
                <w:p w14:paraId="00043E52">
                  <w:pPr>
                    <w:keepNext w:val="0"/>
                    <w:keepLines w:val="0"/>
                    <w:widowControl/>
                    <w:suppressLineNumbers w:val="0"/>
                    <w:jc w:val="left"/>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主电机功率：160kW（变频调速）</w:t>
                  </w:r>
                </w:p>
              </w:tc>
              <w:tc>
                <w:tcPr>
                  <w:tcW w:w="916" w:type="dxa"/>
                  <w:vMerge w:val="restart"/>
                  <w:tcBorders>
                    <w:top w:val="single" w:color="auto" w:sz="4" w:space="0"/>
                    <w:left w:val="single" w:color="auto" w:sz="4" w:space="0"/>
                    <w:right w:val="single" w:color="auto" w:sz="4" w:space="0"/>
                  </w:tcBorders>
                  <w:noWrap/>
                  <w:vAlign w:val="center"/>
                </w:tcPr>
                <w:p w14:paraId="75EDD72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667</w:t>
                  </w:r>
                  <w:r>
                    <w:rPr>
                      <w:rFonts w:hint="default" w:ascii="Times New Roman" w:hAnsi="Times New Roman" w:eastAsia="宋体" w:cs="Times New Roman"/>
                      <w:color w:val="000000" w:themeColor="text1"/>
                      <w:sz w:val="21"/>
                      <w:szCs w:val="21"/>
                      <w:highlight w:val="none"/>
                      <w14:textFill>
                        <w14:solidFill>
                          <w14:schemeClr w14:val="tx1"/>
                        </w14:solidFill>
                      </w14:textFill>
                    </w:rPr>
                    <w:t>t/d</w:t>
                  </w:r>
                </w:p>
              </w:tc>
              <w:tc>
                <w:tcPr>
                  <w:tcW w:w="690" w:type="dxa"/>
                  <w:tcBorders>
                    <w:top w:val="single" w:color="auto" w:sz="4" w:space="0"/>
                    <w:left w:val="single" w:color="auto" w:sz="4" w:space="0"/>
                    <w:bottom w:val="single" w:color="auto" w:sz="4" w:space="0"/>
                    <w:right w:val="single" w:color="auto" w:sz="4" w:space="0"/>
                  </w:tcBorders>
                  <w:noWrap/>
                  <w:vAlign w:val="center"/>
                </w:tcPr>
                <w:p w14:paraId="6A66989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w:t>
                  </w:r>
                </w:p>
              </w:tc>
              <w:tc>
                <w:tcPr>
                  <w:tcW w:w="1152" w:type="dxa"/>
                  <w:vMerge w:val="restart"/>
                  <w:tcBorders>
                    <w:top w:val="single" w:color="auto" w:sz="4" w:space="0"/>
                    <w:left w:val="single" w:color="auto" w:sz="4" w:space="0"/>
                    <w:right w:val="single" w:color="auto" w:sz="4" w:space="0"/>
                  </w:tcBorders>
                  <w:noWrap/>
                  <w:vAlign w:val="center"/>
                </w:tcPr>
                <w:p w14:paraId="66FCB52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82.19</w:t>
                  </w:r>
                </w:p>
              </w:tc>
            </w:tr>
            <w:tr w14:paraId="418FA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30" w:type="dxa"/>
                  <w:vMerge w:val="continue"/>
                  <w:tcBorders>
                    <w:left w:val="single" w:color="auto" w:sz="4" w:space="0"/>
                    <w:right w:val="single" w:color="auto" w:sz="4" w:space="0"/>
                  </w:tcBorders>
                  <w:noWrap/>
                  <w:vAlign w:val="center"/>
                </w:tcPr>
                <w:p w14:paraId="594CA6A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707" w:type="dxa"/>
                  <w:vMerge w:val="continue"/>
                  <w:tcBorders>
                    <w:left w:val="single" w:color="auto" w:sz="4" w:space="0"/>
                    <w:right w:val="single" w:color="auto" w:sz="4" w:space="0"/>
                  </w:tcBorders>
                  <w:noWrap/>
                  <w:vAlign w:val="center"/>
                </w:tcPr>
                <w:p w14:paraId="03D8FC1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4207" w:type="dxa"/>
                  <w:tcBorders>
                    <w:top w:val="single" w:color="auto" w:sz="4" w:space="0"/>
                    <w:left w:val="single" w:color="auto" w:sz="4" w:space="0"/>
                    <w:bottom w:val="single" w:color="auto" w:sz="4" w:space="0"/>
                    <w:right w:val="single" w:color="auto" w:sz="4" w:space="0"/>
                  </w:tcBorders>
                  <w:noWrap/>
                  <w:vAlign w:val="center"/>
                </w:tcPr>
                <w:p w14:paraId="5DC605FB">
                  <w:pPr>
                    <w:keepNext w:val="0"/>
                    <w:keepLines w:val="0"/>
                    <w:widowControl/>
                    <w:suppressLineNumbers w:val="0"/>
                    <w:jc w:val="lef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冷却输送高浓度袋收尘器</w:t>
                  </w:r>
                </w:p>
                <w:p w14:paraId="2CF7B321">
                  <w:pPr>
                    <w:keepNext w:val="0"/>
                    <w:keepLines w:val="0"/>
                    <w:widowControl/>
                    <w:suppressLineNumbers w:val="0"/>
                    <w:jc w:val="lef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处理风量：160000m</w:t>
                  </w:r>
                  <w:r>
                    <w:rPr>
                      <w:rFonts w:hint="default" w:ascii="Times New Roman" w:hAnsi="Times New Roman" w:eastAsia="宋体" w:cs="Times New Roman"/>
                      <w:color w:val="000000" w:themeColor="text1"/>
                      <w:kern w:val="0"/>
                      <w:sz w:val="21"/>
                      <w:szCs w:val="21"/>
                      <w:highlight w:val="none"/>
                      <w:vertAlign w:val="superscript"/>
                      <w:lang w:val="en-US" w:eastAsia="zh-CN" w:bidi="ar"/>
                      <w14:textFill>
                        <w14:solidFill>
                          <w14:schemeClr w14:val="tx1"/>
                        </w14:solidFill>
                      </w14:textFill>
                    </w:rPr>
                    <w:t>3</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/h</w:t>
                  </w:r>
                </w:p>
                <w:p w14:paraId="12D7DE34">
                  <w:pPr>
                    <w:keepNext w:val="0"/>
                    <w:keepLines w:val="0"/>
                    <w:widowControl/>
                    <w:suppressLineNumbers w:val="0"/>
                    <w:jc w:val="lef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含尘气体温度：150℃（max:200℃）</w:t>
                  </w:r>
                </w:p>
                <w:p w14:paraId="72980558">
                  <w:pPr>
                    <w:keepNext w:val="0"/>
                    <w:keepLines w:val="0"/>
                    <w:widowControl/>
                    <w:suppressLineNumbers w:val="0"/>
                    <w:jc w:val="lef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净过滤面积</w:t>
                  </w:r>
                  <w:r>
                    <w:rPr>
                      <w:rFonts w:hint="default" w:ascii="Times New Roman" w:hAnsi="Times New Roman" w:cs="Times New Roman"/>
                      <w:color w:val="000000" w:themeColor="text1"/>
                      <w:kern w:val="0"/>
                      <w:sz w:val="21"/>
                      <w:szCs w:val="21"/>
                      <w:highlight w:val="none"/>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3556m</w:t>
                  </w:r>
                  <w:r>
                    <w:rPr>
                      <w:rFonts w:hint="default" w:ascii="Times New Roman" w:hAnsi="Times New Roman" w:cs="Times New Roman"/>
                      <w:color w:val="000000" w:themeColor="text1"/>
                      <w:kern w:val="0"/>
                      <w:sz w:val="21"/>
                      <w:szCs w:val="21"/>
                      <w:highlight w:val="none"/>
                      <w:vertAlign w:val="superscript"/>
                      <w:lang w:val="en-US" w:eastAsia="zh-CN" w:bidi="ar"/>
                      <w14:textFill>
                        <w14:solidFill>
                          <w14:schemeClr w14:val="tx1"/>
                        </w14:solidFill>
                      </w14:textFill>
                    </w:rPr>
                    <w:t>2</w:t>
                  </w:r>
                </w:p>
                <w:p w14:paraId="2F3BD953">
                  <w:pPr>
                    <w:keepNext w:val="0"/>
                    <w:keepLines w:val="0"/>
                    <w:widowControl/>
                    <w:suppressLineNumbers w:val="0"/>
                    <w:jc w:val="lef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净过滤风速</w:t>
                  </w:r>
                  <w:r>
                    <w:rPr>
                      <w:rFonts w:hint="default" w:ascii="Times New Roman" w:hAnsi="Times New Roman" w:cs="Times New Roman"/>
                      <w:color w:val="000000" w:themeColor="text1"/>
                      <w:kern w:val="0"/>
                      <w:sz w:val="21"/>
                      <w:szCs w:val="21"/>
                      <w:highlight w:val="none"/>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0.75m/min</w:t>
                  </w:r>
                </w:p>
                <w:p w14:paraId="6B00FC90">
                  <w:pPr>
                    <w:keepNext w:val="0"/>
                    <w:keepLines w:val="0"/>
                    <w:widowControl/>
                    <w:suppressLineNumbers w:val="0"/>
                    <w:jc w:val="lef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壳体承受</w:t>
                  </w:r>
                  <w:r>
                    <w:rPr>
                      <w:rFonts w:hint="default" w:ascii="Times New Roman" w:hAnsi="Times New Roman" w:cs="Times New Roman"/>
                      <w:color w:val="000000" w:themeColor="text1"/>
                      <w:kern w:val="0"/>
                      <w:sz w:val="21"/>
                      <w:szCs w:val="21"/>
                      <w:highlight w:val="none"/>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10000Pa</w:t>
                  </w:r>
                </w:p>
                <w:p w14:paraId="27BC9EE0">
                  <w:pPr>
                    <w:keepNext w:val="0"/>
                    <w:keepLines w:val="0"/>
                    <w:widowControl/>
                    <w:suppressLineNumbers w:val="0"/>
                    <w:jc w:val="lef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入口气体含尘浓度：≤500g/m</w:t>
                  </w:r>
                  <w:r>
                    <w:rPr>
                      <w:rFonts w:hint="default" w:ascii="Times New Roman" w:hAnsi="Times New Roman" w:eastAsia="宋体" w:cs="Times New Roman"/>
                      <w:color w:val="000000" w:themeColor="text1"/>
                      <w:kern w:val="0"/>
                      <w:sz w:val="21"/>
                      <w:szCs w:val="21"/>
                      <w:highlight w:val="none"/>
                      <w:vertAlign w:val="superscript"/>
                      <w:lang w:val="en-US" w:eastAsia="zh-CN" w:bidi="ar"/>
                      <w14:textFill>
                        <w14:solidFill>
                          <w14:schemeClr w14:val="tx1"/>
                        </w14:solidFill>
                      </w14:textFill>
                    </w:rPr>
                    <w:t>3</w:t>
                  </w:r>
                </w:p>
                <w:p w14:paraId="485E0B4A">
                  <w:pPr>
                    <w:keepNext w:val="0"/>
                    <w:keepLines w:val="0"/>
                    <w:widowControl/>
                    <w:suppressLineNumbers w:val="0"/>
                    <w:jc w:val="left"/>
                    <w:rPr>
                      <w:rFonts w:hint="default" w:ascii="Times New Roman" w:hAnsi="Times New Roman" w:eastAsia="宋体" w:cs="Times New Roman"/>
                      <w:color w:val="000000" w:themeColor="text1"/>
                      <w:sz w:val="21"/>
                      <w:szCs w:val="21"/>
                      <w:highlight w:val="none"/>
                      <w:vertAlign w:val="superscript"/>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出口气体含尘浓度：≤30mg/Nm</w:t>
                  </w:r>
                  <w:r>
                    <w:rPr>
                      <w:rFonts w:hint="default" w:ascii="Times New Roman" w:hAnsi="Times New Roman" w:eastAsia="宋体" w:cs="Times New Roman"/>
                      <w:color w:val="000000" w:themeColor="text1"/>
                      <w:kern w:val="0"/>
                      <w:sz w:val="21"/>
                      <w:szCs w:val="21"/>
                      <w:highlight w:val="none"/>
                      <w:vertAlign w:val="superscript"/>
                      <w:lang w:val="en-US" w:eastAsia="zh-CN" w:bidi="ar"/>
                      <w14:textFill>
                        <w14:solidFill>
                          <w14:schemeClr w14:val="tx1"/>
                        </w14:solidFill>
                      </w14:textFill>
                    </w:rPr>
                    <w:t>3</w:t>
                  </w:r>
                </w:p>
              </w:tc>
              <w:tc>
                <w:tcPr>
                  <w:tcW w:w="916" w:type="dxa"/>
                  <w:vMerge w:val="continue"/>
                  <w:tcBorders>
                    <w:left w:val="single" w:color="auto" w:sz="4" w:space="0"/>
                    <w:right w:val="single" w:color="auto" w:sz="4" w:space="0"/>
                  </w:tcBorders>
                  <w:noWrap/>
                  <w:vAlign w:val="center"/>
                </w:tcPr>
                <w:p w14:paraId="0632E6E4">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690" w:type="dxa"/>
                  <w:tcBorders>
                    <w:top w:val="single" w:color="auto" w:sz="4" w:space="0"/>
                    <w:left w:val="single" w:color="auto" w:sz="4" w:space="0"/>
                    <w:bottom w:val="single" w:color="auto" w:sz="4" w:space="0"/>
                    <w:right w:val="single" w:color="auto" w:sz="4" w:space="0"/>
                  </w:tcBorders>
                  <w:noWrap/>
                  <w:vAlign w:val="center"/>
                </w:tcPr>
                <w:p w14:paraId="5451AE9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w:t>
                  </w:r>
                </w:p>
              </w:tc>
              <w:tc>
                <w:tcPr>
                  <w:tcW w:w="1152" w:type="dxa"/>
                  <w:vMerge w:val="continue"/>
                  <w:tcBorders>
                    <w:left w:val="single" w:color="auto" w:sz="4" w:space="0"/>
                    <w:right w:val="single" w:color="auto" w:sz="4" w:space="0"/>
                  </w:tcBorders>
                  <w:noWrap/>
                  <w:vAlign w:val="center"/>
                </w:tcPr>
                <w:p w14:paraId="6E23FD6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0C48D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30" w:type="dxa"/>
                  <w:vMerge w:val="continue"/>
                  <w:tcBorders>
                    <w:left w:val="single" w:color="auto" w:sz="4" w:space="0"/>
                    <w:right w:val="single" w:color="auto" w:sz="4" w:space="0"/>
                  </w:tcBorders>
                  <w:noWrap/>
                  <w:vAlign w:val="center"/>
                </w:tcPr>
                <w:p w14:paraId="600B8F0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707" w:type="dxa"/>
                  <w:vMerge w:val="continue"/>
                  <w:tcBorders>
                    <w:left w:val="single" w:color="auto" w:sz="4" w:space="0"/>
                    <w:right w:val="single" w:color="auto" w:sz="4" w:space="0"/>
                  </w:tcBorders>
                  <w:noWrap/>
                  <w:vAlign w:val="center"/>
                </w:tcPr>
                <w:p w14:paraId="58B2453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4207" w:type="dxa"/>
                  <w:tcBorders>
                    <w:top w:val="single" w:color="auto" w:sz="4" w:space="0"/>
                    <w:left w:val="single" w:color="auto" w:sz="4" w:space="0"/>
                    <w:bottom w:val="single" w:color="auto" w:sz="4" w:space="0"/>
                    <w:right w:val="single" w:color="auto" w:sz="4" w:space="0"/>
                  </w:tcBorders>
                  <w:noWrap/>
                  <w:vAlign w:val="center"/>
                </w:tcPr>
                <w:p w14:paraId="7A3A3D00">
                  <w:pPr>
                    <w:keepNext w:val="0"/>
                    <w:keepLines w:val="0"/>
                    <w:widowControl/>
                    <w:suppressLineNumbers w:val="0"/>
                    <w:jc w:val="lef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冷却输送排风机</w:t>
                  </w:r>
                </w:p>
                <w:p w14:paraId="645A7677">
                  <w:pPr>
                    <w:keepNext w:val="0"/>
                    <w:keepLines w:val="0"/>
                    <w:widowControl/>
                    <w:suppressLineNumbers w:val="0"/>
                    <w:jc w:val="lef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流量：170000m</w:t>
                  </w:r>
                  <w:r>
                    <w:rPr>
                      <w:rFonts w:hint="default" w:ascii="Times New Roman" w:hAnsi="Times New Roman" w:eastAsia="宋体" w:cs="Times New Roman"/>
                      <w:color w:val="000000" w:themeColor="text1"/>
                      <w:kern w:val="0"/>
                      <w:sz w:val="21"/>
                      <w:szCs w:val="21"/>
                      <w:highlight w:val="none"/>
                      <w:vertAlign w:val="superscript"/>
                      <w:lang w:val="en-US" w:eastAsia="zh-CN" w:bidi="ar"/>
                      <w14:textFill>
                        <w14:solidFill>
                          <w14:schemeClr w14:val="tx1"/>
                        </w14:solidFill>
                      </w14:textFill>
                    </w:rPr>
                    <w:t>3</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/h</w:t>
                  </w:r>
                </w:p>
                <w:p w14:paraId="0962081D">
                  <w:pPr>
                    <w:keepNext w:val="0"/>
                    <w:keepLines w:val="0"/>
                    <w:widowControl/>
                    <w:suppressLineNumbers w:val="0"/>
                    <w:jc w:val="lef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全压：8500Pa</w:t>
                  </w:r>
                </w:p>
                <w:p w14:paraId="68AA1377">
                  <w:pPr>
                    <w:keepNext w:val="0"/>
                    <w:keepLines w:val="0"/>
                    <w:widowControl/>
                    <w:suppressLineNumbers w:val="0"/>
                    <w:jc w:val="lef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转速：1450r/min</w:t>
                  </w:r>
                </w:p>
                <w:p w14:paraId="4B45D1CA">
                  <w:pPr>
                    <w:keepNext w:val="0"/>
                    <w:keepLines w:val="0"/>
                    <w:widowControl/>
                    <w:suppressLineNumbers w:val="0"/>
                    <w:jc w:val="lef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风温：150℃</w:t>
                  </w:r>
                  <w:r>
                    <w:rPr>
                      <w:rFonts w:hint="default" w:ascii="Times New Roman" w:hAnsi="Times New Roman" w:cs="Times New Roman"/>
                      <w:color w:val="000000" w:themeColor="text1"/>
                      <w:kern w:val="0"/>
                      <w:sz w:val="21"/>
                      <w:szCs w:val="21"/>
                      <w:highlight w:val="none"/>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max200℃</w:t>
                  </w:r>
                </w:p>
                <w:p w14:paraId="51A852AC">
                  <w:pPr>
                    <w:keepNext w:val="0"/>
                    <w:keepLines w:val="0"/>
                    <w:widowControl/>
                    <w:suppressLineNumbers w:val="0"/>
                    <w:jc w:val="left"/>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电机功率：630kW（变频调速）</w:t>
                  </w:r>
                </w:p>
              </w:tc>
              <w:tc>
                <w:tcPr>
                  <w:tcW w:w="916" w:type="dxa"/>
                  <w:vMerge w:val="continue"/>
                  <w:tcBorders>
                    <w:left w:val="single" w:color="auto" w:sz="4" w:space="0"/>
                    <w:right w:val="single" w:color="auto" w:sz="4" w:space="0"/>
                  </w:tcBorders>
                  <w:noWrap/>
                  <w:vAlign w:val="center"/>
                </w:tcPr>
                <w:p w14:paraId="6DD745D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690" w:type="dxa"/>
                  <w:tcBorders>
                    <w:top w:val="single" w:color="auto" w:sz="4" w:space="0"/>
                    <w:left w:val="single" w:color="auto" w:sz="4" w:space="0"/>
                    <w:bottom w:val="single" w:color="auto" w:sz="4" w:space="0"/>
                    <w:right w:val="single" w:color="auto" w:sz="4" w:space="0"/>
                  </w:tcBorders>
                  <w:noWrap/>
                  <w:vAlign w:val="center"/>
                </w:tcPr>
                <w:p w14:paraId="7B6AE44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w:t>
                  </w:r>
                </w:p>
              </w:tc>
              <w:tc>
                <w:tcPr>
                  <w:tcW w:w="1152" w:type="dxa"/>
                  <w:vMerge w:val="continue"/>
                  <w:tcBorders>
                    <w:left w:val="single" w:color="auto" w:sz="4" w:space="0"/>
                    <w:right w:val="single" w:color="auto" w:sz="4" w:space="0"/>
                  </w:tcBorders>
                  <w:noWrap/>
                  <w:vAlign w:val="center"/>
                </w:tcPr>
                <w:p w14:paraId="3962AE6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32A5A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30" w:type="dxa"/>
                  <w:vMerge w:val="continue"/>
                  <w:tcBorders>
                    <w:left w:val="single" w:color="auto" w:sz="4" w:space="0"/>
                    <w:right w:val="single" w:color="auto" w:sz="4" w:space="0"/>
                  </w:tcBorders>
                  <w:noWrap/>
                  <w:vAlign w:val="center"/>
                </w:tcPr>
                <w:p w14:paraId="7933FCA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707" w:type="dxa"/>
                  <w:vMerge w:val="continue"/>
                  <w:tcBorders>
                    <w:left w:val="single" w:color="auto" w:sz="4" w:space="0"/>
                    <w:right w:val="single" w:color="auto" w:sz="4" w:space="0"/>
                  </w:tcBorders>
                  <w:noWrap/>
                  <w:vAlign w:val="center"/>
                </w:tcPr>
                <w:p w14:paraId="59DFC26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4207" w:type="dxa"/>
                  <w:tcBorders>
                    <w:top w:val="single" w:color="auto" w:sz="4" w:space="0"/>
                    <w:left w:val="single" w:color="auto" w:sz="4" w:space="0"/>
                    <w:bottom w:val="single" w:color="auto" w:sz="4" w:space="0"/>
                    <w:right w:val="single" w:color="auto" w:sz="4" w:space="0"/>
                  </w:tcBorders>
                  <w:noWrap/>
                  <w:vAlign w:val="center"/>
                </w:tcPr>
                <w:p w14:paraId="7696A08D">
                  <w:pPr>
                    <w:keepNext w:val="0"/>
                    <w:keepLines w:val="0"/>
                    <w:widowControl/>
                    <w:suppressLineNumbers w:val="0"/>
                    <w:jc w:val="lef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分选高浓度袋收尘器</w:t>
                  </w:r>
                </w:p>
                <w:p w14:paraId="24A7F373">
                  <w:pPr>
                    <w:keepNext w:val="0"/>
                    <w:keepLines w:val="0"/>
                    <w:widowControl/>
                    <w:suppressLineNumbers w:val="0"/>
                    <w:jc w:val="lef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处理风量：160000m</w:t>
                  </w:r>
                  <w:r>
                    <w:rPr>
                      <w:rFonts w:hint="default" w:ascii="Times New Roman" w:hAnsi="Times New Roman" w:eastAsia="宋体" w:cs="Times New Roman"/>
                      <w:color w:val="000000" w:themeColor="text1"/>
                      <w:kern w:val="0"/>
                      <w:sz w:val="21"/>
                      <w:szCs w:val="21"/>
                      <w:highlight w:val="none"/>
                      <w:vertAlign w:val="superscript"/>
                      <w:lang w:val="en-US" w:eastAsia="zh-CN" w:bidi="ar"/>
                      <w14:textFill>
                        <w14:solidFill>
                          <w14:schemeClr w14:val="tx1"/>
                        </w14:solidFill>
                      </w14:textFill>
                    </w:rPr>
                    <w:t>3</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/h</w:t>
                  </w:r>
                </w:p>
                <w:p w14:paraId="7772BB3C">
                  <w:pPr>
                    <w:keepNext w:val="0"/>
                    <w:keepLines w:val="0"/>
                    <w:widowControl/>
                    <w:suppressLineNumbers w:val="0"/>
                    <w:jc w:val="lef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含尘气体温度：50℃（max:70℃）</w:t>
                  </w:r>
                </w:p>
                <w:p w14:paraId="0DB75A5C">
                  <w:pPr>
                    <w:keepNext w:val="0"/>
                    <w:keepLines w:val="0"/>
                    <w:widowControl/>
                    <w:suppressLineNumbers w:val="0"/>
                    <w:jc w:val="lef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净过滤面积</w:t>
                  </w:r>
                  <w:r>
                    <w:rPr>
                      <w:rFonts w:hint="default" w:ascii="Times New Roman" w:hAnsi="Times New Roman" w:cs="Times New Roman"/>
                      <w:color w:val="000000" w:themeColor="text1"/>
                      <w:kern w:val="0"/>
                      <w:sz w:val="21"/>
                      <w:szCs w:val="21"/>
                      <w:highlight w:val="none"/>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3556m</w:t>
                  </w:r>
                  <w:r>
                    <w:rPr>
                      <w:rFonts w:hint="default" w:ascii="Times New Roman" w:hAnsi="Times New Roman" w:eastAsia="宋体" w:cs="Times New Roman"/>
                      <w:color w:val="000000" w:themeColor="text1"/>
                      <w:kern w:val="0"/>
                      <w:sz w:val="21"/>
                      <w:szCs w:val="21"/>
                      <w:highlight w:val="none"/>
                      <w:vertAlign w:val="superscript"/>
                      <w:lang w:val="en-US" w:eastAsia="zh-CN" w:bidi="ar"/>
                      <w14:textFill>
                        <w14:solidFill>
                          <w14:schemeClr w14:val="tx1"/>
                        </w14:solidFill>
                      </w14:textFill>
                    </w:rPr>
                    <w:t>2</w:t>
                  </w:r>
                </w:p>
                <w:p w14:paraId="13B8AC7B">
                  <w:pPr>
                    <w:keepNext w:val="0"/>
                    <w:keepLines w:val="0"/>
                    <w:widowControl/>
                    <w:suppressLineNumbers w:val="0"/>
                    <w:jc w:val="lef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净过滤风速</w:t>
                  </w:r>
                  <w:r>
                    <w:rPr>
                      <w:rFonts w:hint="default" w:ascii="Times New Roman" w:hAnsi="Times New Roman" w:cs="Times New Roman"/>
                      <w:color w:val="000000" w:themeColor="text1"/>
                      <w:kern w:val="0"/>
                      <w:sz w:val="21"/>
                      <w:szCs w:val="21"/>
                      <w:highlight w:val="none"/>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0.75m/min</w:t>
                  </w:r>
                </w:p>
                <w:p w14:paraId="350706C9">
                  <w:pPr>
                    <w:keepNext w:val="0"/>
                    <w:keepLines w:val="0"/>
                    <w:widowControl/>
                    <w:suppressLineNumbers w:val="0"/>
                    <w:jc w:val="lef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壳体承受</w:t>
                  </w:r>
                  <w:r>
                    <w:rPr>
                      <w:rFonts w:hint="default" w:ascii="Times New Roman" w:hAnsi="Times New Roman" w:cs="Times New Roman"/>
                      <w:color w:val="000000" w:themeColor="text1"/>
                      <w:kern w:val="0"/>
                      <w:sz w:val="21"/>
                      <w:szCs w:val="21"/>
                      <w:highlight w:val="none"/>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10000Pa</w:t>
                  </w:r>
                </w:p>
                <w:p w14:paraId="75DB3D37">
                  <w:pPr>
                    <w:keepNext w:val="0"/>
                    <w:keepLines w:val="0"/>
                    <w:widowControl/>
                    <w:suppressLineNumbers w:val="0"/>
                    <w:jc w:val="lef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入口气体含尘浓度：≤500g/m</w:t>
                  </w:r>
                  <w:r>
                    <w:rPr>
                      <w:rFonts w:hint="default" w:ascii="Times New Roman" w:hAnsi="Times New Roman" w:eastAsia="宋体" w:cs="Times New Roman"/>
                      <w:color w:val="000000" w:themeColor="text1"/>
                      <w:kern w:val="0"/>
                      <w:sz w:val="21"/>
                      <w:szCs w:val="21"/>
                      <w:highlight w:val="none"/>
                      <w:vertAlign w:val="superscript"/>
                      <w:lang w:val="en-US" w:eastAsia="zh-CN" w:bidi="ar"/>
                      <w14:textFill>
                        <w14:solidFill>
                          <w14:schemeClr w14:val="tx1"/>
                        </w14:solidFill>
                      </w14:textFill>
                    </w:rPr>
                    <w:t>3</w:t>
                  </w:r>
                </w:p>
                <w:p w14:paraId="29A1FF47">
                  <w:pPr>
                    <w:keepNext w:val="0"/>
                    <w:keepLines w:val="0"/>
                    <w:widowControl/>
                    <w:suppressLineNumbers w:val="0"/>
                    <w:jc w:val="left"/>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出口气体含尘浓度：≤30mg/Nm</w:t>
                  </w:r>
                  <w:r>
                    <w:rPr>
                      <w:rFonts w:hint="default" w:ascii="Times New Roman" w:hAnsi="Times New Roman" w:eastAsia="宋体" w:cs="Times New Roman"/>
                      <w:color w:val="000000" w:themeColor="text1"/>
                      <w:kern w:val="0"/>
                      <w:sz w:val="21"/>
                      <w:szCs w:val="21"/>
                      <w:highlight w:val="none"/>
                      <w:vertAlign w:val="superscript"/>
                      <w:lang w:val="en-US" w:eastAsia="zh-CN" w:bidi="ar"/>
                      <w14:textFill>
                        <w14:solidFill>
                          <w14:schemeClr w14:val="tx1"/>
                        </w14:solidFill>
                      </w14:textFill>
                    </w:rPr>
                    <w:t>3</w:t>
                  </w:r>
                </w:p>
              </w:tc>
              <w:tc>
                <w:tcPr>
                  <w:tcW w:w="916" w:type="dxa"/>
                  <w:vMerge w:val="continue"/>
                  <w:tcBorders>
                    <w:left w:val="single" w:color="auto" w:sz="4" w:space="0"/>
                    <w:right w:val="single" w:color="auto" w:sz="4" w:space="0"/>
                  </w:tcBorders>
                  <w:noWrap/>
                  <w:vAlign w:val="center"/>
                </w:tcPr>
                <w:p w14:paraId="51273D8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690" w:type="dxa"/>
                  <w:tcBorders>
                    <w:top w:val="single" w:color="auto" w:sz="4" w:space="0"/>
                    <w:left w:val="single" w:color="auto" w:sz="4" w:space="0"/>
                    <w:bottom w:val="single" w:color="auto" w:sz="4" w:space="0"/>
                    <w:right w:val="single" w:color="auto" w:sz="4" w:space="0"/>
                  </w:tcBorders>
                  <w:noWrap/>
                  <w:vAlign w:val="center"/>
                </w:tcPr>
                <w:p w14:paraId="5CCF33B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w:t>
                  </w:r>
                </w:p>
              </w:tc>
              <w:tc>
                <w:tcPr>
                  <w:tcW w:w="1152" w:type="dxa"/>
                  <w:tcBorders>
                    <w:top w:val="single" w:color="auto" w:sz="4" w:space="0"/>
                    <w:left w:val="single" w:color="auto" w:sz="4" w:space="0"/>
                    <w:right w:val="single" w:color="auto" w:sz="4" w:space="0"/>
                  </w:tcBorders>
                  <w:noWrap/>
                  <w:vAlign w:val="center"/>
                </w:tcPr>
                <w:p w14:paraId="2326CFB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23.97</w:t>
                  </w:r>
                </w:p>
              </w:tc>
            </w:tr>
            <w:tr w14:paraId="40A37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30" w:type="dxa"/>
                  <w:vMerge w:val="continue"/>
                  <w:tcBorders>
                    <w:left w:val="single" w:color="auto" w:sz="4" w:space="0"/>
                    <w:right w:val="single" w:color="auto" w:sz="4" w:space="0"/>
                  </w:tcBorders>
                  <w:noWrap/>
                  <w:vAlign w:val="center"/>
                </w:tcPr>
                <w:p w14:paraId="6016DCF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707" w:type="dxa"/>
                  <w:vMerge w:val="continue"/>
                  <w:tcBorders>
                    <w:left w:val="single" w:color="auto" w:sz="4" w:space="0"/>
                    <w:right w:val="single" w:color="auto" w:sz="4" w:space="0"/>
                  </w:tcBorders>
                  <w:noWrap/>
                  <w:vAlign w:val="center"/>
                </w:tcPr>
                <w:p w14:paraId="57AA345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420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A5060BC">
                  <w:pPr>
                    <w:keepNext w:val="0"/>
                    <w:keepLines w:val="0"/>
                    <w:widowControl/>
                    <w:suppressLineNumbers w:val="0"/>
                    <w:jc w:val="lef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分选排风机</w:t>
                  </w:r>
                </w:p>
                <w:p w14:paraId="43E0579A">
                  <w:pPr>
                    <w:keepNext w:val="0"/>
                    <w:keepLines w:val="0"/>
                    <w:widowControl/>
                    <w:suppressLineNumbers w:val="0"/>
                    <w:jc w:val="lef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流量：170000m</w:t>
                  </w:r>
                  <w:r>
                    <w:rPr>
                      <w:rFonts w:hint="default" w:ascii="Times New Roman" w:hAnsi="Times New Roman" w:eastAsia="宋体" w:cs="Times New Roman"/>
                      <w:color w:val="000000" w:themeColor="text1"/>
                      <w:kern w:val="0"/>
                      <w:sz w:val="21"/>
                      <w:szCs w:val="21"/>
                      <w:highlight w:val="none"/>
                      <w:vertAlign w:val="superscript"/>
                      <w:lang w:val="en-US" w:eastAsia="zh-CN" w:bidi="ar"/>
                      <w14:textFill>
                        <w14:solidFill>
                          <w14:schemeClr w14:val="tx1"/>
                        </w14:solidFill>
                      </w14:textFill>
                    </w:rPr>
                    <w:t>3</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/h</w:t>
                  </w:r>
                </w:p>
                <w:p w14:paraId="05B1DA15">
                  <w:pPr>
                    <w:keepNext w:val="0"/>
                    <w:keepLines w:val="0"/>
                    <w:widowControl/>
                    <w:suppressLineNumbers w:val="0"/>
                    <w:jc w:val="lef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全压：8500Pa</w:t>
                  </w:r>
                </w:p>
                <w:p w14:paraId="74DA04D0">
                  <w:pPr>
                    <w:keepNext w:val="0"/>
                    <w:keepLines w:val="0"/>
                    <w:widowControl/>
                    <w:suppressLineNumbers w:val="0"/>
                    <w:jc w:val="lef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转速：1450r/min</w:t>
                  </w:r>
                </w:p>
                <w:p w14:paraId="24396D3B">
                  <w:pPr>
                    <w:keepNext w:val="0"/>
                    <w:keepLines w:val="0"/>
                    <w:widowControl/>
                    <w:suppressLineNumbers w:val="0"/>
                    <w:jc w:val="lef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风温：50℃</w:t>
                  </w:r>
                  <w:r>
                    <w:rPr>
                      <w:rFonts w:hint="default" w:ascii="Times New Roman" w:hAnsi="Times New Roman" w:cs="Times New Roman"/>
                      <w:color w:val="000000" w:themeColor="text1"/>
                      <w:kern w:val="0"/>
                      <w:sz w:val="21"/>
                      <w:szCs w:val="21"/>
                      <w:highlight w:val="none"/>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max80℃</w:t>
                  </w:r>
                </w:p>
                <w:p w14:paraId="1754091D">
                  <w:pPr>
                    <w:keepNext w:val="0"/>
                    <w:keepLines w:val="0"/>
                    <w:widowControl/>
                    <w:suppressLineNumbers w:val="0"/>
                    <w:jc w:val="left"/>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电机功率：630kW（变频调速）</w:t>
                  </w:r>
                </w:p>
              </w:tc>
              <w:tc>
                <w:tcPr>
                  <w:tcW w:w="916" w:type="dxa"/>
                  <w:tcBorders>
                    <w:top w:val="single" w:color="auto" w:sz="4" w:space="0"/>
                    <w:left w:val="single" w:color="auto" w:sz="4" w:space="0"/>
                    <w:right w:val="single" w:color="auto" w:sz="4" w:space="0"/>
                  </w:tcBorders>
                  <w:shd w:val="clear" w:color="auto" w:fill="auto"/>
                  <w:noWrap/>
                  <w:vAlign w:val="center"/>
                </w:tcPr>
                <w:p w14:paraId="03965CC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p>
              </w:tc>
              <w:tc>
                <w:tcPr>
                  <w:tcW w:w="6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E3F6D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6</w:t>
                  </w:r>
                </w:p>
              </w:tc>
              <w:tc>
                <w:tcPr>
                  <w:tcW w:w="1152" w:type="dxa"/>
                  <w:tcBorders>
                    <w:top w:val="single" w:color="auto" w:sz="4" w:space="0"/>
                    <w:left w:val="single" w:color="auto" w:sz="4" w:space="0"/>
                    <w:right w:val="single" w:color="auto" w:sz="4" w:space="0"/>
                  </w:tcBorders>
                  <w:shd w:val="clear" w:color="auto" w:fill="auto"/>
                  <w:noWrap/>
                  <w:vAlign w:val="center"/>
                </w:tcPr>
                <w:p w14:paraId="49D18FB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9.58</w:t>
                  </w:r>
                </w:p>
              </w:tc>
            </w:tr>
            <w:tr w14:paraId="6ABB9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30" w:type="dxa"/>
                  <w:vMerge w:val="continue"/>
                  <w:tcBorders>
                    <w:left w:val="single" w:color="auto" w:sz="4" w:space="0"/>
                    <w:right w:val="single" w:color="auto" w:sz="4" w:space="0"/>
                  </w:tcBorders>
                  <w:noWrap/>
                  <w:vAlign w:val="center"/>
                </w:tcPr>
                <w:p w14:paraId="73789AC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707" w:type="dxa"/>
                  <w:vMerge w:val="continue"/>
                  <w:tcBorders>
                    <w:left w:val="single" w:color="auto" w:sz="4" w:space="0"/>
                    <w:right w:val="single" w:color="auto" w:sz="4" w:space="0"/>
                  </w:tcBorders>
                  <w:noWrap/>
                  <w:vAlign w:val="center"/>
                </w:tcPr>
                <w:p w14:paraId="3B7E314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4207" w:type="dxa"/>
                  <w:tcBorders>
                    <w:top w:val="single" w:color="auto" w:sz="4" w:space="0"/>
                    <w:left w:val="single" w:color="auto" w:sz="4" w:space="0"/>
                    <w:bottom w:val="single" w:color="auto" w:sz="4" w:space="0"/>
                    <w:right w:val="single" w:color="auto" w:sz="4" w:space="0"/>
                  </w:tcBorders>
                  <w:noWrap/>
                  <w:vAlign w:val="center"/>
                </w:tcPr>
                <w:p w14:paraId="39641C45">
                  <w:pPr>
                    <w:keepNext w:val="0"/>
                    <w:keepLines w:val="0"/>
                    <w:widowControl/>
                    <w:suppressLineNumbers w:val="0"/>
                    <w:jc w:val="lef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振动筛</w:t>
                  </w:r>
                </w:p>
                <w:p w14:paraId="689F496F">
                  <w:pPr>
                    <w:keepNext w:val="0"/>
                    <w:keepLines w:val="0"/>
                    <w:widowControl/>
                    <w:suppressLineNumbers w:val="0"/>
                    <w:jc w:val="lef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筛面层数：1</w:t>
                  </w:r>
                </w:p>
                <w:p w14:paraId="6C05D3DD">
                  <w:pPr>
                    <w:keepNext w:val="0"/>
                    <w:keepLines w:val="0"/>
                    <w:widowControl/>
                    <w:suppressLineNumbers w:val="0"/>
                    <w:jc w:val="lef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筛孔规格：40目</w:t>
                  </w:r>
                </w:p>
                <w:p w14:paraId="7AADCFCB">
                  <w:pPr>
                    <w:keepNext w:val="0"/>
                    <w:keepLines w:val="0"/>
                    <w:widowControl/>
                    <w:suppressLineNumbers w:val="0"/>
                    <w:jc w:val="left"/>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电机功率：7kW（变频调速）</w:t>
                  </w:r>
                </w:p>
              </w:tc>
              <w:tc>
                <w:tcPr>
                  <w:tcW w:w="916" w:type="dxa"/>
                  <w:tcBorders>
                    <w:top w:val="single" w:color="auto" w:sz="4" w:space="0"/>
                    <w:left w:val="single" w:color="auto" w:sz="4" w:space="0"/>
                    <w:right w:val="single" w:color="auto" w:sz="4" w:space="0"/>
                  </w:tcBorders>
                  <w:noWrap/>
                  <w:vAlign w:val="center"/>
                </w:tcPr>
                <w:p w14:paraId="1A36988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10</w:t>
                  </w:r>
                </w:p>
              </w:tc>
              <w:tc>
                <w:tcPr>
                  <w:tcW w:w="690" w:type="dxa"/>
                  <w:tcBorders>
                    <w:top w:val="single" w:color="auto" w:sz="4" w:space="0"/>
                    <w:left w:val="single" w:color="auto" w:sz="4" w:space="0"/>
                    <w:bottom w:val="single" w:color="auto" w:sz="4" w:space="0"/>
                    <w:right w:val="single" w:color="auto" w:sz="4" w:space="0"/>
                  </w:tcBorders>
                  <w:noWrap/>
                  <w:vAlign w:val="center"/>
                </w:tcPr>
                <w:p w14:paraId="32CF25F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3</w:t>
                  </w:r>
                </w:p>
              </w:tc>
              <w:tc>
                <w:tcPr>
                  <w:tcW w:w="1152" w:type="dxa"/>
                  <w:tcBorders>
                    <w:top w:val="single" w:color="auto" w:sz="4" w:space="0"/>
                    <w:left w:val="single" w:color="auto" w:sz="4" w:space="0"/>
                    <w:right w:val="single" w:color="auto" w:sz="4" w:space="0"/>
                  </w:tcBorders>
                  <w:noWrap/>
                  <w:vAlign w:val="center"/>
                </w:tcPr>
                <w:p w14:paraId="2E02429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43BF8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30" w:type="dxa"/>
                  <w:tcBorders>
                    <w:top w:val="single" w:color="auto" w:sz="4" w:space="0"/>
                    <w:left w:val="single" w:color="auto" w:sz="4" w:space="0"/>
                    <w:bottom w:val="single" w:color="auto" w:sz="4" w:space="0"/>
                    <w:right w:val="single" w:color="auto" w:sz="4" w:space="0"/>
                  </w:tcBorders>
                  <w:noWrap/>
                  <w:vAlign w:val="center"/>
                </w:tcPr>
                <w:p w14:paraId="6E1B214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6</w:t>
                  </w:r>
                </w:p>
              </w:tc>
              <w:tc>
                <w:tcPr>
                  <w:tcW w:w="707" w:type="dxa"/>
                  <w:tcBorders>
                    <w:top w:val="single" w:color="auto" w:sz="4" w:space="0"/>
                    <w:left w:val="single" w:color="auto" w:sz="4" w:space="0"/>
                    <w:bottom w:val="single" w:color="auto" w:sz="4" w:space="0"/>
                    <w:right w:val="single" w:color="auto" w:sz="4" w:space="0"/>
                  </w:tcBorders>
                  <w:noWrap/>
                  <w:vAlign w:val="center"/>
                </w:tcPr>
                <w:p w14:paraId="6134D2A4">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空压机站</w:t>
                  </w:r>
                </w:p>
              </w:tc>
              <w:tc>
                <w:tcPr>
                  <w:tcW w:w="4207" w:type="dxa"/>
                  <w:tcBorders>
                    <w:top w:val="single" w:color="auto" w:sz="4" w:space="0"/>
                    <w:left w:val="single" w:color="auto" w:sz="4" w:space="0"/>
                    <w:bottom w:val="single" w:color="auto" w:sz="4" w:space="0"/>
                    <w:right w:val="single" w:color="auto" w:sz="4" w:space="0"/>
                  </w:tcBorders>
                  <w:noWrap/>
                  <w:vAlign w:val="center"/>
                </w:tcPr>
                <w:p w14:paraId="61C385C2">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螺杆式空气压缩机</w:t>
                  </w:r>
                </w:p>
                <w:p w14:paraId="6FD32239">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额定排气量：20m</w:t>
                  </w:r>
                  <w:r>
                    <w:rPr>
                      <w:rFonts w:hint="default" w:ascii="Times New Roman" w:hAnsi="Times New Roman" w:eastAsia="宋体" w:cs="Times New Roman"/>
                      <w:color w:val="000000" w:themeColor="text1"/>
                      <w:sz w:val="21"/>
                      <w:szCs w:val="21"/>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z w:val="21"/>
                      <w:szCs w:val="21"/>
                      <w:highlight w:val="none"/>
                      <w14:textFill>
                        <w14:solidFill>
                          <w14:schemeClr w14:val="tx1"/>
                        </w14:solidFill>
                      </w14:textFill>
                    </w:rPr>
                    <w:t>/min</w:t>
                  </w:r>
                </w:p>
                <w:p w14:paraId="2209877D">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排气压力：0.8MPa</w:t>
                  </w:r>
                </w:p>
                <w:p w14:paraId="110C5367">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电机功率：110kW</w:t>
                  </w:r>
                </w:p>
              </w:tc>
              <w:tc>
                <w:tcPr>
                  <w:tcW w:w="916" w:type="dxa"/>
                  <w:tcBorders>
                    <w:top w:val="single" w:color="auto" w:sz="4" w:space="0"/>
                    <w:left w:val="single" w:color="auto" w:sz="4" w:space="0"/>
                    <w:bottom w:val="single" w:color="auto" w:sz="4" w:space="0"/>
                    <w:right w:val="single" w:color="auto" w:sz="4" w:space="0"/>
                  </w:tcBorders>
                  <w:noWrap/>
                  <w:vAlign w:val="center"/>
                </w:tcPr>
                <w:p w14:paraId="6A23CC6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690" w:type="dxa"/>
                  <w:tcBorders>
                    <w:top w:val="single" w:color="auto" w:sz="4" w:space="0"/>
                    <w:left w:val="single" w:color="auto" w:sz="4" w:space="0"/>
                    <w:bottom w:val="single" w:color="auto" w:sz="4" w:space="0"/>
                    <w:right w:val="single" w:color="auto" w:sz="4" w:space="0"/>
                  </w:tcBorders>
                  <w:noWrap/>
                  <w:vAlign w:val="center"/>
                </w:tcPr>
                <w:p w14:paraId="5CF85994">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3</w:t>
                  </w:r>
                </w:p>
              </w:tc>
              <w:tc>
                <w:tcPr>
                  <w:tcW w:w="1152" w:type="dxa"/>
                  <w:tcBorders>
                    <w:top w:val="single" w:color="auto" w:sz="4" w:space="0"/>
                    <w:left w:val="single" w:color="auto" w:sz="4" w:space="0"/>
                    <w:bottom w:val="single" w:color="auto" w:sz="4" w:space="0"/>
                    <w:right w:val="single" w:color="auto" w:sz="4" w:space="0"/>
                  </w:tcBorders>
                  <w:noWrap/>
                  <w:vAlign w:val="center"/>
                </w:tcPr>
                <w:p w14:paraId="5FDD1D8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82.19</w:t>
                  </w:r>
                </w:p>
              </w:tc>
            </w:tr>
          </w:tbl>
          <w:p w14:paraId="3474046B">
            <w:pPr>
              <w:spacing w:line="240" w:lineRule="auto"/>
              <w:jc w:val="center"/>
              <w:rPr>
                <w:rFonts w:hint="default" w:ascii="Times New Roman" w:hAnsi="Times New Roman" w:eastAsia="宋体" w:cs="Times New Roman"/>
                <w:b/>
                <w:bCs/>
                <w:color w:val="000000" w:themeColor="text1"/>
                <w:sz w:val="28"/>
                <w:szCs w:val="28"/>
                <w:highlight w:val="none"/>
                <w:lang w:eastAsia="zh-CN"/>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表2-10全厂物料计量设备表</w:t>
            </w:r>
          </w:p>
          <w:tbl>
            <w:tblPr>
              <w:tblStyle w:val="24"/>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3"/>
              <w:gridCol w:w="2706"/>
              <w:gridCol w:w="2706"/>
              <w:gridCol w:w="1480"/>
              <w:gridCol w:w="744"/>
            </w:tblGrid>
            <w:tr w14:paraId="799EEF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743" w:type="dxa"/>
                  <w:tcBorders>
                    <w:top w:val="single" w:color="auto" w:sz="4" w:space="0"/>
                    <w:left w:val="single" w:color="auto" w:sz="4" w:space="0"/>
                    <w:bottom w:val="single" w:color="auto" w:sz="4" w:space="0"/>
                    <w:right w:val="single" w:color="auto" w:sz="4" w:space="0"/>
                  </w:tcBorders>
                  <w:noWrap w:val="0"/>
                  <w:vAlign w:val="center"/>
                </w:tcPr>
                <w:p w14:paraId="367D84E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序号</w:t>
                  </w:r>
                </w:p>
              </w:tc>
              <w:tc>
                <w:tcPr>
                  <w:tcW w:w="2706" w:type="dxa"/>
                  <w:tcBorders>
                    <w:top w:val="single" w:color="auto" w:sz="4" w:space="0"/>
                    <w:left w:val="single" w:color="auto" w:sz="4" w:space="0"/>
                    <w:bottom w:val="single" w:color="auto" w:sz="4" w:space="0"/>
                    <w:right w:val="single" w:color="auto" w:sz="4" w:space="0"/>
                  </w:tcBorders>
                  <w:noWrap w:val="0"/>
                  <w:vAlign w:val="center"/>
                </w:tcPr>
                <w:p w14:paraId="7B2A8C44">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计量物料名称</w:t>
                  </w:r>
                </w:p>
              </w:tc>
              <w:tc>
                <w:tcPr>
                  <w:tcW w:w="2706" w:type="dxa"/>
                  <w:tcBorders>
                    <w:top w:val="single" w:color="auto" w:sz="4" w:space="0"/>
                    <w:left w:val="single" w:color="auto" w:sz="4" w:space="0"/>
                    <w:bottom w:val="single" w:color="auto" w:sz="4" w:space="0"/>
                    <w:right w:val="single" w:color="auto" w:sz="4" w:space="0"/>
                  </w:tcBorders>
                  <w:noWrap w:val="0"/>
                  <w:vAlign w:val="center"/>
                </w:tcPr>
                <w:p w14:paraId="4198768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计量设施安装位置</w:t>
                  </w:r>
                </w:p>
              </w:tc>
              <w:tc>
                <w:tcPr>
                  <w:tcW w:w="1480" w:type="dxa"/>
                  <w:tcBorders>
                    <w:top w:val="single" w:color="auto" w:sz="4" w:space="0"/>
                    <w:left w:val="single" w:color="auto" w:sz="4" w:space="0"/>
                    <w:bottom w:val="single" w:color="auto" w:sz="4" w:space="0"/>
                    <w:right w:val="single" w:color="auto" w:sz="4" w:space="0"/>
                  </w:tcBorders>
                  <w:noWrap w:val="0"/>
                  <w:vAlign w:val="center"/>
                </w:tcPr>
                <w:p w14:paraId="287EAA44">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设施形式</w:t>
                  </w:r>
                </w:p>
              </w:tc>
              <w:tc>
                <w:tcPr>
                  <w:tcW w:w="744" w:type="dxa"/>
                  <w:tcBorders>
                    <w:top w:val="single" w:color="auto" w:sz="4" w:space="0"/>
                    <w:left w:val="single" w:color="auto" w:sz="4" w:space="0"/>
                    <w:bottom w:val="single" w:color="auto" w:sz="4" w:space="0"/>
                    <w:right w:val="single" w:color="auto" w:sz="4" w:space="0"/>
                  </w:tcBorders>
                  <w:noWrap w:val="0"/>
                  <w:vAlign w:val="center"/>
                </w:tcPr>
                <w:p w14:paraId="0D800B1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数量</w:t>
                  </w:r>
                </w:p>
              </w:tc>
            </w:tr>
            <w:tr w14:paraId="09BB61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noWrap w:val="0"/>
                  <w:vAlign w:val="center"/>
                </w:tcPr>
                <w:p w14:paraId="0F56D29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w:t>
                  </w:r>
                </w:p>
              </w:tc>
              <w:tc>
                <w:tcPr>
                  <w:tcW w:w="2706" w:type="dxa"/>
                  <w:tcBorders>
                    <w:top w:val="single" w:color="auto" w:sz="4" w:space="0"/>
                    <w:left w:val="single" w:color="auto" w:sz="4" w:space="0"/>
                    <w:bottom w:val="single" w:color="auto" w:sz="4" w:space="0"/>
                    <w:right w:val="single" w:color="auto" w:sz="4" w:space="0"/>
                  </w:tcBorders>
                  <w:noWrap w:val="0"/>
                  <w:vAlign w:val="center"/>
                </w:tcPr>
                <w:p w14:paraId="78B4439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入窑原料粉</w:t>
                  </w:r>
                </w:p>
              </w:tc>
              <w:tc>
                <w:tcPr>
                  <w:tcW w:w="2706" w:type="dxa"/>
                  <w:tcBorders>
                    <w:top w:val="single" w:color="auto" w:sz="4" w:space="0"/>
                    <w:left w:val="single" w:color="auto" w:sz="4" w:space="0"/>
                    <w:bottom w:val="single" w:color="auto" w:sz="4" w:space="0"/>
                    <w:right w:val="single" w:color="auto" w:sz="4" w:space="0"/>
                  </w:tcBorders>
                  <w:noWrap w:val="0"/>
                  <w:vAlign w:val="center"/>
                </w:tcPr>
                <w:p w14:paraId="1FD5E52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原料粉</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喂料仓出口</w:t>
                  </w:r>
                </w:p>
              </w:tc>
              <w:tc>
                <w:tcPr>
                  <w:tcW w:w="1480" w:type="dxa"/>
                  <w:tcBorders>
                    <w:top w:val="single" w:color="auto" w:sz="4" w:space="0"/>
                    <w:left w:val="single" w:color="auto" w:sz="4" w:space="0"/>
                    <w:bottom w:val="single" w:color="auto" w:sz="4" w:space="0"/>
                    <w:right w:val="single" w:color="auto" w:sz="4" w:space="0"/>
                  </w:tcBorders>
                  <w:noWrap w:val="0"/>
                  <w:vAlign w:val="center"/>
                </w:tcPr>
                <w:p w14:paraId="04674A4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转子</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计量</w:t>
                  </w:r>
                  <w:r>
                    <w:rPr>
                      <w:rFonts w:hint="default" w:ascii="Times New Roman" w:hAnsi="Times New Roman" w:eastAsia="宋体" w:cs="Times New Roman"/>
                      <w:color w:val="000000" w:themeColor="text1"/>
                      <w:sz w:val="21"/>
                      <w:szCs w:val="21"/>
                      <w:highlight w:val="none"/>
                      <w14:textFill>
                        <w14:solidFill>
                          <w14:schemeClr w14:val="tx1"/>
                        </w14:solidFill>
                      </w14:textFill>
                    </w:rPr>
                    <w:t>秤</w:t>
                  </w:r>
                </w:p>
              </w:tc>
              <w:tc>
                <w:tcPr>
                  <w:tcW w:w="744" w:type="dxa"/>
                  <w:tcBorders>
                    <w:top w:val="single" w:color="auto" w:sz="4" w:space="0"/>
                    <w:left w:val="single" w:color="auto" w:sz="4" w:space="0"/>
                    <w:bottom w:val="single" w:color="auto" w:sz="4" w:space="0"/>
                    <w:right w:val="single" w:color="auto" w:sz="4" w:space="0"/>
                  </w:tcBorders>
                  <w:noWrap w:val="0"/>
                  <w:vAlign w:val="center"/>
                </w:tcPr>
                <w:p w14:paraId="153AF9D4">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1</w:t>
                  </w:r>
                </w:p>
              </w:tc>
            </w:tr>
            <w:tr w14:paraId="39237E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noWrap w:val="0"/>
                  <w:vAlign w:val="center"/>
                </w:tcPr>
                <w:p w14:paraId="4DCF02B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w:t>
                  </w:r>
                </w:p>
              </w:tc>
              <w:tc>
                <w:tcPr>
                  <w:tcW w:w="270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77B8F6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入窑气体燃料</w:t>
                  </w:r>
                </w:p>
              </w:tc>
              <w:tc>
                <w:tcPr>
                  <w:tcW w:w="270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1F160E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高岭土冷却</w:t>
                  </w:r>
                </w:p>
              </w:tc>
              <w:tc>
                <w:tcPr>
                  <w:tcW w:w="148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4613EA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气体流量计</w:t>
                  </w:r>
                </w:p>
              </w:tc>
              <w:tc>
                <w:tcPr>
                  <w:tcW w:w="74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87470D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1</w:t>
                  </w:r>
                </w:p>
              </w:tc>
            </w:tr>
            <w:tr w14:paraId="7A2D70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47" w:hRule="atLeast"/>
                <w:jc w:val="center"/>
              </w:trPr>
              <w:tc>
                <w:tcPr>
                  <w:tcW w:w="743" w:type="dxa"/>
                  <w:tcBorders>
                    <w:top w:val="single" w:color="auto" w:sz="4" w:space="0"/>
                    <w:left w:val="single" w:color="auto" w:sz="4" w:space="0"/>
                    <w:bottom w:val="single" w:color="auto" w:sz="4" w:space="0"/>
                    <w:right w:val="single" w:color="auto" w:sz="4" w:space="0"/>
                  </w:tcBorders>
                  <w:noWrap w:val="0"/>
                  <w:vAlign w:val="center"/>
                </w:tcPr>
                <w:p w14:paraId="5050B7F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3</w:t>
                  </w:r>
                </w:p>
              </w:tc>
              <w:tc>
                <w:tcPr>
                  <w:tcW w:w="270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99AF30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高岭土粗料</w:t>
                  </w:r>
                </w:p>
              </w:tc>
              <w:tc>
                <w:tcPr>
                  <w:tcW w:w="270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2F5E00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磨头钢仓下入磨</w:t>
                  </w:r>
                </w:p>
              </w:tc>
              <w:tc>
                <w:tcPr>
                  <w:tcW w:w="148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0C86BB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定量给料机</w:t>
                  </w:r>
                </w:p>
              </w:tc>
              <w:tc>
                <w:tcPr>
                  <w:tcW w:w="74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961A7D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w:t>
                  </w:r>
                </w:p>
              </w:tc>
            </w:tr>
            <w:tr w14:paraId="27374A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noWrap w:val="0"/>
                  <w:vAlign w:val="center"/>
                </w:tcPr>
                <w:p w14:paraId="40B6EE7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4</w:t>
                  </w:r>
                </w:p>
              </w:tc>
              <w:tc>
                <w:tcPr>
                  <w:tcW w:w="2706" w:type="dxa"/>
                  <w:tcBorders>
                    <w:top w:val="single" w:color="auto" w:sz="4" w:space="0"/>
                    <w:left w:val="single" w:color="auto" w:sz="4" w:space="0"/>
                    <w:bottom w:val="single" w:color="auto" w:sz="4" w:space="0"/>
                    <w:right w:val="single" w:color="auto" w:sz="4" w:space="0"/>
                  </w:tcBorders>
                  <w:noWrap w:val="0"/>
                  <w:vAlign w:val="center"/>
                </w:tcPr>
                <w:p w14:paraId="638B08D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高岭土粗料</w:t>
                  </w:r>
                </w:p>
              </w:tc>
              <w:tc>
                <w:tcPr>
                  <w:tcW w:w="2706" w:type="dxa"/>
                  <w:tcBorders>
                    <w:top w:val="single" w:color="auto" w:sz="4" w:space="0"/>
                    <w:left w:val="single" w:color="auto" w:sz="4" w:space="0"/>
                    <w:bottom w:val="single" w:color="auto" w:sz="4" w:space="0"/>
                    <w:right w:val="single" w:color="auto" w:sz="4" w:space="0"/>
                  </w:tcBorders>
                  <w:noWrap w:val="0"/>
                  <w:vAlign w:val="center"/>
                </w:tcPr>
                <w:p w14:paraId="45133F1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磨头钢仓下入大袋包装</w:t>
                  </w:r>
                </w:p>
              </w:tc>
              <w:tc>
                <w:tcPr>
                  <w:tcW w:w="1480" w:type="dxa"/>
                  <w:tcBorders>
                    <w:top w:val="single" w:color="auto" w:sz="4" w:space="0"/>
                    <w:left w:val="single" w:color="auto" w:sz="4" w:space="0"/>
                    <w:bottom w:val="single" w:color="auto" w:sz="4" w:space="0"/>
                    <w:right w:val="single" w:color="auto" w:sz="4" w:space="0"/>
                  </w:tcBorders>
                  <w:noWrap w:val="0"/>
                  <w:vAlign w:val="center"/>
                </w:tcPr>
                <w:p w14:paraId="481EEA6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定量给料机</w:t>
                  </w:r>
                </w:p>
              </w:tc>
              <w:tc>
                <w:tcPr>
                  <w:tcW w:w="744" w:type="dxa"/>
                  <w:tcBorders>
                    <w:top w:val="single" w:color="auto" w:sz="4" w:space="0"/>
                    <w:left w:val="single" w:color="auto" w:sz="4" w:space="0"/>
                    <w:bottom w:val="single" w:color="auto" w:sz="4" w:space="0"/>
                    <w:right w:val="single" w:color="auto" w:sz="4" w:space="0"/>
                  </w:tcBorders>
                  <w:noWrap w:val="0"/>
                  <w:vAlign w:val="center"/>
                </w:tcPr>
                <w:p w14:paraId="6E778DE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w:t>
                  </w:r>
                </w:p>
              </w:tc>
            </w:tr>
            <w:tr w14:paraId="2B96AD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noWrap w:val="0"/>
                  <w:vAlign w:val="center"/>
                </w:tcPr>
                <w:p w14:paraId="7F596C8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5</w:t>
                  </w:r>
                </w:p>
              </w:tc>
              <w:tc>
                <w:tcPr>
                  <w:tcW w:w="2706" w:type="dxa"/>
                  <w:tcBorders>
                    <w:top w:val="single" w:color="auto" w:sz="4" w:space="0"/>
                    <w:left w:val="single" w:color="auto" w:sz="4" w:space="0"/>
                    <w:bottom w:val="single" w:color="auto" w:sz="4" w:space="0"/>
                    <w:right w:val="single" w:color="auto" w:sz="4" w:space="0"/>
                  </w:tcBorders>
                  <w:noWrap w:val="0"/>
                  <w:vAlign w:val="center"/>
                </w:tcPr>
                <w:p w14:paraId="66D5EAC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高岭土粗料</w:t>
                  </w:r>
                </w:p>
              </w:tc>
              <w:tc>
                <w:tcPr>
                  <w:tcW w:w="2706" w:type="dxa"/>
                  <w:tcBorders>
                    <w:top w:val="single" w:color="auto" w:sz="4" w:space="0"/>
                    <w:left w:val="single" w:color="auto" w:sz="4" w:space="0"/>
                    <w:bottom w:val="single" w:color="auto" w:sz="4" w:space="0"/>
                    <w:right w:val="single" w:color="auto" w:sz="4" w:space="0"/>
                  </w:tcBorders>
                  <w:noWrap w:val="0"/>
                  <w:vAlign w:val="center"/>
                </w:tcPr>
                <w:p w14:paraId="6AA544E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大袋包装机下</w:t>
                  </w:r>
                </w:p>
              </w:tc>
              <w:tc>
                <w:tcPr>
                  <w:tcW w:w="1480" w:type="dxa"/>
                  <w:tcBorders>
                    <w:top w:val="single" w:color="auto" w:sz="4" w:space="0"/>
                    <w:left w:val="single" w:color="auto" w:sz="4" w:space="0"/>
                    <w:bottom w:val="single" w:color="auto" w:sz="4" w:space="0"/>
                    <w:right w:val="single" w:color="auto" w:sz="4" w:space="0"/>
                  </w:tcBorders>
                  <w:noWrap w:val="0"/>
                  <w:vAlign w:val="center"/>
                </w:tcPr>
                <w:p w14:paraId="0922F54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称重盘</w:t>
                  </w:r>
                </w:p>
              </w:tc>
              <w:tc>
                <w:tcPr>
                  <w:tcW w:w="744" w:type="dxa"/>
                  <w:tcBorders>
                    <w:top w:val="single" w:color="auto" w:sz="4" w:space="0"/>
                    <w:left w:val="single" w:color="auto" w:sz="4" w:space="0"/>
                    <w:bottom w:val="single" w:color="auto" w:sz="4" w:space="0"/>
                    <w:right w:val="single" w:color="auto" w:sz="4" w:space="0"/>
                  </w:tcBorders>
                  <w:noWrap w:val="0"/>
                  <w:vAlign w:val="center"/>
                </w:tcPr>
                <w:p w14:paraId="1B43CB9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w:t>
                  </w:r>
                </w:p>
              </w:tc>
            </w:tr>
            <w:tr w14:paraId="6C6A1E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8" w:hRule="atLeast"/>
                <w:jc w:val="center"/>
              </w:trPr>
              <w:tc>
                <w:tcPr>
                  <w:tcW w:w="743" w:type="dxa"/>
                  <w:tcBorders>
                    <w:top w:val="single" w:color="auto" w:sz="4" w:space="0"/>
                    <w:left w:val="single" w:color="auto" w:sz="4" w:space="0"/>
                    <w:bottom w:val="single" w:color="auto" w:sz="4" w:space="0"/>
                    <w:right w:val="single" w:color="auto" w:sz="4" w:space="0"/>
                  </w:tcBorders>
                  <w:noWrap w:val="0"/>
                  <w:vAlign w:val="center"/>
                </w:tcPr>
                <w:p w14:paraId="600DEE5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6</w:t>
                  </w:r>
                </w:p>
              </w:tc>
              <w:tc>
                <w:tcPr>
                  <w:tcW w:w="2706" w:type="dxa"/>
                  <w:tcBorders>
                    <w:top w:val="single" w:color="auto" w:sz="4" w:space="0"/>
                    <w:left w:val="single" w:color="auto" w:sz="4" w:space="0"/>
                    <w:bottom w:val="single" w:color="auto" w:sz="4" w:space="0"/>
                    <w:right w:val="single" w:color="auto" w:sz="4" w:space="0"/>
                  </w:tcBorders>
                  <w:noWrap w:val="0"/>
                  <w:vAlign w:val="center"/>
                </w:tcPr>
                <w:p w14:paraId="3745A82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高岭土细料（</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分选</w:t>
                  </w:r>
                  <w:r>
                    <w:rPr>
                      <w:rFonts w:hint="default" w:ascii="Times New Roman" w:hAnsi="Times New Roman" w:eastAsia="宋体" w:cs="Times New Roman"/>
                      <w:color w:val="000000" w:themeColor="text1"/>
                      <w:sz w:val="21"/>
                      <w:szCs w:val="21"/>
                      <w:highlight w:val="none"/>
                      <w14:textFill>
                        <w14:solidFill>
                          <w14:schemeClr w14:val="tx1"/>
                        </w14:solidFill>
                      </w14:textFill>
                    </w:rPr>
                    <w:t>后）</w:t>
                  </w:r>
                </w:p>
              </w:tc>
              <w:tc>
                <w:tcPr>
                  <w:tcW w:w="2706" w:type="dxa"/>
                  <w:tcBorders>
                    <w:top w:val="single" w:color="auto" w:sz="4" w:space="0"/>
                    <w:left w:val="single" w:color="auto" w:sz="4" w:space="0"/>
                    <w:bottom w:val="single" w:color="auto" w:sz="4" w:space="0"/>
                    <w:right w:val="single" w:color="auto" w:sz="4" w:space="0"/>
                  </w:tcBorders>
                  <w:noWrap w:val="0"/>
                  <w:vAlign w:val="center"/>
                </w:tcPr>
                <w:p w14:paraId="39CAF2C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大</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小</w:t>
                  </w:r>
                  <w:r>
                    <w:rPr>
                      <w:rFonts w:hint="default" w:ascii="Times New Roman" w:hAnsi="Times New Roman" w:eastAsia="宋体" w:cs="Times New Roman"/>
                      <w:color w:val="000000" w:themeColor="text1"/>
                      <w:sz w:val="21"/>
                      <w:szCs w:val="21"/>
                      <w:highlight w:val="none"/>
                      <w14:textFill>
                        <w14:solidFill>
                          <w14:schemeClr w14:val="tx1"/>
                        </w14:solidFill>
                      </w14:textFill>
                    </w:rPr>
                    <w:t>袋包装机下</w:t>
                  </w:r>
                </w:p>
              </w:tc>
              <w:tc>
                <w:tcPr>
                  <w:tcW w:w="1480" w:type="dxa"/>
                  <w:tcBorders>
                    <w:top w:val="single" w:color="auto" w:sz="4" w:space="0"/>
                    <w:left w:val="single" w:color="auto" w:sz="4" w:space="0"/>
                    <w:bottom w:val="single" w:color="auto" w:sz="4" w:space="0"/>
                    <w:right w:val="single" w:color="auto" w:sz="4" w:space="0"/>
                  </w:tcBorders>
                  <w:noWrap w:val="0"/>
                  <w:vAlign w:val="center"/>
                </w:tcPr>
                <w:p w14:paraId="4019291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称重盘</w:t>
                  </w:r>
                </w:p>
              </w:tc>
              <w:tc>
                <w:tcPr>
                  <w:tcW w:w="744" w:type="dxa"/>
                  <w:tcBorders>
                    <w:top w:val="single" w:color="auto" w:sz="4" w:space="0"/>
                    <w:left w:val="single" w:color="auto" w:sz="4" w:space="0"/>
                    <w:bottom w:val="single" w:color="auto" w:sz="4" w:space="0"/>
                    <w:right w:val="single" w:color="auto" w:sz="4" w:space="0"/>
                  </w:tcBorders>
                  <w:noWrap w:val="0"/>
                  <w:vAlign w:val="center"/>
                </w:tcPr>
                <w:p w14:paraId="767DDD3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2</w:t>
                  </w:r>
                </w:p>
              </w:tc>
            </w:tr>
          </w:tbl>
          <w:p w14:paraId="3D80E72C">
            <w:pPr>
              <w:spacing w:line="240" w:lineRule="auto"/>
              <w:jc w:val="cente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表2-11脱硫工艺</w:t>
            </w:r>
            <w:r>
              <w:rPr>
                <w:rFonts w:hint="default" w:ascii="Times New Roman" w:hAnsi="Times New Roman" w:cs="Times New Roman"/>
                <w:b/>
                <w:bCs/>
                <w:color w:val="000000" w:themeColor="text1"/>
                <w:sz w:val="24"/>
                <w:szCs w:val="24"/>
                <w:highlight w:val="none"/>
                <w:lang w:val="en-US" w:eastAsia="zh-CN"/>
                <w14:textFill>
                  <w14:solidFill>
                    <w14:schemeClr w14:val="tx1"/>
                  </w14:solidFill>
                </w14:textFill>
              </w:rPr>
              <w:t>（FGD）</w:t>
            </w: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主机设备表</w:t>
            </w:r>
          </w:p>
          <w:tbl>
            <w:tblPr>
              <w:tblStyle w:val="24"/>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5"/>
              <w:gridCol w:w="3738"/>
              <w:gridCol w:w="799"/>
              <w:gridCol w:w="1612"/>
              <w:gridCol w:w="920"/>
            </w:tblGrid>
            <w:tr w14:paraId="66B5F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blHeader/>
                <w:jc w:val="center"/>
              </w:trPr>
              <w:tc>
                <w:tcPr>
                  <w:tcW w:w="779" w:type="pct"/>
                  <w:noWrap w:val="0"/>
                  <w:vAlign w:val="center"/>
                </w:tcPr>
                <w:p w14:paraId="0B7038C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序号</w:t>
                  </w:r>
                </w:p>
              </w:tc>
              <w:tc>
                <w:tcPr>
                  <w:tcW w:w="2231" w:type="pct"/>
                  <w:noWrap w:val="0"/>
                  <w:vAlign w:val="center"/>
                </w:tcPr>
                <w:p w14:paraId="5E61F83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设备名称、规格及技术性能</w:t>
                  </w:r>
                </w:p>
              </w:tc>
              <w:tc>
                <w:tcPr>
                  <w:tcW w:w="477" w:type="pct"/>
                  <w:noWrap w:val="0"/>
                  <w:vAlign w:val="center"/>
                </w:tcPr>
                <w:p w14:paraId="7FC354A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台数</w:t>
                  </w:r>
                </w:p>
              </w:tc>
              <w:tc>
                <w:tcPr>
                  <w:tcW w:w="962" w:type="pct"/>
                  <w:noWrap w:val="0"/>
                  <w:vAlign w:val="center"/>
                </w:tcPr>
                <w:p w14:paraId="5021104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年利用率</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w:t>
                  </w:r>
                </w:p>
              </w:tc>
              <w:tc>
                <w:tcPr>
                  <w:tcW w:w="549" w:type="pct"/>
                  <w:noWrap w:val="0"/>
                  <w:vAlign w:val="center"/>
                </w:tcPr>
                <w:p w14:paraId="3596544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备注</w:t>
                  </w:r>
                </w:p>
              </w:tc>
            </w:tr>
            <w:tr w14:paraId="366D4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779" w:type="pct"/>
                  <w:vMerge w:val="restart"/>
                  <w:noWrap w:val="0"/>
                  <w:vAlign w:val="center"/>
                </w:tcPr>
                <w:p w14:paraId="79052E8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HO01</w:t>
                  </w:r>
                </w:p>
              </w:tc>
              <w:tc>
                <w:tcPr>
                  <w:tcW w:w="2231" w:type="pct"/>
                  <w:noWrap w:val="0"/>
                  <w:vAlign w:val="center"/>
                </w:tcPr>
                <w:p w14:paraId="5D7B90D2">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14:textFill>
                        <w14:solidFill>
                          <w14:schemeClr w14:val="tx1"/>
                        </w14:solidFill>
                      </w14:textFill>
                    </w:rPr>
                    <w:t>石灰石粉仓</w:t>
                  </w:r>
                </w:p>
              </w:tc>
              <w:tc>
                <w:tcPr>
                  <w:tcW w:w="477" w:type="pct"/>
                  <w:noWrap w:val="0"/>
                  <w:vAlign w:val="top"/>
                </w:tcPr>
                <w:p w14:paraId="5A897C7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w:t>
                  </w:r>
                </w:p>
              </w:tc>
              <w:tc>
                <w:tcPr>
                  <w:tcW w:w="962" w:type="pct"/>
                  <w:noWrap w:val="0"/>
                  <w:vAlign w:val="center"/>
                </w:tcPr>
                <w:p w14:paraId="5BD90E1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82.19</w:t>
                  </w:r>
                </w:p>
              </w:tc>
              <w:tc>
                <w:tcPr>
                  <w:tcW w:w="549" w:type="pct"/>
                  <w:noWrap w:val="0"/>
                  <w:vAlign w:val="center"/>
                </w:tcPr>
                <w:p w14:paraId="2A138490">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2E176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779" w:type="pct"/>
                  <w:vMerge w:val="continue"/>
                  <w:noWrap w:val="0"/>
                  <w:vAlign w:val="center"/>
                </w:tcPr>
                <w:p w14:paraId="5B3D418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31" w:type="pct"/>
                  <w:noWrap w:val="0"/>
                  <w:vAlign w:val="center"/>
                </w:tcPr>
                <w:p w14:paraId="197A53BD">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型号：</w:t>
                  </w:r>
                </w:p>
              </w:tc>
              <w:tc>
                <w:tcPr>
                  <w:tcW w:w="477" w:type="pct"/>
                  <w:noWrap w:val="0"/>
                  <w:vAlign w:val="top"/>
                </w:tcPr>
                <w:p w14:paraId="20274D3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62" w:type="pct"/>
                  <w:noWrap w:val="0"/>
                  <w:vAlign w:val="center"/>
                </w:tcPr>
                <w:p w14:paraId="5A7659B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49" w:type="pct"/>
                  <w:noWrap w:val="0"/>
                  <w:vAlign w:val="center"/>
                </w:tcPr>
                <w:p w14:paraId="52C3D8A6">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378E2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779" w:type="pct"/>
                  <w:vMerge w:val="continue"/>
                  <w:noWrap w:val="0"/>
                  <w:vAlign w:val="bottom"/>
                </w:tcPr>
                <w:p w14:paraId="774AE02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31" w:type="pct"/>
                  <w:noWrap w:val="0"/>
                  <w:vAlign w:val="center"/>
                </w:tcPr>
                <w:p w14:paraId="1D4A0C3A">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容积：</w:t>
                  </w:r>
                </w:p>
              </w:tc>
              <w:tc>
                <w:tcPr>
                  <w:tcW w:w="477" w:type="pct"/>
                  <w:noWrap w:val="0"/>
                  <w:vAlign w:val="top"/>
                </w:tcPr>
                <w:p w14:paraId="7CE380D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62" w:type="pct"/>
                  <w:noWrap w:val="0"/>
                  <w:vAlign w:val="center"/>
                </w:tcPr>
                <w:p w14:paraId="4220F184">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49" w:type="pct"/>
                  <w:noWrap w:val="0"/>
                  <w:vAlign w:val="center"/>
                </w:tcPr>
                <w:p w14:paraId="71FE05B9">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3C7B8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79" w:type="pct"/>
                  <w:vMerge w:val="continue"/>
                  <w:noWrap w:val="0"/>
                  <w:vAlign w:val="center"/>
                </w:tcPr>
                <w:p w14:paraId="003D4B3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31" w:type="pct"/>
                  <w:noWrap w:val="0"/>
                  <w:vAlign w:val="center"/>
                </w:tcPr>
                <w:p w14:paraId="70B3D928">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材质：</w:t>
                  </w:r>
                </w:p>
              </w:tc>
              <w:tc>
                <w:tcPr>
                  <w:tcW w:w="477" w:type="pct"/>
                  <w:noWrap w:val="0"/>
                  <w:vAlign w:val="top"/>
                </w:tcPr>
                <w:p w14:paraId="55B4304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62" w:type="pct"/>
                  <w:noWrap w:val="0"/>
                  <w:vAlign w:val="center"/>
                </w:tcPr>
                <w:p w14:paraId="4369B6D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49" w:type="pct"/>
                  <w:noWrap w:val="0"/>
                  <w:vAlign w:val="center"/>
                </w:tcPr>
                <w:p w14:paraId="464F4D2D">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20917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79" w:type="pct"/>
                  <w:vMerge w:val="restart"/>
                  <w:noWrap w:val="0"/>
                  <w:vAlign w:val="center"/>
                </w:tcPr>
                <w:p w14:paraId="29520D0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BF01</w:t>
                  </w:r>
                </w:p>
                <w:p w14:paraId="272E6D6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31" w:type="pct"/>
                  <w:noWrap w:val="0"/>
                  <w:vAlign w:val="center"/>
                </w:tcPr>
                <w:p w14:paraId="3435602C">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14:textFill>
                        <w14:solidFill>
                          <w14:schemeClr w14:val="tx1"/>
                        </w14:solidFill>
                      </w14:textFill>
                    </w:rPr>
                    <w:t>库顶除尘器</w:t>
                  </w:r>
                </w:p>
              </w:tc>
              <w:tc>
                <w:tcPr>
                  <w:tcW w:w="477" w:type="pct"/>
                  <w:noWrap w:val="0"/>
                  <w:vAlign w:val="top"/>
                </w:tcPr>
                <w:p w14:paraId="7A11F87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14:textFill>
                        <w14:solidFill>
                          <w14:schemeClr w14:val="tx1"/>
                        </w14:solidFill>
                      </w14:textFill>
                    </w:rPr>
                    <w:t>1</w:t>
                  </w:r>
                </w:p>
              </w:tc>
              <w:tc>
                <w:tcPr>
                  <w:tcW w:w="962" w:type="pct"/>
                  <w:noWrap w:val="0"/>
                  <w:vAlign w:val="center"/>
                </w:tcPr>
                <w:p w14:paraId="71135C9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14:textFill>
                        <w14:solidFill>
                          <w14:schemeClr w14:val="tx1"/>
                        </w14:solidFill>
                      </w14:textFill>
                    </w:rPr>
                    <w:t>82.19</w:t>
                  </w:r>
                </w:p>
              </w:tc>
              <w:tc>
                <w:tcPr>
                  <w:tcW w:w="549" w:type="pct"/>
                  <w:noWrap w:val="0"/>
                  <w:vAlign w:val="center"/>
                </w:tcPr>
                <w:p w14:paraId="0CB44753">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0A346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79" w:type="pct"/>
                  <w:vMerge w:val="continue"/>
                  <w:noWrap w:val="0"/>
                  <w:vAlign w:val="bottom"/>
                </w:tcPr>
                <w:p w14:paraId="191F755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31" w:type="pct"/>
                  <w:noWrap w:val="0"/>
                  <w:vAlign w:val="center"/>
                </w:tcPr>
                <w:p w14:paraId="7FC7A1CE">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型号：</w:t>
                  </w:r>
                </w:p>
              </w:tc>
              <w:tc>
                <w:tcPr>
                  <w:tcW w:w="477" w:type="pct"/>
                  <w:noWrap w:val="0"/>
                  <w:vAlign w:val="top"/>
                </w:tcPr>
                <w:p w14:paraId="3CE2F2E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62" w:type="pct"/>
                  <w:noWrap w:val="0"/>
                  <w:vAlign w:val="center"/>
                </w:tcPr>
                <w:p w14:paraId="7B8BC6E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49" w:type="pct"/>
                  <w:noWrap w:val="0"/>
                  <w:vAlign w:val="center"/>
                </w:tcPr>
                <w:p w14:paraId="591EBDB1">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6FD37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79" w:type="pct"/>
                  <w:vMerge w:val="continue"/>
                  <w:noWrap w:val="0"/>
                  <w:vAlign w:val="center"/>
                </w:tcPr>
                <w:p w14:paraId="61AF29E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31" w:type="pct"/>
                  <w:noWrap w:val="0"/>
                  <w:vAlign w:val="center"/>
                </w:tcPr>
                <w:p w14:paraId="7CB8DAD3">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类型：布袋除尘</w:t>
                  </w:r>
                </w:p>
              </w:tc>
              <w:tc>
                <w:tcPr>
                  <w:tcW w:w="477" w:type="pct"/>
                  <w:noWrap w:val="0"/>
                  <w:vAlign w:val="top"/>
                </w:tcPr>
                <w:p w14:paraId="5600EFE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62" w:type="pct"/>
                  <w:noWrap w:val="0"/>
                  <w:vAlign w:val="center"/>
                </w:tcPr>
                <w:p w14:paraId="4CCB8B1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49" w:type="pct"/>
                  <w:noWrap w:val="0"/>
                  <w:vAlign w:val="center"/>
                </w:tcPr>
                <w:p w14:paraId="3D7DA3DD">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2323C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79" w:type="pct"/>
                  <w:vMerge w:val="continue"/>
                  <w:noWrap w:val="0"/>
                  <w:vAlign w:val="bottom"/>
                </w:tcPr>
                <w:p w14:paraId="20AF90B4">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31" w:type="pct"/>
                  <w:noWrap w:val="0"/>
                  <w:vAlign w:val="center"/>
                </w:tcPr>
                <w:p w14:paraId="786C3897">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风机电机功率：1.5</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kW</w:t>
                  </w:r>
                </w:p>
              </w:tc>
              <w:tc>
                <w:tcPr>
                  <w:tcW w:w="477" w:type="pct"/>
                  <w:noWrap w:val="0"/>
                  <w:vAlign w:val="top"/>
                </w:tcPr>
                <w:p w14:paraId="416F0E3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62" w:type="pct"/>
                  <w:noWrap w:val="0"/>
                  <w:vAlign w:val="center"/>
                </w:tcPr>
                <w:p w14:paraId="1901FBF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49" w:type="pct"/>
                  <w:noWrap w:val="0"/>
                  <w:vAlign w:val="center"/>
                </w:tcPr>
                <w:p w14:paraId="1897E427">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14417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79" w:type="pct"/>
                  <w:vMerge w:val="restart"/>
                  <w:noWrap w:val="0"/>
                  <w:vAlign w:val="center"/>
                </w:tcPr>
                <w:p w14:paraId="32F2C15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WF01</w:t>
                  </w:r>
                </w:p>
              </w:tc>
              <w:tc>
                <w:tcPr>
                  <w:tcW w:w="2231" w:type="pct"/>
                  <w:noWrap w:val="0"/>
                  <w:vAlign w:val="center"/>
                </w:tcPr>
                <w:p w14:paraId="2B944469">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定量给料机</w:t>
                  </w:r>
                </w:p>
              </w:tc>
              <w:tc>
                <w:tcPr>
                  <w:tcW w:w="477" w:type="pct"/>
                  <w:noWrap w:val="0"/>
                  <w:vAlign w:val="top"/>
                </w:tcPr>
                <w:p w14:paraId="563BBE2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w:t>
                  </w:r>
                </w:p>
              </w:tc>
              <w:tc>
                <w:tcPr>
                  <w:tcW w:w="962" w:type="pct"/>
                  <w:noWrap w:val="0"/>
                  <w:vAlign w:val="center"/>
                </w:tcPr>
                <w:p w14:paraId="5D25F42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82.19</w:t>
                  </w:r>
                </w:p>
              </w:tc>
              <w:tc>
                <w:tcPr>
                  <w:tcW w:w="549" w:type="pct"/>
                  <w:noWrap w:val="0"/>
                  <w:vAlign w:val="center"/>
                </w:tcPr>
                <w:p w14:paraId="3B7A685E">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69153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79" w:type="pct"/>
                  <w:vMerge w:val="continue"/>
                  <w:noWrap w:val="0"/>
                  <w:vAlign w:val="center"/>
                </w:tcPr>
                <w:p w14:paraId="1B44684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31" w:type="pct"/>
                  <w:noWrap w:val="0"/>
                  <w:vAlign w:val="center"/>
                </w:tcPr>
                <w:p w14:paraId="4019811F">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型号：</w:t>
                  </w:r>
                </w:p>
              </w:tc>
              <w:tc>
                <w:tcPr>
                  <w:tcW w:w="477" w:type="pct"/>
                  <w:noWrap w:val="0"/>
                  <w:vAlign w:val="top"/>
                </w:tcPr>
                <w:p w14:paraId="489F42E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62" w:type="pct"/>
                  <w:noWrap w:val="0"/>
                  <w:vAlign w:val="center"/>
                </w:tcPr>
                <w:p w14:paraId="1DEE44D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49" w:type="pct"/>
                  <w:noWrap w:val="0"/>
                  <w:vAlign w:val="center"/>
                </w:tcPr>
                <w:p w14:paraId="20B02475">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7E12D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79" w:type="pct"/>
                  <w:vMerge w:val="continue"/>
                  <w:noWrap w:val="0"/>
                  <w:vAlign w:val="bottom"/>
                </w:tcPr>
                <w:p w14:paraId="5628768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31" w:type="pct"/>
                  <w:noWrap w:val="0"/>
                  <w:vAlign w:val="center"/>
                </w:tcPr>
                <w:p w14:paraId="58882AB2">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规格：</w:t>
                  </w:r>
                </w:p>
              </w:tc>
              <w:tc>
                <w:tcPr>
                  <w:tcW w:w="477" w:type="pct"/>
                  <w:noWrap w:val="0"/>
                  <w:vAlign w:val="top"/>
                </w:tcPr>
                <w:p w14:paraId="5CA2050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62" w:type="pct"/>
                  <w:noWrap w:val="0"/>
                  <w:vAlign w:val="center"/>
                </w:tcPr>
                <w:p w14:paraId="70F8A89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49" w:type="pct"/>
                  <w:noWrap w:val="0"/>
                  <w:vAlign w:val="center"/>
                </w:tcPr>
                <w:p w14:paraId="506ADCAD">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5E891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79" w:type="pct"/>
                  <w:vMerge w:val="continue"/>
                  <w:noWrap w:val="0"/>
                  <w:vAlign w:val="bottom"/>
                </w:tcPr>
                <w:p w14:paraId="53D5EC4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31" w:type="pct"/>
                  <w:noWrap w:val="0"/>
                  <w:vAlign w:val="center"/>
                </w:tcPr>
                <w:p w14:paraId="46DEC7A3">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物料：</w:t>
                  </w:r>
                </w:p>
              </w:tc>
              <w:tc>
                <w:tcPr>
                  <w:tcW w:w="477" w:type="pct"/>
                  <w:noWrap w:val="0"/>
                  <w:vAlign w:val="top"/>
                </w:tcPr>
                <w:p w14:paraId="191E2E0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62" w:type="pct"/>
                  <w:noWrap w:val="0"/>
                  <w:vAlign w:val="center"/>
                </w:tcPr>
                <w:p w14:paraId="26CCAA4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49" w:type="pct"/>
                  <w:noWrap w:val="0"/>
                  <w:vAlign w:val="center"/>
                </w:tcPr>
                <w:p w14:paraId="551DE0C6">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77240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79" w:type="pct"/>
                  <w:vMerge w:val="continue"/>
                  <w:noWrap w:val="0"/>
                  <w:vAlign w:val="bottom"/>
                </w:tcPr>
                <w:p w14:paraId="4AFD2B6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31" w:type="pct"/>
                  <w:noWrap w:val="0"/>
                  <w:vAlign w:val="center"/>
                </w:tcPr>
                <w:p w14:paraId="6A43F85E">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喂料能力：1t/h</w:t>
                  </w:r>
                </w:p>
              </w:tc>
              <w:tc>
                <w:tcPr>
                  <w:tcW w:w="477" w:type="pct"/>
                  <w:noWrap w:val="0"/>
                  <w:vAlign w:val="top"/>
                </w:tcPr>
                <w:p w14:paraId="7FA042E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62" w:type="pct"/>
                  <w:noWrap w:val="0"/>
                  <w:vAlign w:val="center"/>
                </w:tcPr>
                <w:p w14:paraId="56EC81C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49" w:type="pct"/>
                  <w:noWrap w:val="0"/>
                  <w:vAlign w:val="center"/>
                </w:tcPr>
                <w:p w14:paraId="7443B31C">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651B3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79" w:type="pct"/>
                  <w:vMerge w:val="continue"/>
                  <w:noWrap w:val="0"/>
                  <w:vAlign w:val="bottom"/>
                </w:tcPr>
                <w:p w14:paraId="022F941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31" w:type="pct"/>
                  <w:noWrap w:val="0"/>
                  <w:vAlign w:val="center"/>
                </w:tcPr>
                <w:p w14:paraId="59683D72">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变频功率电机</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3</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kW</w:t>
                  </w:r>
                </w:p>
              </w:tc>
              <w:tc>
                <w:tcPr>
                  <w:tcW w:w="477" w:type="pct"/>
                  <w:noWrap w:val="0"/>
                  <w:vAlign w:val="top"/>
                </w:tcPr>
                <w:p w14:paraId="6DFF118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62" w:type="pct"/>
                  <w:noWrap w:val="0"/>
                  <w:vAlign w:val="center"/>
                </w:tcPr>
                <w:p w14:paraId="3A19381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49" w:type="pct"/>
                  <w:noWrap w:val="0"/>
                  <w:vAlign w:val="center"/>
                </w:tcPr>
                <w:p w14:paraId="574152DD">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22BCC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79" w:type="pct"/>
                  <w:vMerge w:val="restart"/>
                  <w:noWrap w:val="0"/>
                  <w:vAlign w:val="bottom"/>
                </w:tcPr>
                <w:p w14:paraId="1520FC6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TK01</w:t>
                  </w:r>
                </w:p>
                <w:p w14:paraId="5571DC3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31" w:type="pct"/>
                  <w:noWrap w:val="0"/>
                  <w:vAlign w:val="center"/>
                </w:tcPr>
                <w:p w14:paraId="7BEC75E2">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石灰浆液箱</w:t>
                  </w:r>
                </w:p>
              </w:tc>
              <w:tc>
                <w:tcPr>
                  <w:tcW w:w="477" w:type="pct"/>
                  <w:noWrap w:val="0"/>
                  <w:vAlign w:val="top"/>
                </w:tcPr>
                <w:p w14:paraId="374F7A1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w:t>
                  </w:r>
                </w:p>
              </w:tc>
              <w:tc>
                <w:tcPr>
                  <w:tcW w:w="962" w:type="pct"/>
                  <w:noWrap w:val="0"/>
                  <w:vAlign w:val="center"/>
                </w:tcPr>
                <w:p w14:paraId="04EA5E0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82.19</w:t>
                  </w:r>
                </w:p>
              </w:tc>
              <w:tc>
                <w:tcPr>
                  <w:tcW w:w="549" w:type="pct"/>
                  <w:noWrap w:val="0"/>
                  <w:vAlign w:val="center"/>
                </w:tcPr>
                <w:p w14:paraId="08EE1F5D">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52F72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79" w:type="pct"/>
                  <w:vMerge w:val="continue"/>
                  <w:noWrap w:val="0"/>
                  <w:vAlign w:val="center"/>
                </w:tcPr>
                <w:p w14:paraId="01203F94">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31" w:type="pct"/>
                  <w:noWrap w:val="0"/>
                  <w:vAlign w:val="center"/>
                </w:tcPr>
                <w:p w14:paraId="2FA5A3C6">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容量：20m³</w:t>
                  </w:r>
                </w:p>
              </w:tc>
              <w:tc>
                <w:tcPr>
                  <w:tcW w:w="477" w:type="pct"/>
                  <w:noWrap w:val="0"/>
                  <w:vAlign w:val="top"/>
                </w:tcPr>
                <w:p w14:paraId="7C0170A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62" w:type="pct"/>
                  <w:noWrap w:val="0"/>
                  <w:vAlign w:val="center"/>
                </w:tcPr>
                <w:p w14:paraId="0AB034A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49" w:type="pct"/>
                  <w:noWrap w:val="0"/>
                  <w:vAlign w:val="center"/>
                </w:tcPr>
                <w:p w14:paraId="473ABFDD">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6A4A6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79" w:type="pct"/>
                  <w:vMerge w:val="restart"/>
                  <w:noWrap w:val="0"/>
                  <w:vAlign w:val="center"/>
                </w:tcPr>
                <w:p w14:paraId="462E176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PU01~PU04</w:t>
                  </w:r>
                </w:p>
              </w:tc>
              <w:tc>
                <w:tcPr>
                  <w:tcW w:w="2231" w:type="pct"/>
                  <w:noWrap w:val="0"/>
                  <w:vAlign w:val="center"/>
                </w:tcPr>
                <w:p w14:paraId="2D006E8A">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石灰石浆液泵</w:t>
                  </w:r>
                </w:p>
              </w:tc>
              <w:tc>
                <w:tcPr>
                  <w:tcW w:w="477" w:type="pct"/>
                  <w:noWrap w:val="0"/>
                  <w:vAlign w:val="top"/>
                </w:tcPr>
                <w:p w14:paraId="42ECB49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4</w:t>
                  </w:r>
                </w:p>
              </w:tc>
              <w:tc>
                <w:tcPr>
                  <w:tcW w:w="962" w:type="pct"/>
                  <w:noWrap w:val="0"/>
                  <w:vAlign w:val="center"/>
                </w:tcPr>
                <w:p w14:paraId="12F30F6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82.19</w:t>
                  </w:r>
                </w:p>
              </w:tc>
              <w:tc>
                <w:tcPr>
                  <w:tcW w:w="549" w:type="pct"/>
                  <w:noWrap w:val="0"/>
                  <w:vAlign w:val="center"/>
                </w:tcPr>
                <w:p w14:paraId="6EB9333F">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3A489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79" w:type="pct"/>
                  <w:vMerge w:val="continue"/>
                  <w:noWrap w:val="0"/>
                  <w:vAlign w:val="bottom"/>
                </w:tcPr>
                <w:p w14:paraId="242B7FF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31" w:type="pct"/>
                  <w:noWrap w:val="0"/>
                  <w:vAlign w:val="center"/>
                </w:tcPr>
                <w:p w14:paraId="17B901E7">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型号：</w:t>
                  </w:r>
                </w:p>
              </w:tc>
              <w:tc>
                <w:tcPr>
                  <w:tcW w:w="477" w:type="pct"/>
                  <w:noWrap w:val="0"/>
                  <w:vAlign w:val="top"/>
                </w:tcPr>
                <w:p w14:paraId="630583C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62" w:type="pct"/>
                  <w:noWrap w:val="0"/>
                  <w:vAlign w:val="center"/>
                </w:tcPr>
                <w:p w14:paraId="1B412EF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49" w:type="pct"/>
                  <w:noWrap w:val="0"/>
                  <w:vAlign w:val="center"/>
                </w:tcPr>
                <w:p w14:paraId="02BF3F86">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13511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79" w:type="pct"/>
                  <w:vMerge w:val="continue"/>
                  <w:noWrap w:val="0"/>
                  <w:vAlign w:val="bottom"/>
                </w:tcPr>
                <w:p w14:paraId="5D8DB6D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31" w:type="pct"/>
                  <w:noWrap w:val="0"/>
                  <w:vAlign w:val="center"/>
                </w:tcPr>
                <w:p w14:paraId="430F92E5">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流量：5m³/h</w:t>
                  </w:r>
                </w:p>
              </w:tc>
              <w:tc>
                <w:tcPr>
                  <w:tcW w:w="477" w:type="pct"/>
                  <w:noWrap w:val="0"/>
                  <w:vAlign w:val="top"/>
                </w:tcPr>
                <w:p w14:paraId="348D61F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62" w:type="pct"/>
                  <w:noWrap w:val="0"/>
                  <w:vAlign w:val="center"/>
                </w:tcPr>
                <w:p w14:paraId="6724212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49" w:type="pct"/>
                  <w:noWrap w:val="0"/>
                  <w:vAlign w:val="center"/>
                </w:tcPr>
                <w:p w14:paraId="3E0892A8">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34CD9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79" w:type="pct"/>
                  <w:vMerge w:val="continue"/>
                  <w:noWrap w:val="0"/>
                  <w:vAlign w:val="bottom"/>
                </w:tcPr>
                <w:p w14:paraId="47DB835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31" w:type="pct"/>
                  <w:noWrap w:val="0"/>
                  <w:vAlign w:val="center"/>
                </w:tcPr>
                <w:p w14:paraId="15F79551">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扬程：30m</w:t>
                  </w:r>
                </w:p>
              </w:tc>
              <w:tc>
                <w:tcPr>
                  <w:tcW w:w="477" w:type="pct"/>
                  <w:noWrap w:val="0"/>
                  <w:vAlign w:val="top"/>
                </w:tcPr>
                <w:p w14:paraId="15C5766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62" w:type="pct"/>
                  <w:noWrap w:val="0"/>
                  <w:vAlign w:val="center"/>
                </w:tcPr>
                <w:p w14:paraId="0B8493F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49" w:type="pct"/>
                  <w:noWrap w:val="0"/>
                  <w:vAlign w:val="center"/>
                </w:tcPr>
                <w:p w14:paraId="4DE711FB">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70042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79" w:type="pct"/>
                  <w:vMerge w:val="continue"/>
                  <w:noWrap w:val="0"/>
                  <w:vAlign w:val="bottom"/>
                </w:tcPr>
                <w:p w14:paraId="0BCC320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31" w:type="pct"/>
                  <w:noWrap w:val="0"/>
                  <w:vAlign w:val="center"/>
                </w:tcPr>
                <w:p w14:paraId="31167C50">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变频电机功率：7.5</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kW</w:t>
                  </w:r>
                </w:p>
              </w:tc>
              <w:tc>
                <w:tcPr>
                  <w:tcW w:w="477" w:type="pct"/>
                  <w:noWrap w:val="0"/>
                  <w:vAlign w:val="top"/>
                </w:tcPr>
                <w:p w14:paraId="6D43D88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62" w:type="pct"/>
                  <w:noWrap w:val="0"/>
                  <w:vAlign w:val="center"/>
                </w:tcPr>
                <w:p w14:paraId="0C1B1D8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49" w:type="pct"/>
                  <w:noWrap w:val="0"/>
                  <w:vAlign w:val="center"/>
                </w:tcPr>
                <w:p w14:paraId="17D4CB19">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77166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79" w:type="pct"/>
                  <w:vMerge w:val="restart"/>
                  <w:noWrap w:val="0"/>
                  <w:vAlign w:val="bottom"/>
                </w:tcPr>
                <w:p w14:paraId="2D6BD42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TH01</w:t>
                  </w:r>
                </w:p>
                <w:p w14:paraId="1FA7B4D6">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p w14:paraId="27631C8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p w14:paraId="752FC3F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p w14:paraId="7D84254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p w14:paraId="40A705F0">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31" w:type="pct"/>
                  <w:noWrap w:val="0"/>
                  <w:vAlign w:val="center"/>
                </w:tcPr>
                <w:p w14:paraId="4FB7AD6C">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脱硫塔</w:t>
                  </w:r>
                </w:p>
              </w:tc>
              <w:tc>
                <w:tcPr>
                  <w:tcW w:w="477" w:type="pct"/>
                  <w:noWrap w:val="0"/>
                  <w:vAlign w:val="top"/>
                </w:tcPr>
                <w:p w14:paraId="6BF216A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w:t>
                  </w:r>
                </w:p>
              </w:tc>
              <w:tc>
                <w:tcPr>
                  <w:tcW w:w="962" w:type="pct"/>
                  <w:noWrap w:val="0"/>
                  <w:vAlign w:val="center"/>
                </w:tcPr>
                <w:p w14:paraId="678B8E7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82.19</w:t>
                  </w:r>
                </w:p>
              </w:tc>
              <w:tc>
                <w:tcPr>
                  <w:tcW w:w="549" w:type="pct"/>
                  <w:noWrap w:val="0"/>
                  <w:vAlign w:val="center"/>
                </w:tcPr>
                <w:p w14:paraId="1F62D475">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6461C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79" w:type="pct"/>
                  <w:vMerge w:val="continue"/>
                  <w:noWrap w:val="0"/>
                  <w:vAlign w:val="center"/>
                </w:tcPr>
                <w:p w14:paraId="1517B37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31" w:type="pct"/>
                  <w:noWrap w:val="0"/>
                  <w:vAlign w:val="center"/>
                </w:tcPr>
                <w:p w14:paraId="48953CEE">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型号：</w:t>
                  </w:r>
                </w:p>
              </w:tc>
              <w:tc>
                <w:tcPr>
                  <w:tcW w:w="477" w:type="pct"/>
                  <w:noWrap w:val="0"/>
                  <w:vAlign w:val="top"/>
                </w:tcPr>
                <w:p w14:paraId="2F90549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62" w:type="pct"/>
                  <w:noWrap w:val="0"/>
                  <w:vAlign w:val="center"/>
                </w:tcPr>
                <w:p w14:paraId="20249FE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49" w:type="pct"/>
                  <w:noWrap w:val="0"/>
                  <w:vAlign w:val="center"/>
                </w:tcPr>
                <w:p w14:paraId="394868A8">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14735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79" w:type="pct"/>
                  <w:vMerge w:val="continue"/>
                  <w:noWrap w:val="0"/>
                  <w:vAlign w:val="bottom"/>
                </w:tcPr>
                <w:p w14:paraId="5DE53C8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31" w:type="pct"/>
                  <w:noWrap w:val="0"/>
                  <w:vAlign w:val="center"/>
                </w:tcPr>
                <w:p w14:paraId="21CD1A22">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吸收塔型式：</w:t>
                  </w:r>
                </w:p>
              </w:tc>
              <w:tc>
                <w:tcPr>
                  <w:tcW w:w="477" w:type="pct"/>
                  <w:noWrap w:val="0"/>
                  <w:vAlign w:val="top"/>
                </w:tcPr>
                <w:p w14:paraId="2152075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62" w:type="pct"/>
                  <w:noWrap w:val="0"/>
                  <w:vAlign w:val="center"/>
                </w:tcPr>
                <w:p w14:paraId="173FD2B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49" w:type="pct"/>
                  <w:noWrap w:val="0"/>
                  <w:vAlign w:val="center"/>
                </w:tcPr>
                <w:p w14:paraId="12C97E78">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52FFC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79" w:type="pct"/>
                  <w:vMerge w:val="continue"/>
                  <w:noWrap w:val="0"/>
                  <w:vAlign w:val="center"/>
                </w:tcPr>
                <w:p w14:paraId="62801D3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31" w:type="pct"/>
                  <w:noWrap w:val="0"/>
                  <w:vAlign w:val="center"/>
                </w:tcPr>
                <w:p w14:paraId="3719EED7">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吸收区塔内径：Φ4.0m</w:t>
                  </w:r>
                </w:p>
              </w:tc>
              <w:tc>
                <w:tcPr>
                  <w:tcW w:w="477" w:type="pct"/>
                  <w:noWrap w:val="0"/>
                  <w:vAlign w:val="top"/>
                </w:tcPr>
                <w:p w14:paraId="08B8449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62" w:type="pct"/>
                  <w:noWrap w:val="0"/>
                  <w:vAlign w:val="center"/>
                </w:tcPr>
                <w:p w14:paraId="7DFC835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49" w:type="pct"/>
                  <w:noWrap w:val="0"/>
                  <w:vAlign w:val="center"/>
                </w:tcPr>
                <w:p w14:paraId="1AAF6565">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43DC3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79" w:type="pct"/>
                  <w:vMerge w:val="continue"/>
                  <w:noWrap w:val="0"/>
                  <w:vAlign w:val="bottom"/>
                </w:tcPr>
                <w:p w14:paraId="372984C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31" w:type="pct"/>
                  <w:noWrap w:val="0"/>
                  <w:vAlign w:val="center"/>
                </w:tcPr>
                <w:p w14:paraId="6794BFDC">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塔釜区直径：Φ6m</w:t>
                  </w:r>
                </w:p>
              </w:tc>
              <w:tc>
                <w:tcPr>
                  <w:tcW w:w="477" w:type="pct"/>
                  <w:noWrap w:val="0"/>
                  <w:vAlign w:val="top"/>
                </w:tcPr>
                <w:p w14:paraId="617E086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62" w:type="pct"/>
                  <w:noWrap w:val="0"/>
                  <w:vAlign w:val="center"/>
                </w:tcPr>
                <w:p w14:paraId="6D2ABBE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49" w:type="pct"/>
                  <w:noWrap w:val="0"/>
                  <w:vAlign w:val="center"/>
                </w:tcPr>
                <w:p w14:paraId="0A209614">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63DC3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9" w:hRule="atLeast"/>
                <w:jc w:val="center"/>
              </w:trPr>
              <w:tc>
                <w:tcPr>
                  <w:tcW w:w="779" w:type="pct"/>
                  <w:vMerge w:val="continue"/>
                  <w:noWrap w:val="0"/>
                  <w:vAlign w:val="bottom"/>
                </w:tcPr>
                <w:p w14:paraId="18FE2F3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31" w:type="pct"/>
                  <w:noWrap w:val="0"/>
                  <w:vAlign w:val="center"/>
                </w:tcPr>
                <w:p w14:paraId="78A1D055">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浆池高度：6m</w:t>
                  </w:r>
                </w:p>
              </w:tc>
              <w:tc>
                <w:tcPr>
                  <w:tcW w:w="477" w:type="pct"/>
                  <w:noWrap w:val="0"/>
                  <w:vAlign w:val="top"/>
                </w:tcPr>
                <w:p w14:paraId="5192FEB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62" w:type="pct"/>
                  <w:noWrap w:val="0"/>
                  <w:vAlign w:val="center"/>
                </w:tcPr>
                <w:p w14:paraId="7A02485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49" w:type="pct"/>
                  <w:noWrap w:val="0"/>
                  <w:vAlign w:val="center"/>
                </w:tcPr>
                <w:p w14:paraId="785DDE2C">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25803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9" w:hRule="atLeast"/>
                <w:jc w:val="center"/>
              </w:trPr>
              <w:tc>
                <w:tcPr>
                  <w:tcW w:w="779" w:type="pct"/>
                  <w:vMerge w:val="continue"/>
                  <w:noWrap w:val="0"/>
                  <w:vAlign w:val="bottom"/>
                </w:tcPr>
                <w:p w14:paraId="44426A4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31" w:type="pct"/>
                  <w:noWrap w:val="0"/>
                  <w:vAlign w:val="center"/>
                </w:tcPr>
                <w:p w14:paraId="78055F13">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材质：</w:t>
                  </w:r>
                </w:p>
              </w:tc>
              <w:tc>
                <w:tcPr>
                  <w:tcW w:w="477" w:type="pct"/>
                  <w:noWrap w:val="0"/>
                  <w:vAlign w:val="top"/>
                </w:tcPr>
                <w:p w14:paraId="724D12D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62" w:type="pct"/>
                  <w:noWrap w:val="0"/>
                  <w:vAlign w:val="center"/>
                </w:tcPr>
                <w:p w14:paraId="1AB38DE4">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49" w:type="pct"/>
                  <w:noWrap w:val="0"/>
                  <w:vAlign w:val="center"/>
                </w:tcPr>
                <w:p w14:paraId="1CFA1DF5">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3127F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79" w:type="pct"/>
                  <w:vMerge w:val="continue"/>
                  <w:noWrap w:val="0"/>
                  <w:vAlign w:val="bottom"/>
                </w:tcPr>
                <w:p w14:paraId="28D8CA5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31" w:type="pct"/>
                  <w:noWrap w:val="0"/>
                  <w:vAlign w:val="center"/>
                </w:tcPr>
                <w:p w14:paraId="0513A3F6">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浆池液位正常/最高/最低：6/7/5m</w:t>
                  </w:r>
                </w:p>
              </w:tc>
              <w:tc>
                <w:tcPr>
                  <w:tcW w:w="477" w:type="pct"/>
                  <w:noWrap w:val="0"/>
                  <w:vAlign w:val="top"/>
                </w:tcPr>
                <w:p w14:paraId="77D0E564">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62" w:type="pct"/>
                  <w:noWrap w:val="0"/>
                  <w:vAlign w:val="center"/>
                </w:tcPr>
                <w:p w14:paraId="27D235C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49" w:type="pct"/>
                  <w:noWrap w:val="0"/>
                  <w:vAlign w:val="center"/>
                </w:tcPr>
                <w:p w14:paraId="2A526E68">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40591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79" w:type="pct"/>
                  <w:vMerge w:val="restart"/>
                  <w:noWrap w:val="0"/>
                  <w:vAlign w:val="center"/>
                </w:tcPr>
                <w:p w14:paraId="330B6D2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PU03</w:t>
                  </w:r>
                </w:p>
              </w:tc>
              <w:tc>
                <w:tcPr>
                  <w:tcW w:w="2231" w:type="pct"/>
                  <w:noWrap w:val="0"/>
                  <w:vAlign w:val="center"/>
                </w:tcPr>
                <w:p w14:paraId="0AD126C3">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喷淋循环泵</w:t>
                  </w:r>
                </w:p>
              </w:tc>
              <w:tc>
                <w:tcPr>
                  <w:tcW w:w="477" w:type="pct"/>
                  <w:noWrap w:val="0"/>
                  <w:vAlign w:val="top"/>
                </w:tcPr>
                <w:p w14:paraId="3873D71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w:t>
                  </w:r>
                </w:p>
              </w:tc>
              <w:tc>
                <w:tcPr>
                  <w:tcW w:w="962" w:type="pct"/>
                  <w:noWrap w:val="0"/>
                  <w:vAlign w:val="center"/>
                </w:tcPr>
                <w:p w14:paraId="406F744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82.19</w:t>
                  </w:r>
                </w:p>
              </w:tc>
              <w:tc>
                <w:tcPr>
                  <w:tcW w:w="549" w:type="pct"/>
                  <w:noWrap w:val="0"/>
                  <w:vAlign w:val="center"/>
                </w:tcPr>
                <w:p w14:paraId="7D38FA62">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0555D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9" w:hRule="atLeast"/>
                <w:jc w:val="center"/>
              </w:trPr>
              <w:tc>
                <w:tcPr>
                  <w:tcW w:w="779" w:type="pct"/>
                  <w:vMerge w:val="continue"/>
                  <w:noWrap w:val="0"/>
                  <w:vAlign w:val="bottom"/>
                </w:tcPr>
                <w:p w14:paraId="26C1305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31" w:type="pct"/>
                  <w:noWrap w:val="0"/>
                  <w:vAlign w:val="center"/>
                </w:tcPr>
                <w:p w14:paraId="38CFF358">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型号：卧式离心泵</w:t>
                  </w:r>
                </w:p>
              </w:tc>
              <w:tc>
                <w:tcPr>
                  <w:tcW w:w="477" w:type="pct"/>
                  <w:noWrap w:val="0"/>
                  <w:vAlign w:val="top"/>
                </w:tcPr>
                <w:p w14:paraId="3260FCF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62" w:type="pct"/>
                  <w:noWrap w:val="0"/>
                  <w:vAlign w:val="center"/>
                </w:tcPr>
                <w:p w14:paraId="5330F69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49" w:type="pct"/>
                  <w:noWrap w:val="0"/>
                  <w:vAlign w:val="center"/>
                </w:tcPr>
                <w:p w14:paraId="6491FAF3">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0EB70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9" w:hRule="atLeast"/>
                <w:jc w:val="center"/>
              </w:trPr>
              <w:tc>
                <w:tcPr>
                  <w:tcW w:w="779" w:type="pct"/>
                  <w:vMerge w:val="continue"/>
                  <w:noWrap w:val="0"/>
                  <w:vAlign w:val="bottom"/>
                </w:tcPr>
                <w:p w14:paraId="0D0033B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31" w:type="pct"/>
                  <w:noWrap w:val="0"/>
                  <w:vAlign w:val="center"/>
                </w:tcPr>
                <w:p w14:paraId="4D462DBB">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流量：800m³/h</w:t>
                  </w:r>
                </w:p>
              </w:tc>
              <w:tc>
                <w:tcPr>
                  <w:tcW w:w="477" w:type="pct"/>
                  <w:noWrap w:val="0"/>
                  <w:vAlign w:val="top"/>
                </w:tcPr>
                <w:p w14:paraId="4098B6F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62" w:type="pct"/>
                  <w:noWrap w:val="0"/>
                  <w:vAlign w:val="center"/>
                </w:tcPr>
                <w:p w14:paraId="59B15B0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49" w:type="pct"/>
                  <w:noWrap w:val="0"/>
                  <w:vAlign w:val="center"/>
                </w:tcPr>
                <w:p w14:paraId="09B785B5">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7B6A2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79" w:type="pct"/>
                  <w:vMerge w:val="continue"/>
                  <w:noWrap w:val="0"/>
                  <w:vAlign w:val="bottom"/>
                </w:tcPr>
                <w:p w14:paraId="77603BC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31" w:type="pct"/>
                  <w:noWrap w:val="0"/>
                  <w:vAlign w:val="center"/>
                </w:tcPr>
                <w:p w14:paraId="591BC17C">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扬程：18m</w:t>
                  </w:r>
                </w:p>
              </w:tc>
              <w:tc>
                <w:tcPr>
                  <w:tcW w:w="477" w:type="pct"/>
                  <w:noWrap w:val="0"/>
                  <w:vAlign w:val="top"/>
                </w:tcPr>
                <w:p w14:paraId="27C4D11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62" w:type="pct"/>
                  <w:noWrap w:val="0"/>
                  <w:vAlign w:val="center"/>
                </w:tcPr>
                <w:p w14:paraId="4F6C79A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49" w:type="pct"/>
                  <w:noWrap w:val="0"/>
                  <w:vAlign w:val="center"/>
                </w:tcPr>
                <w:p w14:paraId="1CDEFF0F">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53E0F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79" w:type="pct"/>
                  <w:vMerge w:val="continue"/>
                  <w:noWrap w:val="0"/>
                  <w:vAlign w:val="bottom"/>
                </w:tcPr>
                <w:p w14:paraId="3DB43AF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31" w:type="pct"/>
                  <w:noWrap w:val="0"/>
                  <w:vAlign w:val="center"/>
                </w:tcPr>
                <w:p w14:paraId="29EA6D7D">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电机功率：75KW</w:t>
                  </w:r>
                </w:p>
              </w:tc>
              <w:tc>
                <w:tcPr>
                  <w:tcW w:w="477" w:type="pct"/>
                  <w:noWrap w:val="0"/>
                  <w:vAlign w:val="top"/>
                </w:tcPr>
                <w:p w14:paraId="3C3FC5D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62" w:type="pct"/>
                  <w:noWrap w:val="0"/>
                  <w:vAlign w:val="center"/>
                </w:tcPr>
                <w:p w14:paraId="7FE3C60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49" w:type="pct"/>
                  <w:noWrap w:val="0"/>
                  <w:vAlign w:val="center"/>
                </w:tcPr>
                <w:p w14:paraId="64FB08F9">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5E6D7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9" w:hRule="atLeast"/>
                <w:jc w:val="center"/>
              </w:trPr>
              <w:tc>
                <w:tcPr>
                  <w:tcW w:w="779" w:type="pct"/>
                  <w:vMerge w:val="restart"/>
                  <w:noWrap w:val="0"/>
                  <w:vAlign w:val="bottom"/>
                </w:tcPr>
                <w:p w14:paraId="3A5BDCB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PU04</w:t>
                  </w:r>
                </w:p>
                <w:p w14:paraId="5F2EDA1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p w14:paraId="36A5710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31" w:type="pct"/>
                  <w:noWrap w:val="0"/>
                  <w:vAlign w:val="center"/>
                </w:tcPr>
                <w:p w14:paraId="411C89DB">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喷淋循环泵</w:t>
                  </w:r>
                </w:p>
              </w:tc>
              <w:tc>
                <w:tcPr>
                  <w:tcW w:w="477" w:type="pct"/>
                  <w:noWrap w:val="0"/>
                  <w:vAlign w:val="top"/>
                </w:tcPr>
                <w:p w14:paraId="64F2E5A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w:t>
                  </w:r>
                </w:p>
              </w:tc>
              <w:tc>
                <w:tcPr>
                  <w:tcW w:w="962" w:type="pct"/>
                  <w:noWrap w:val="0"/>
                  <w:vAlign w:val="center"/>
                </w:tcPr>
                <w:p w14:paraId="3CFE7D6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82.19</w:t>
                  </w:r>
                </w:p>
              </w:tc>
              <w:tc>
                <w:tcPr>
                  <w:tcW w:w="549" w:type="pct"/>
                  <w:noWrap w:val="0"/>
                  <w:vAlign w:val="center"/>
                </w:tcPr>
                <w:p w14:paraId="0EE58F74">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0D1EF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79" w:type="pct"/>
                  <w:vMerge w:val="continue"/>
                  <w:noWrap w:val="0"/>
                  <w:vAlign w:val="center"/>
                </w:tcPr>
                <w:p w14:paraId="622B9A3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31" w:type="pct"/>
                  <w:noWrap w:val="0"/>
                  <w:vAlign w:val="center"/>
                </w:tcPr>
                <w:p w14:paraId="04617871">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型号：卧式离心泵</w:t>
                  </w:r>
                </w:p>
              </w:tc>
              <w:tc>
                <w:tcPr>
                  <w:tcW w:w="477" w:type="pct"/>
                  <w:noWrap w:val="0"/>
                  <w:vAlign w:val="top"/>
                </w:tcPr>
                <w:p w14:paraId="7CFA032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62" w:type="pct"/>
                  <w:noWrap w:val="0"/>
                  <w:vAlign w:val="center"/>
                </w:tcPr>
                <w:p w14:paraId="568066E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49" w:type="pct"/>
                  <w:noWrap w:val="0"/>
                  <w:vAlign w:val="center"/>
                </w:tcPr>
                <w:p w14:paraId="3ACE54C4">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4DEE0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79" w:type="pct"/>
                  <w:vMerge w:val="continue"/>
                  <w:noWrap w:val="0"/>
                  <w:vAlign w:val="bottom"/>
                </w:tcPr>
                <w:p w14:paraId="5B09B30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31" w:type="pct"/>
                  <w:noWrap w:val="0"/>
                  <w:vAlign w:val="center"/>
                </w:tcPr>
                <w:p w14:paraId="64DE5E78">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流量：800m³/h</w:t>
                  </w:r>
                </w:p>
              </w:tc>
              <w:tc>
                <w:tcPr>
                  <w:tcW w:w="477" w:type="pct"/>
                  <w:noWrap w:val="0"/>
                  <w:vAlign w:val="top"/>
                </w:tcPr>
                <w:p w14:paraId="29E5BF1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62" w:type="pct"/>
                  <w:noWrap w:val="0"/>
                  <w:vAlign w:val="center"/>
                </w:tcPr>
                <w:p w14:paraId="3714C8C4">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49" w:type="pct"/>
                  <w:noWrap w:val="0"/>
                  <w:vAlign w:val="center"/>
                </w:tcPr>
                <w:p w14:paraId="4A4876C7">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0B85D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79" w:type="pct"/>
                  <w:vMerge w:val="continue"/>
                  <w:noWrap w:val="0"/>
                  <w:vAlign w:val="bottom"/>
                </w:tcPr>
                <w:p w14:paraId="3F7CE73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31" w:type="pct"/>
                  <w:noWrap w:val="0"/>
                  <w:vAlign w:val="center"/>
                </w:tcPr>
                <w:p w14:paraId="13E610CD">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扬程：20m</w:t>
                  </w:r>
                </w:p>
              </w:tc>
              <w:tc>
                <w:tcPr>
                  <w:tcW w:w="477" w:type="pct"/>
                  <w:noWrap w:val="0"/>
                  <w:vAlign w:val="top"/>
                </w:tcPr>
                <w:p w14:paraId="45E4ACC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62" w:type="pct"/>
                  <w:noWrap w:val="0"/>
                  <w:vAlign w:val="center"/>
                </w:tcPr>
                <w:p w14:paraId="217122D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49" w:type="pct"/>
                  <w:noWrap w:val="0"/>
                  <w:vAlign w:val="center"/>
                </w:tcPr>
                <w:p w14:paraId="7941F67F">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6C11B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79" w:type="pct"/>
                  <w:vMerge w:val="continue"/>
                  <w:noWrap w:val="0"/>
                  <w:vAlign w:val="bottom"/>
                </w:tcPr>
                <w:p w14:paraId="6000F55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31" w:type="pct"/>
                  <w:noWrap w:val="0"/>
                  <w:vAlign w:val="center"/>
                </w:tcPr>
                <w:p w14:paraId="3C028792">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电机功率：75KW</w:t>
                  </w:r>
                </w:p>
              </w:tc>
              <w:tc>
                <w:tcPr>
                  <w:tcW w:w="477" w:type="pct"/>
                  <w:noWrap w:val="0"/>
                  <w:vAlign w:val="top"/>
                </w:tcPr>
                <w:p w14:paraId="699592C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62" w:type="pct"/>
                  <w:noWrap w:val="0"/>
                  <w:vAlign w:val="center"/>
                </w:tcPr>
                <w:p w14:paraId="008D357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49" w:type="pct"/>
                  <w:noWrap w:val="0"/>
                  <w:vAlign w:val="center"/>
                </w:tcPr>
                <w:p w14:paraId="754851BB">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5ACB5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9" w:hRule="atLeast"/>
                <w:jc w:val="center"/>
              </w:trPr>
              <w:tc>
                <w:tcPr>
                  <w:tcW w:w="779" w:type="pct"/>
                  <w:vMerge w:val="restart"/>
                  <w:noWrap w:val="0"/>
                  <w:vAlign w:val="center"/>
                </w:tcPr>
                <w:p w14:paraId="6183195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PU05</w:t>
                  </w:r>
                </w:p>
              </w:tc>
              <w:tc>
                <w:tcPr>
                  <w:tcW w:w="2231" w:type="pct"/>
                  <w:noWrap w:val="0"/>
                  <w:vAlign w:val="center"/>
                </w:tcPr>
                <w:p w14:paraId="50B82FB3">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喷淋循环泵</w:t>
                  </w:r>
                </w:p>
              </w:tc>
              <w:tc>
                <w:tcPr>
                  <w:tcW w:w="477" w:type="pct"/>
                  <w:noWrap w:val="0"/>
                  <w:vAlign w:val="top"/>
                </w:tcPr>
                <w:p w14:paraId="322956E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w:t>
                  </w:r>
                </w:p>
              </w:tc>
              <w:tc>
                <w:tcPr>
                  <w:tcW w:w="962" w:type="pct"/>
                  <w:noWrap w:val="0"/>
                  <w:vAlign w:val="center"/>
                </w:tcPr>
                <w:p w14:paraId="024F69C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82.19</w:t>
                  </w:r>
                </w:p>
              </w:tc>
              <w:tc>
                <w:tcPr>
                  <w:tcW w:w="549" w:type="pct"/>
                  <w:noWrap w:val="0"/>
                  <w:vAlign w:val="center"/>
                </w:tcPr>
                <w:p w14:paraId="35ED49B8">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47EF8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79" w:type="pct"/>
                  <w:vMerge w:val="continue"/>
                  <w:noWrap w:val="0"/>
                  <w:vAlign w:val="bottom"/>
                </w:tcPr>
                <w:p w14:paraId="6D95F07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31" w:type="pct"/>
                  <w:noWrap w:val="0"/>
                  <w:vAlign w:val="center"/>
                </w:tcPr>
                <w:p w14:paraId="22C7AB11">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型号：卧式离心泵</w:t>
                  </w:r>
                </w:p>
              </w:tc>
              <w:tc>
                <w:tcPr>
                  <w:tcW w:w="477" w:type="pct"/>
                  <w:noWrap w:val="0"/>
                  <w:vAlign w:val="top"/>
                </w:tcPr>
                <w:p w14:paraId="51FFEC9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62" w:type="pct"/>
                  <w:noWrap w:val="0"/>
                  <w:vAlign w:val="center"/>
                </w:tcPr>
                <w:p w14:paraId="23500D2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49" w:type="pct"/>
                  <w:noWrap w:val="0"/>
                  <w:vAlign w:val="center"/>
                </w:tcPr>
                <w:p w14:paraId="31BA97F2">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06F0F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9" w:hRule="atLeast"/>
                <w:jc w:val="center"/>
              </w:trPr>
              <w:tc>
                <w:tcPr>
                  <w:tcW w:w="779" w:type="pct"/>
                  <w:vMerge w:val="continue"/>
                  <w:noWrap w:val="0"/>
                  <w:vAlign w:val="bottom"/>
                </w:tcPr>
                <w:p w14:paraId="3B56F89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31" w:type="pct"/>
                  <w:noWrap w:val="0"/>
                  <w:vAlign w:val="center"/>
                </w:tcPr>
                <w:p w14:paraId="54C973FE">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流量：800m³/h</w:t>
                  </w:r>
                </w:p>
              </w:tc>
              <w:tc>
                <w:tcPr>
                  <w:tcW w:w="477" w:type="pct"/>
                  <w:noWrap w:val="0"/>
                  <w:vAlign w:val="top"/>
                </w:tcPr>
                <w:p w14:paraId="1A59306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62" w:type="pct"/>
                  <w:noWrap w:val="0"/>
                  <w:vAlign w:val="center"/>
                </w:tcPr>
                <w:p w14:paraId="1DC5ABD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49" w:type="pct"/>
                  <w:noWrap w:val="0"/>
                  <w:vAlign w:val="center"/>
                </w:tcPr>
                <w:p w14:paraId="452B4950">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6FBFF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9" w:hRule="atLeast"/>
                <w:jc w:val="center"/>
              </w:trPr>
              <w:tc>
                <w:tcPr>
                  <w:tcW w:w="779" w:type="pct"/>
                  <w:vMerge w:val="continue"/>
                  <w:noWrap w:val="0"/>
                  <w:vAlign w:val="bottom"/>
                </w:tcPr>
                <w:p w14:paraId="411C5FF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31" w:type="pct"/>
                  <w:noWrap w:val="0"/>
                  <w:vAlign w:val="center"/>
                </w:tcPr>
                <w:p w14:paraId="3F42C05B">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扬程：22m</w:t>
                  </w:r>
                </w:p>
              </w:tc>
              <w:tc>
                <w:tcPr>
                  <w:tcW w:w="477" w:type="pct"/>
                  <w:noWrap w:val="0"/>
                  <w:vAlign w:val="top"/>
                </w:tcPr>
                <w:p w14:paraId="477830A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62" w:type="pct"/>
                  <w:noWrap w:val="0"/>
                  <w:vAlign w:val="center"/>
                </w:tcPr>
                <w:p w14:paraId="6DCBD0F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49" w:type="pct"/>
                  <w:noWrap w:val="0"/>
                  <w:vAlign w:val="center"/>
                </w:tcPr>
                <w:p w14:paraId="7184E8C5">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7B9A8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9" w:hRule="atLeast"/>
                <w:jc w:val="center"/>
              </w:trPr>
              <w:tc>
                <w:tcPr>
                  <w:tcW w:w="779" w:type="pct"/>
                  <w:vMerge w:val="continue"/>
                  <w:noWrap w:val="0"/>
                  <w:vAlign w:val="bottom"/>
                </w:tcPr>
                <w:p w14:paraId="3DDF740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31" w:type="pct"/>
                  <w:noWrap w:val="0"/>
                  <w:vAlign w:val="center"/>
                </w:tcPr>
                <w:p w14:paraId="168AFC6F">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电机功率：75KW</w:t>
                  </w:r>
                </w:p>
              </w:tc>
              <w:tc>
                <w:tcPr>
                  <w:tcW w:w="477" w:type="pct"/>
                  <w:noWrap w:val="0"/>
                  <w:vAlign w:val="top"/>
                </w:tcPr>
                <w:p w14:paraId="1B9A429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62" w:type="pct"/>
                  <w:noWrap w:val="0"/>
                  <w:vAlign w:val="center"/>
                </w:tcPr>
                <w:p w14:paraId="62C38E5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49" w:type="pct"/>
                  <w:noWrap w:val="0"/>
                  <w:vAlign w:val="center"/>
                </w:tcPr>
                <w:p w14:paraId="6B6363EC">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1D95E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79" w:type="pct"/>
                  <w:vMerge w:val="restart"/>
                  <w:noWrap w:val="0"/>
                  <w:vAlign w:val="center"/>
                </w:tcPr>
                <w:p w14:paraId="1C33CB1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DE01</w:t>
                  </w:r>
                </w:p>
              </w:tc>
              <w:tc>
                <w:tcPr>
                  <w:tcW w:w="2231" w:type="pct"/>
                  <w:noWrap w:val="0"/>
                  <w:vAlign w:val="center"/>
                </w:tcPr>
                <w:p w14:paraId="12A88883">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高效平板除雾器</w:t>
                  </w:r>
                </w:p>
              </w:tc>
              <w:tc>
                <w:tcPr>
                  <w:tcW w:w="477" w:type="pct"/>
                  <w:noWrap w:val="0"/>
                  <w:vAlign w:val="top"/>
                </w:tcPr>
                <w:p w14:paraId="7D4992B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w:t>
                  </w:r>
                </w:p>
              </w:tc>
              <w:tc>
                <w:tcPr>
                  <w:tcW w:w="962" w:type="pct"/>
                  <w:noWrap w:val="0"/>
                  <w:vAlign w:val="center"/>
                </w:tcPr>
                <w:p w14:paraId="4420935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82.19</w:t>
                  </w:r>
                </w:p>
              </w:tc>
              <w:tc>
                <w:tcPr>
                  <w:tcW w:w="549" w:type="pct"/>
                  <w:noWrap w:val="0"/>
                  <w:vAlign w:val="center"/>
                </w:tcPr>
                <w:p w14:paraId="2C0B6221">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1A9F5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9" w:hRule="atLeast"/>
                <w:jc w:val="center"/>
              </w:trPr>
              <w:tc>
                <w:tcPr>
                  <w:tcW w:w="779" w:type="pct"/>
                  <w:vMerge w:val="continue"/>
                  <w:noWrap w:val="0"/>
                  <w:vAlign w:val="bottom"/>
                </w:tcPr>
                <w:p w14:paraId="2051246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31" w:type="pct"/>
                  <w:noWrap w:val="0"/>
                  <w:vAlign w:val="center"/>
                </w:tcPr>
                <w:p w14:paraId="27133917">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规格：Φ10m</w:t>
                  </w:r>
                </w:p>
              </w:tc>
              <w:tc>
                <w:tcPr>
                  <w:tcW w:w="477" w:type="pct"/>
                  <w:noWrap w:val="0"/>
                  <w:vAlign w:val="top"/>
                </w:tcPr>
                <w:p w14:paraId="15175DC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62" w:type="pct"/>
                  <w:noWrap w:val="0"/>
                  <w:vAlign w:val="center"/>
                </w:tcPr>
                <w:p w14:paraId="472895F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49" w:type="pct"/>
                  <w:noWrap w:val="0"/>
                  <w:vAlign w:val="center"/>
                </w:tcPr>
                <w:p w14:paraId="5935A2EE">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1735D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79" w:type="pct"/>
                  <w:vMerge w:val="continue"/>
                  <w:noWrap w:val="0"/>
                  <w:vAlign w:val="bottom"/>
                </w:tcPr>
                <w:p w14:paraId="404B090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31" w:type="pct"/>
                  <w:noWrap w:val="0"/>
                  <w:vAlign w:val="center"/>
                </w:tcPr>
                <w:p w14:paraId="7C8B4C96">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雾滴浓度：＜75mg/m³</w:t>
                  </w:r>
                </w:p>
              </w:tc>
              <w:tc>
                <w:tcPr>
                  <w:tcW w:w="477" w:type="pct"/>
                  <w:noWrap w:val="0"/>
                  <w:vAlign w:val="top"/>
                </w:tcPr>
                <w:p w14:paraId="64DE9D7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62" w:type="pct"/>
                  <w:noWrap w:val="0"/>
                  <w:vAlign w:val="center"/>
                </w:tcPr>
                <w:p w14:paraId="1A0AB69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49" w:type="pct"/>
                  <w:noWrap w:val="0"/>
                  <w:vAlign w:val="center"/>
                </w:tcPr>
                <w:p w14:paraId="6C8B9016">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59946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79" w:type="pct"/>
                  <w:vMerge w:val="restart"/>
                  <w:noWrap w:val="0"/>
                  <w:vAlign w:val="center"/>
                </w:tcPr>
                <w:p w14:paraId="22A9C4E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FA03-FA04</w:t>
                  </w:r>
                </w:p>
              </w:tc>
              <w:tc>
                <w:tcPr>
                  <w:tcW w:w="2231" w:type="pct"/>
                  <w:noWrap w:val="0"/>
                  <w:vAlign w:val="center"/>
                </w:tcPr>
                <w:p w14:paraId="4BE59049">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氧化风机</w:t>
                  </w:r>
                </w:p>
              </w:tc>
              <w:tc>
                <w:tcPr>
                  <w:tcW w:w="477" w:type="pct"/>
                  <w:noWrap w:val="0"/>
                  <w:vAlign w:val="top"/>
                </w:tcPr>
                <w:p w14:paraId="10AA795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w:t>
                  </w:r>
                </w:p>
              </w:tc>
              <w:tc>
                <w:tcPr>
                  <w:tcW w:w="962" w:type="pct"/>
                  <w:noWrap w:val="0"/>
                  <w:vAlign w:val="center"/>
                </w:tcPr>
                <w:p w14:paraId="75F850D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82.19</w:t>
                  </w:r>
                </w:p>
              </w:tc>
              <w:tc>
                <w:tcPr>
                  <w:tcW w:w="549" w:type="pct"/>
                  <w:noWrap w:val="0"/>
                  <w:vAlign w:val="center"/>
                </w:tcPr>
                <w:p w14:paraId="5E3CDB15">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207FF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79" w:type="pct"/>
                  <w:vMerge w:val="continue"/>
                  <w:noWrap w:val="0"/>
                  <w:vAlign w:val="bottom"/>
                </w:tcPr>
                <w:p w14:paraId="2C514C3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31" w:type="pct"/>
                  <w:noWrap w:val="0"/>
                  <w:vAlign w:val="center"/>
                </w:tcPr>
                <w:p w14:paraId="54F437A4">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型号：罗茨风机</w:t>
                  </w:r>
                </w:p>
              </w:tc>
              <w:tc>
                <w:tcPr>
                  <w:tcW w:w="477" w:type="pct"/>
                  <w:noWrap w:val="0"/>
                  <w:vAlign w:val="top"/>
                </w:tcPr>
                <w:p w14:paraId="6EA89E5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62" w:type="pct"/>
                  <w:noWrap w:val="0"/>
                  <w:vAlign w:val="center"/>
                </w:tcPr>
                <w:p w14:paraId="67F6DBD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49" w:type="pct"/>
                  <w:noWrap w:val="0"/>
                  <w:vAlign w:val="center"/>
                </w:tcPr>
                <w:p w14:paraId="2EAF8DD3">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284A9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79" w:type="pct"/>
                  <w:vMerge w:val="continue"/>
                  <w:noWrap w:val="0"/>
                  <w:vAlign w:val="bottom"/>
                </w:tcPr>
                <w:p w14:paraId="56E9874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31" w:type="pct"/>
                  <w:noWrap w:val="0"/>
                  <w:vAlign w:val="center"/>
                </w:tcPr>
                <w:p w14:paraId="5E3BF4D2">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流量：21.87m³/min</w:t>
                  </w:r>
                </w:p>
              </w:tc>
              <w:tc>
                <w:tcPr>
                  <w:tcW w:w="477" w:type="pct"/>
                  <w:noWrap w:val="0"/>
                  <w:vAlign w:val="top"/>
                </w:tcPr>
                <w:p w14:paraId="4C56BB3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62" w:type="pct"/>
                  <w:noWrap w:val="0"/>
                  <w:vAlign w:val="center"/>
                </w:tcPr>
                <w:p w14:paraId="07251E2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49" w:type="pct"/>
                  <w:noWrap w:val="0"/>
                  <w:vAlign w:val="center"/>
                </w:tcPr>
                <w:p w14:paraId="4490D652">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226B8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9" w:hRule="atLeast"/>
                <w:jc w:val="center"/>
              </w:trPr>
              <w:tc>
                <w:tcPr>
                  <w:tcW w:w="779" w:type="pct"/>
                  <w:vMerge w:val="continue"/>
                  <w:noWrap w:val="0"/>
                  <w:vAlign w:val="bottom"/>
                </w:tcPr>
                <w:p w14:paraId="5F7FF6C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31" w:type="pct"/>
                  <w:noWrap w:val="0"/>
                  <w:vAlign w:val="center"/>
                </w:tcPr>
                <w:p w14:paraId="26B7E1A9">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全压：73.5kpa</w:t>
                  </w:r>
                </w:p>
              </w:tc>
              <w:tc>
                <w:tcPr>
                  <w:tcW w:w="477" w:type="pct"/>
                  <w:noWrap w:val="0"/>
                  <w:vAlign w:val="top"/>
                </w:tcPr>
                <w:p w14:paraId="2FD5341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62" w:type="pct"/>
                  <w:noWrap w:val="0"/>
                  <w:vAlign w:val="center"/>
                </w:tcPr>
                <w:p w14:paraId="08F3BCF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49" w:type="pct"/>
                  <w:noWrap w:val="0"/>
                  <w:vAlign w:val="center"/>
                </w:tcPr>
                <w:p w14:paraId="6B621452">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0BD83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9" w:hRule="atLeast"/>
                <w:jc w:val="center"/>
              </w:trPr>
              <w:tc>
                <w:tcPr>
                  <w:tcW w:w="779" w:type="pct"/>
                  <w:vMerge w:val="continue"/>
                  <w:noWrap w:val="0"/>
                  <w:vAlign w:val="bottom"/>
                </w:tcPr>
                <w:p w14:paraId="7AEE204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31" w:type="pct"/>
                  <w:noWrap w:val="0"/>
                  <w:vAlign w:val="center"/>
                </w:tcPr>
                <w:p w14:paraId="5C75E231">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电机电压：380V</w:t>
                  </w:r>
                </w:p>
              </w:tc>
              <w:tc>
                <w:tcPr>
                  <w:tcW w:w="477" w:type="pct"/>
                  <w:noWrap w:val="0"/>
                  <w:vAlign w:val="top"/>
                </w:tcPr>
                <w:p w14:paraId="0E1BA0F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62" w:type="pct"/>
                  <w:noWrap w:val="0"/>
                  <w:vAlign w:val="center"/>
                </w:tcPr>
                <w:p w14:paraId="6140DF54">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49" w:type="pct"/>
                  <w:noWrap w:val="0"/>
                  <w:vAlign w:val="center"/>
                </w:tcPr>
                <w:p w14:paraId="6FB19DFC">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1D620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79" w:type="pct"/>
                  <w:vMerge w:val="continue"/>
                  <w:noWrap w:val="0"/>
                  <w:vAlign w:val="bottom"/>
                </w:tcPr>
                <w:p w14:paraId="1E67808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31" w:type="pct"/>
                  <w:noWrap w:val="0"/>
                  <w:vAlign w:val="center"/>
                </w:tcPr>
                <w:p w14:paraId="09DB0728">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电机功率：30</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kW</w:t>
                  </w:r>
                </w:p>
              </w:tc>
              <w:tc>
                <w:tcPr>
                  <w:tcW w:w="477" w:type="pct"/>
                  <w:noWrap w:val="0"/>
                  <w:vAlign w:val="top"/>
                </w:tcPr>
                <w:p w14:paraId="774DBA2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62" w:type="pct"/>
                  <w:noWrap w:val="0"/>
                  <w:vAlign w:val="center"/>
                </w:tcPr>
                <w:p w14:paraId="43FED6E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49" w:type="pct"/>
                  <w:noWrap w:val="0"/>
                  <w:vAlign w:val="center"/>
                </w:tcPr>
                <w:p w14:paraId="7A64EE53">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6296E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79" w:type="pct"/>
                  <w:vMerge w:val="restart"/>
                  <w:noWrap w:val="0"/>
                  <w:vAlign w:val="center"/>
                </w:tcPr>
                <w:p w14:paraId="6CCD1C7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PU06-PU07</w:t>
                  </w:r>
                </w:p>
              </w:tc>
              <w:tc>
                <w:tcPr>
                  <w:tcW w:w="2231" w:type="pct"/>
                  <w:noWrap w:val="0"/>
                  <w:vAlign w:val="center"/>
                </w:tcPr>
                <w:p w14:paraId="1AF98833">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事故浆液泵</w:t>
                  </w:r>
                </w:p>
              </w:tc>
              <w:tc>
                <w:tcPr>
                  <w:tcW w:w="477" w:type="pct"/>
                  <w:noWrap w:val="0"/>
                  <w:vAlign w:val="top"/>
                </w:tcPr>
                <w:p w14:paraId="76A39E2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w:t>
                  </w:r>
                </w:p>
              </w:tc>
              <w:tc>
                <w:tcPr>
                  <w:tcW w:w="962" w:type="pct"/>
                  <w:noWrap w:val="0"/>
                  <w:vAlign w:val="center"/>
                </w:tcPr>
                <w:p w14:paraId="38A6661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82.19</w:t>
                  </w:r>
                </w:p>
              </w:tc>
              <w:tc>
                <w:tcPr>
                  <w:tcW w:w="549" w:type="pct"/>
                  <w:noWrap w:val="0"/>
                  <w:vAlign w:val="center"/>
                </w:tcPr>
                <w:p w14:paraId="39BEA10C">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621CA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79" w:type="pct"/>
                  <w:vMerge w:val="continue"/>
                  <w:noWrap w:val="0"/>
                  <w:vAlign w:val="center"/>
                </w:tcPr>
                <w:p w14:paraId="4B97197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31" w:type="pct"/>
                  <w:noWrap w:val="0"/>
                  <w:vAlign w:val="center"/>
                </w:tcPr>
                <w:p w14:paraId="0BF2AC96">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型号：</w:t>
                  </w:r>
                </w:p>
              </w:tc>
              <w:tc>
                <w:tcPr>
                  <w:tcW w:w="477" w:type="pct"/>
                  <w:noWrap w:val="0"/>
                  <w:vAlign w:val="top"/>
                </w:tcPr>
                <w:p w14:paraId="6702A27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62" w:type="pct"/>
                  <w:noWrap w:val="0"/>
                  <w:vAlign w:val="center"/>
                </w:tcPr>
                <w:p w14:paraId="4EE4112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49" w:type="pct"/>
                  <w:noWrap w:val="0"/>
                  <w:vAlign w:val="center"/>
                </w:tcPr>
                <w:p w14:paraId="12CA8407">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7B233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79" w:type="pct"/>
                  <w:vMerge w:val="continue"/>
                  <w:noWrap w:val="0"/>
                  <w:vAlign w:val="center"/>
                </w:tcPr>
                <w:p w14:paraId="1DE36AA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31" w:type="pct"/>
                  <w:noWrap w:val="0"/>
                  <w:vAlign w:val="center"/>
                </w:tcPr>
                <w:p w14:paraId="5704394F">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流量：25m³/h</w:t>
                  </w:r>
                </w:p>
              </w:tc>
              <w:tc>
                <w:tcPr>
                  <w:tcW w:w="477" w:type="pct"/>
                  <w:noWrap w:val="0"/>
                  <w:vAlign w:val="top"/>
                </w:tcPr>
                <w:p w14:paraId="7A6E594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62" w:type="pct"/>
                  <w:noWrap w:val="0"/>
                  <w:vAlign w:val="center"/>
                </w:tcPr>
                <w:p w14:paraId="1656D1A4">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49" w:type="pct"/>
                  <w:noWrap w:val="0"/>
                  <w:vAlign w:val="center"/>
                </w:tcPr>
                <w:p w14:paraId="103FD2AB">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68DEF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79" w:type="pct"/>
                  <w:vMerge w:val="continue"/>
                  <w:noWrap w:val="0"/>
                  <w:vAlign w:val="center"/>
                </w:tcPr>
                <w:p w14:paraId="680703E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31" w:type="pct"/>
                  <w:noWrap w:val="0"/>
                  <w:vAlign w:val="center"/>
                </w:tcPr>
                <w:p w14:paraId="0E28AAEB">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扬程：20m</w:t>
                  </w:r>
                </w:p>
              </w:tc>
              <w:tc>
                <w:tcPr>
                  <w:tcW w:w="477" w:type="pct"/>
                  <w:noWrap w:val="0"/>
                  <w:vAlign w:val="top"/>
                </w:tcPr>
                <w:p w14:paraId="2C4B714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62" w:type="pct"/>
                  <w:noWrap w:val="0"/>
                  <w:vAlign w:val="center"/>
                </w:tcPr>
                <w:p w14:paraId="64EF5214">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49" w:type="pct"/>
                  <w:noWrap w:val="0"/>
                  <w:vAlign w:val="center"/>
                </w:tcPr>
                <w:p w14:paraId="7EA8C347">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0A669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79" w:type="pct"/>
                  <w:vMerge w:val="continue"/>
                  <w:noWrap w:val="0"/>
                  <w:vAlign w:val="center"/>
                </w:tcPr>
                <w:p w14:paraId="1E0358F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31" w:type="pct"/>
                  <w:noWrap w:val="0"/>
                  <w:vAlign w:val="center"/>
                </w:tcPr>
                <w:p w14:paraId="36EC6CC1">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电机功率：10</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kW</w:t>
                  </w:r>
                </w:p>
              </w:tc>
              <w:tc>
                <w:tcPr>
                  <w:tcW w:w="477" w:type="pct"/>
                  <w:noWrap w:val="0"/>
                  <w:vAlign w:val="top"/>
                </w:tcPr>
                <w:p w14:paraId="4CBCEBE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62" w:type="pct"/>
                  <w:noWrap w:val="0"/>
                  <w:vAlign w:val="center"/>
                </w:tcPr>
                <w:p w14:paraId="751A319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49" w:type="pct"/>
                  <w:noWrap w:val="0"/>
                  <w:vAlign w:val="center"/>
                </w:tcPr>
                <w:p w14:paraId="4699D36D">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48CA7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79" w:type="pct"/>
                  <w:vMerge w:val="restart"/>
                  <w:noWrap w:val="0"/>
                  <w:vAlign w:val="center"/>
                </w:tcPr>
                <w:p w14:paraId="78D6170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PU08</w:t>
                  </w:r>
                </w:p>
              </w:tc>
              <w:tc>
                <w:tcPr>
                  <w:tcW w:w="2231" w:type="pct"/>
                  <w:noWrap w:val="0"/>
                  <w:vAlign w:val="center"/>
                </w:tcPr>
                <w:p w14:paraId="0B31B133">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吸收区地坑泵</w:t>
                  </w:r>
                </w:p>
              </w:tc>
              <w:tc>
                <w:tcPr>
                  <w:tcW w:w="477" w:type="pct"/>
                  <w:noWrap w:val="0"/>
                  <w:vAlign w:val="top"/>
                </w:tcPr>
                <w:p w14:paraId="16AFBE4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w:t>
                  </w:r>
                </w:p>
              </w:tc>
              <w:tc>
                <w:tcPr>
                  <w:tcW w:w="962" w:type="pct"/>
                  <w:noWrap w:val="0"/>
                  <w:vAlign w:val="center"/>
                </w:tcPr>
                <w:p w14:paraId="276D175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82.19</w:t>
                  </w:r>
                </w:p>
              </w:tc>
              <w:tc>
                <w:tcPr>
                  <w:tcW w:w="549" w:type="pct"/>
                  <w:noWrap w:val="0"/>
                  <w:vAlign w:val="center"/>
                </w:tcPr>
                <w:p w14:paraId="4BC9C7E9">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6B20F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79" w:type="pct"/>
                  <w:vMerge w:val="continue"/>
                  <w:noWrap w:val="0"/>
                  <w:vAlign w:val="center"/>
                </w:tcPr>
                <w:p w14:paraId="030E814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31" w:type="pct"/>
                  <w:noWrap w:val="0"/>
                  <w:vAlign w:val="center"/>
                </w:tcPr>
                <w:p w14:paraId="4E4724E1">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型号：</w:t>
                  </w:r>
                </w:p>
              </w:tc>
              <w:tc>
                <w:tcPr>
                  <w:tcW w:w="477" w:type="pct"/>
                  <w:noWrap w:val="0"/>
                  <w:vAlign w:val="top"/>
                </w:tcPr>
                <w:p w14:paraId="42CAB44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62" w:type="pct"/>
                  <w:noWrap w:val="0"/>
                  <w:vAlign w:val="center"/>
                </w:tcPr>
                <w:p w14:paraId="26018F5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49" w:type="pct"/>
                  <w:noWrap w:val="0"/>
                  <w:vAlign w:val="center"/>
                </w:tcPr>
                <w:p w14:paraId="1E7C3C72">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2DEF6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79" w:type="pct"/>
                  <w:vMerge w:val="continue"/>
                  <w:noWrap w:val="0"/>
                  <w:vAlign w:val="center"/>
                </w:tcPr>
                <w:p w14:paraId="64A13BC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31" w:type="pct"/>
                  <w:noWrap w:val="0"/>
                  <w:vAlign w:val="center"/>
                </w:tcPr>
                <w:p w14:paraId="4DD77138">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流量：20m³/h</w:t>
                  </w:r>
                </w:p>
              </w:tc>
              <w:tc>
                <w:tcPr>
                  <w:tcW w:w="477" w:type="pct"/>
                  <w:noWrap w:val="0"/>
                  <w:vAlign w:val="top"/>
                </w:tcPr>
                <w:p w14:paraId="0A498834">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62" w:type="pct"/>
                  <w:noWrap w:val="0"/>
                  <w:vAlign w:val="center"/>
                </w:tcPr>
                <w:p w14:paraId="001C60F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49" w:type="pct"/>
                  <w:noWrap w:val="0"/>
                  <w:vAlign w:val="center"/>
                </w:tcPr>
                <w:p w14:paraId="38518870">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26110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79" w:type="pct"/>
                  <w:vMerge w:val="continue"/>
                  <w:noWrap w:val="0"/>
                  <w:vAlign w:val="bottom"/>
                </w:tcPr>
                <w:p w14:paraId="2B91742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31" w:type="pct"/>
                  <w:noWrap w:val="0"/>
                  <w:vAlign w:val="center"/>
                </w:tcPr>
                <w:p w14:paraId="6FD5AB32">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扬程：20m</w:t>
                  </w:r>
                </w:p>
              </w:tc>
              <w:tc>
                <w:tcPr>
                  <w:tcW w:w="477" w:type="pct"/>
                  <w:noWrap w:val="0"/>
                  <w:vAlign w:val="top"/>
                </w:tcPr>
                <w:p w14:paraId="26D9707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62" w:type="pct"/>
                  <w:noWrap w:val="0"/>
                  <w:vAlign w:val="center"/>
                </w:tcPr>
                <w:p w14:paraId="3D4B20E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49" w:type="pct"/>
                  <w:noWrap w:val="0"/>
                  <w:vAlign w:val="center"/>
                </w:tcPr>
                <w:p w14:paraId="69093EC2">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393F9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79" w:type="pct"/>
                  <w:vMerge w:val="continue"/>
                  <w:noWrap w:val="0"/>
                  <w:vAlign w:val="bottom"/>
                </w:tcPr>
                <w:p w14:paraId="33AB2BE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31" w:type="pct"/>
                  <w:noWrap w:val="0"/>
                  <w:vAlign w:val="center"/>
                </w:tcPr>
                <w:p w14:paraId="13A5F7DC">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电机功率</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7.5</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kW</w:t>
                  </w:r>
                </w:p>
              </w:tc>
              <w:tc>
                <w:tcPr>
                  <w:tcW w:w="477" w:type="pct"/>
                  <w:noWrap w:val="0"/>
                  <w:vAlign w:val="top"/>
                </w:tcPr>
                <w:p w14:paraId="64DA6AB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62" w:type="pct"/>
                  <w:noWrap w:val="0"/>
                  <w:vAlign w:val="center"/>
                </w:tcPr>
                <w:p w14:paraId="327B3F5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49" w:type="pct"/>
                  <w:noWrap w:val="0"/>
                  <w:vAlign w:val="center"/>
                </w:tcPr>
                <w:p w14:paraId="506753E6">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640D9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79" w:type="pct"/>
                  <w:vMerge w:val="restart"/>
                  <w:noWrap w:val="0"/>
                  <w:vAlign w:val="center"/>
                </w:tcPr>
                <w:p w14:paraId="0AA8B13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PU13-PU14</w:t>
                  </w:r>
                </w:p>
                <w:p w14:paraId="092BDBC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31" w:type="pct"/>
                  <w:noWrap w:val="0"/>
                  <w:vAlign w:val="center"/>
                </w:tcPr>
                <w:p w14:paraId="1D8356B3">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工艺水泵</w:t>
                  </w:r>
                </w:p>
              </w:tc>
              <w:tc>
                <w:tcPr>
                  <w:tcW w:w="477" w:type="pct"/>
                  <w:noWrap w:val="0"/>
                  <w:vAlign w:val="top"/>
                </w:tcPr>
                <w:p w14:paraId="7052423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w:t>
                  </w:r>
                </w:p>
              </w:tc>
              <w:tc>
                <w:tcPr>
                  <w:tcW w:w="962" w:type="pct"/>
                  <w:noWrap w:val="0"/>
                  <w:vAlign w:val="center"/>
                </w:tcPr>
                <w:p w14:paraId="342F41C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82.19</w:t>
                  </w:r>
                </w:p>
              </w:tc>
              <w:tc>
                <w:tcPr>
                  <w:tcW w:w="549" w:type="pct"/>
                  <w:noWrap w:val="0"/>
                  <w:vAlign w:val="center"/>
                </w:tcPr>
                <w:p w14:paraId="3718678B">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6729A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79" w:type="pct"/>
                  <w:vMerge w:val="continue"/>
                  <w:noWrap w:val="0"/>
                  <w:vAlign w:val="center"/>
                </w:tcPr>
                <w:p w14:paraId="731F4E5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31" w:type="pct"/>
                  <w:noWrap w:val="0"/>
                  <w:vAlign w:val="center"/>
                </w:tcPr>
                <w:p w14:paraId="4291EF90">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型号：</w:t>
                  </w:r>
                </w:p>
              </w:tc>
              <w:tc>
                <w:tcPr>
                  <w:tcW w:w="477" w:type="pct"/>
                  <w:noWrap w:val="0"/>
                  <w:vAlign w:val="top"/>
                </w:tcPr>
                <w:p w14:paraId="1E50F46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62" w:type="pct"/>
                  <w:noWrap w:val="0"/>
                  <w:vAlign w:val="center"/>
                </w:tcPr>
                <w:p w14:paraId="2F93C2E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49" w:type="pct"/>
                  <w:noWrap w:val="0"/>
                  <w:vAlign w:val="center"/>
                </w:tcPr>
                <w:p w14:paraId="4B36E5F9">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4D350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9" w:hRule="atLeast"/>
                <w:jc w:val="center"/>
              </w:trPr>
              <w:tc>
                <w:tcPr>
                  <w:tcW w:w="779" w:type="pct"/>
                  <w:vMerge w:val="continue"/>
                  <w:noWrap w:val="0"/>
                  <w:vAlign w:val="center"/>
                </w:tcPr>
                <w:p w14:paraId="06FF225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31" w:type="pct"/>
                  <w:noWrap w:val="0"/>
                  <w:vAlign w:val="center"/>
                </w:tcPr>
                <w:p w14:paraId="0C6A3438">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流量：20m³/h</w:t>
                  </w:r>
                </w:p>
              </w:tc>
              <w:tc>
                <w:tcPr>
                  <w:tcW w:w="477" w:type="pct"/>
                  <w:noWrap w:val="0"/>
                  <w:vAlign w:val="top"/>
                </w:tcPr>
                <w:p w14:paraId="2710D29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62" w:type="pct"/>
                  <w:noWrap w:val="0"/>
                  <w:vAlign w:val="center"/>
                </w:tcPr>
                <w:p w14:paraId="2AD5E9A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49" w:type="pct"/>
                  <w:noWrap w:val="0"/>
                  <w:vAlign w:val="center"/>
                </w:tcPr>
                <w:p w14:paraId="6ECA70D3">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07522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79" w:type="pct"/>
                  <w:vMerge w:val="continue"/>
                  <w:noWrap w:val="0"/>
                  <w:vAlign w:val="center"/>
                </w:tcPr>
                <w:p w14:paraId="622ED19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31" w:type="pct"/>
                  <w:noWrap w:val="0"/>
                  <w:vAlign w:val="center"/>
                </w:tcPr>
                <w:p w14:paraId="2F2CF7BF">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扬程：20m</w:t>
                  </w:r>
                </w:p>
              </w:tc>
              <w:tc>
                <w:tcPr>
                  <w:tcW w:w="477" w:type="pct"/>
                  <w:noWrap w:val="0"/>
                  <w:vAlign w:val="top"/>
                </w:tcPr>
                <w:p w14:paraId="78EAC50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62" w:type="pct"/>
                  <w:noWrap w:val="0"/>
                  <w:vAlign w:val="center"/>
                </w:tcPr>
                <w:p w14:paraId="60583ED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49" w:type="pct"/>
                  <w:noWrap w:val="0"/>
                  <w:vAlign w:val="center"/>
                </w:tcPr>
                <w:p w14:paraId="6CDE042D">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6FACF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79" w:type="pct"/>
                  <w:vMerge w:val="continue"/>
                  <w:noWrap w:val="0"/>
                  <w:vAlign w:val="center"/>
                </w:tcPr>
                <w:p w14:paraId="736A357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31" w:type="pct"/>
                  <w:noWrap w:val="0"/>
                  <w:vAlign w:val="center"/>
                </w:tcPr>
                <w:p w14:paraId="77DD83ED">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电机功率：2.2</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kW</w:t>
                  </w:r>
                </w:p>
              </w:tc>
              <w:tc>
                <w:tcPr>
                  <w:tcW w:w="477" w:type="pct"/>
                  <w:noWrap w:val="0"/>
                  <w:vAlign w:val="top"/>
                </w:tcPr>
                <w:p w14:paraId="7BBFB07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62" w:type="pct"/>
                  <w:noWrap w:val="0"/>
                  <w:vAlign w:val="center"/>
                </w:tcPr>
                <w:p w14:paraId="1C6C8A4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49" w:type="pct"/>
                  <w:noWrap w:val="0"/>
                  <w:vAlign w:val="center"/>
                </w:tcPr>
                <w:p w14:paraId="54356FC5">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1D83E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79" w:type="pct"/>
                  <w:vMerge w:val="restart"/>
                  <w:noWrap w:val="0"/>
                  <w:vAlign w:val="center"/>
                </w:tcPr>
                <w:p w14:paraId="1583464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PU15-PU16</w:t>
                  </w:r>
                </w:p>
              </w:tc>
              <w:tc>
                <w:tcPr>
                  <w:tcW w:w="2231" w:type="pct"/>
                  <w:noWrap w:val="0"/>
                  <w:vAlign w:val="center"/>
                </w:tcPr>
                <w:p w14:paraId="65F392F8">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除雾器冲洗水泵</w:t>
                  </w:r>
                </w:p>
              </w:tc>
              <w:tc>
                <w:tcPr>
                  <w:tcW w:w="477" w:type="pct"/>
                  <w:noWrap w:val="0"/>
                  <w:vAlign w:val="top"/>
                </w:tcPr>
                <w:p w14:paraId="0A45BF0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w:t>
                  </w:r>
                </w:p>
              </w:tc>
              <w:tc>
                <w:tcPr>
                  <w:tcW w:w="962" w:type="pct"/>
                  <w:noWrap w:val="0"/>
                  <w:vAlign w:val="center"/>
                </w:tcPr>
                <w:p w14:paraId="646FD9E4">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82.19</w:t>
                  </w:r>
                </w:p>
              </w:tc>
              <w:tc>
                <w:tcPr>
                  <w:tcW w:w="549" w:type="pct"/>
                  <w:noWrap w:val="0"/>
                  <w:vAlign w:val="center"/>
                </w:tcPr>
                <w:p w14:paraId="7D4D1065">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2D3A1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79" w:type="pct"/>
                  <w:vMerge w:val="continue"/>
                  <w:noWrap w:val="0"/>
                  <w:vAlign w:val="bottom"/>
                </w:tcPr>
                <w:p w14:paraId="25309C9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31" w:type="pct"/>
                  <w:noWrap w:val="0"/>
                  <w:vAlign w:val="center"/>
                </w:tcPr>
                <w:p w14:paraId="6BE087A0">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型号：</w:t>
                  </w:r>
                </w:p>
              </w:tc>
              <w:tc>
                <w:tcPr>
                  <w:tcW w:w="477" w:type="pct"/>
                  <w:noWrap w:val="0"/>
                  <w:vAlign w:val="top"/>
                </w:tcPr>
                <w:p w14:paraId="736DA4D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62" w:type="pct"/>
                  <w:noWrap w:val="0"/>
                  <w:vAlign w:val="center"/>
                </w:tcPr>
                <w:p w14:paraId="5D37471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49" w:type="pct"/>
                  <w:noWrap w:val="0"/>
                  <w:vAlign w:val="center"/>
                </w:tcPr>
                <w:p w14:paraId="2417080E">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2A179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79" w:type="pct"/>
                  <w:vMerge w:val="continue"/>
                  <w:noWrap w:val="0"/>
                  <w:vAlign w:val="bottom"/>
                </w:tcPr>
                <w:p w14:paraId="41AB469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31" w:type="pct"/>
                  <w:noWrap w:val="0"/>
                  <w:vAlign w:val="center"/>
                </w:tcPr>
                <w:p w14:paraId="26023C7E">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流量：30m³/h</w:t>
                  </w:r>
                </w:p>
              </w:tc>
              <w:tc>
                <w:tcPr>
                  <w:tcW w:w="477" w:type="pct"/>
                  <w:noWrap w:val="0"/>
                  <w:vAlign w:val="top"/>
                </w:tcPr>
                <w:p w14:paraId="7A49EEA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62" w:type="pct"/>
                  <w:noWrap w:val="0"/>
                  <w:vAlign w:val="center"/>
                </w:tcPr>
                <w:p w14:paraId="0CB066F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49" w:type="pct"/>
                  <w:noWrap w:val="0"/>
                  <w:vAlign w:val="center"/>
                </w:tcPr>
                <w:p w14:paraId="59A36987">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411CB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79" w:type="pct"/>
                  <w:vMerge w:val="continue"/>
                  <w:noWrap w:val="0"/>
                  <w:vAlign w:val="bottom"/>
                </w:tcPr>
                <w:p w14:paraId="6EF2BBF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31" w:type="pct"/>
                  <w:noWrap w:val="0"/>
                  <w:vAlign w:val="center"/>
                </w:tcPr>
                <w:p w14:paraId="02BED1C6">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扬程：60m</w:t>
                  </w:r>
                </w:p>
              </w:tc>
              <w:tc>
                <w:tcPr>
                  <w:tcW w:w="477" w:type="pct"/>
                  <w:noWrap w:val="0"/>
                  <w:vAlign w:val="top"/>
                </w:tcPr>
                <w:p w14:paraId="1EBEB7F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62" w:type="pct"/>
                  <w:noWrap w:val="0"/>
                  <w:vAlign w:val="center"/>
                </w:tcPr>
                <w:p w14:paraId="5292005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49" w:type="pct"/>
                  <w:noWrap w:val="0"/>
                  <w:vAlign w:val="center"/>
                </w:tcPr>
                <w:p w14:paraId="4C97CF86">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01AE3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79" w:type="pct"/>
                  <w:vMerge w:val="continue"/>
                  <w:noWrap w:val="0"/>
                  <w:vAlign w:val="bottom"/>
                </w:tcPr>
                <w:p w14:paraId="27DA33B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31" w:type="pct"/>
                  <w:noWrap w:val="0"/>
                  <w:vAlign w:val="center"/>
                </w:tcPr>
                <w:p w14:paraId="3FFED9AA">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电机功率：15</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kW</w:t>
                  </w:r>
                </w:p>
              </w:tc>
              <w:tc>
                <w:tcPr>
                  <w:tcW w:w="477" w:type="pct"/>
                  <w:noWrap w:val="0"/>
                  <w:vAlign w:val="top"/>
                </w:tcPr>
                <w:p w14:paraId="6A21285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62" w:type="pct"/>
                  <w:noWrap w:val="0"/>
                  <w:vAlign w:val="center"/>
                </w:tcPr>
                <w:p w14:paraId="475AE48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49" w:type="pct"/>
                  <w:noWrap w:val="0"/>
                  <w:vAlign w:val="center"/>
                </w:tcPr>
                <w:p w14:paraId="2FAC4FBE">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53DE2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79" w:type="pct"/>
                  <w:vMerge w:val="restart"/>
                  <w:noWrap w:val="0"/>
                  <w:vAlign w:val="center"/>
                </w:tcPr>
                <w:p w14:paraId="61558F1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PU17-PU18</w:t>
                  </w:r>
                </w:p>
              </w:tc>
              <w:tc>
                <w:tcPr>
                  <w:tcW w:w="2231" w:type="pct"/>
                  <w:noWrap w:val="0"/>
                  <w:vAlign w:val="center"/>
                </w:tcPr>
                <w:p w14:paraId="1344423C">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石膏泵</w:t>
                  </w:r>
                </w:p>
              </w:tc>
              <w:tc>
                <w:tcPr>
                  <w:tcW w:w="477" w:type="pct"/>
                  <w:noWrap w:val="0"/>
                  <w:vAlign w:val="top"/>
                </w:tcPr>
                <w:p w14:paraId="3F91D12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w:t>
                  </w:r>
                </w:p>
              </w:tc>
              <w:tc>
                <w:tcPr>
                  <w:tcW w:w="962" w:type="pct"/>
                  <w:noWrap w:val="0"/>
                  <w:vAlign w:val="center"/>
                </w:tcPr>
                <w:p w14:paraId="38FBC4B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82.19</w:t>
                  </w:r>
                </w:p>
              </w:tc>
              <w:tc>
                <w:tcPr>
                  <w:tcW w:w="549" w:type="pct"/>
                  <w:noWrap w:val="0"/>
                  <w:vAlign w:val="center"/>
                </w:tcPr>
                <w:p w14:paraId="659FA53D">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71A5E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79" w:type="pct"/>
                  <w:vMerge w:val="continue"/>
                  <w:noWrap w:val="0"/>
                  <w:vAlign w:val="bottom"/>
                </w:tcPr>
                <w:p w14:paraId="1EF325B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31" w:type="pct"/>
                  <w:noWrap w:val="0"/>
                  <w:vAlign w:val="center"/>
                </w:tcPr>
                <w:p w14:paraId="60E0C357">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型号：</w:t>
                  </w:r>
                </w:p>
              </w:tc>
              <w:tc>
                <w:tcPr>
                  <w:tcW w:w="477" w:type="pct"/>
                  <w:noWrap w:val="0"/>
                  <w:vAlign w:val="top"/>
                </w:tcPr>
                <w:p w14:paraId="44A38C2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62" w:type="pct"/>
                  <w:noWrap w:val="0"/>
                  <w:vAlign w:val="center"/>
                </w:tcPr>
                <w:p w14:paraId="03FBA1A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49" w:type="pct"/>
                  <w:noWrap w:val="0"/>
                  <w:vAlign w:val="center"/>
                </w:tcPr>
                <w:p w14:paraId="1934D7A6">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56EA2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79" w:type="pct"/>
                  <w:vMerge w:val="continue"/>
                  <w:noWrap w:val="0"/>
                  <w:vAlign w:val="bottom"/>
                </w:tcPr>
                <w:p w14:paraId="2165C32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31" w:type="pct"/>
                  <w:noWrap w:val="0"/>
                  <w:vAlign w:val="center"/>
                </w:tcPr>
                <w:p w14:paraId="59493974">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流量：15m³/h</w:t>
                  </w:r>
                </w:p>
              </w:tc>
              <w:tc>
                <w:tcPr>
                  <w:tcW w:w="477" w:type="pct"/>
                  <w:noWrap w:val="0"/>
                  <w:vAlign w:val="top"/>
                </w:tcPr>
                <w:p w14:paraId="077E1C9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62" w:type="pct"/>
                  <w:noWrap w:val="0"/>
                  <w:vAlign w:val="center"/>
                </w:tcPr>
                <w:p w14:paraId="6A1D736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49" w:type="pct"/>
                  <w:noWrap w:val="0"/>
                  <w:vAlign w:val="center"/>
                </w:tcPr>
                <w:p w14:paraId="67088DCA">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53ECE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79" w:type="pct"/>
                  <w:vMerge w:val="continue"/>
                  <w:noWrap w:val="0"/>
                  <w:vAlign w:val="bottom"/>
                </w:tcPr>
                <w:p w14:paraId="1926320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31" w:type="pct"/>
                  <w:noWrap w:val="0"/>
                  <w:vAlign w:val="center"/>
                </w:tcPr>
                <w:p w14:paraId="1EB01883">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扬程：60m</w:t>
                  </w:r>
                </w:p>
              </w:tc>
              <w:tc>
                <w:tcPr>
                  <w:tcW w:w="477" w:type="pct"/>
                  <w:noWrap w:val="0"/>
                  <w:vAlign w:val="top"/>
                </w:tcPr>
                <w:p w14:paraId="64B5E58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62" w:type="pct"/>
                  <w:noWrap w:val="0"/>
                  <w:vAlign w:val="center"/>
                </w:tcPr>
                <w:p w14:paraId="6017A99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49" w:type="pct"/>
                  <w:noWrap w:val="0"/>
                  <w:vAlign w:val="center"/>
                </w:tcPr>
                <w:p w14:paraId="16D8456F">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22057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79" w:type="pct"/>
                  <w:vMerge w:val="continue"/>
                  <w:noWrap w:val="0"/>
                  <w:vAlign w:val="bottom"/>
                </w:tcPr>
                <w:p w14:paraId="6DE959B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31" w:type="pct"/>
                  <w:noWrap w:val="0"/>
                  <w:vAlign w:val="center"/>
                </w:tcPr>
                <w:p w14:paraId="29EE845F">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电机功率：11</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kW</w:t>
                  </w:r>
                </w:p>
              </w:tc>
              <w:tc>
                <w:tcPr>
                  <w:tcW w:w="477" w:type="pct"/>
                  <w:noWrap w:val="0"/>
                  <w:vAlign w:val="top"/>
                </w:tcPr>
                <w:p w14:paraId="5B6D313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62" w:type="pct"/>
                  <w:noWrap w:val="0"/>
                  <w:vAlign w:val="center"/>
                </w:tcPr>
                <w:p w14:paraId="4A819F6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49" w:type="pct"/>
                  <w:noWrap w:val="0"/>
                  <w:vAlign w:val="center"/>
                </w:tcPr>
                <w:p w14:paraId="2E66FFB3">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7402E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79" w:type="pct"/>
                  <w:noWrap w:val="0"/>
                  <w:vAlign w:val="bottom"/>
                </w:tcPr>
                <w:p w14:paraId="715E0874">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bookmarkStart w:id="3" w:name="OLE_LINK4" w:colFirst="3" w:colLast="4"/>
                  <w:r>
                    <w:rPr>
                      <w:rFonts w:hint="default" w:ascii="Times New Roman" w:hAnsi="Times New Roman" w:eastAsia="宋体" w:cs="Times New Roman"/>
                      <w:color w:val="000000" w:themeColor="text1"/>
                      <w:sz w:val="21"/>
                      <w:szCs w:val="21"/>
                      <w:highlight w:val="none"/>
                      <w14:textFill>
                        <w14:solidFill>
                          <w14:schemeClr w14:val="tx1"/>
                        </w14:solidFill>
                      </w14:textFill>
                    </w:rPr>
                    <w:t>EH01</w:t>
                  </w:r>
                </w:p>
              </w:tc>
              <w:tc>
                <w:tcPr>
                  <w:tcW w:w="2231" w:type="pct"/>
                  <w:noWrap w:val="0"/>
                  <w:vAlign w:val="center"/>
                </w:tcPr>
                <w:p w14:paraId="3E1B0B1B">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电动葫芦</w:t>
                  </w:r>
                </w:p>
              </w:tc>
              <w:tc>
                <w:tcPr>
                  <w:tcW w:w="477" w:type="pct"/>
                  <w:noWrap w:val="0"/>
                  <w:vAlign w:val="top"/>
                </w:tcPr>
                <w:p w14:paraId="4956C27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w:t>
                  </w:r>
                </w:p>
              </w:tc>
              <w:tc>
                <w:tcPr>
                  <w:tcW w:w="962" w:type="pct"/>
                  <w:noWrap w:val="0"/>
                  <w:vAlign w:val="center"/>
                </w:tcPr>
                <w:p w14:paraId="3B4A792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82.19</w:t>
                  </w:r>
                </w:p>
              </w:tc>
              <w:tc>
                <w:tcPr>
                  <w:tcW w:w="549" w:type="pct"/>
                  <w:noWrap w:val="0"/>
                  <w:vAlign w:val="center"/>
                </w:tcPr>
                <w:p w14:paraId="38F681AE">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bookmarkEnd w:id="3"/>
            <w:tr w14:paraId="72ACD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79" w:type="pct"/>
                  <w:noWrap w:val="0"/>
                  <w:vAlign w:val="bottom"/>
                </w:tcPr>
                <w:p w14:paraId="12A7E8B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31" w:type="pct"/>
                  <w:noWrap w:val="0"/>
                  <w:vAlign w:val="center"/>
                </w:tcPr>
                <w:p w14:paraId="746F95EE">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型号：</w:t>
                  </w:r>
                </w:p>
              </w:tc>
              <w:tc>
                <w:tcPr>
                  <w:tcW w:w="477" w:type="pct"/>
                  <w:noWrap w:val="0"/>
                  <w:vAlign w:val="top"/>
                </w:tcPr>
                <w:p w14:paraId="7ECA2EC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62" w:type="pct"/>
                  <w:noWrap w:val="0"/>
                  <w:vAlign w:val="center"/>
                </w:tcPr>
                <w:p w14:paraId="7FF30D6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49" w:type="pct"/>
                  <w:noWrap w:val="0"/>
                  <w:vAlign w:val="center"/>
                </w:tcPr>
                <w:p w14:paraId="26CDF667">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79B3F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79" w:type="pct"/>
                  <w:noWrap w:val="0"/>
                  <w:vAlign w:val="bottom"/>
                </w:tcPr>
                <w:p w14:paraId="32B2ABA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31" w:type="pct"/>
                  <w:noWrap w:val="0"/>
                  <w:vAlign w:val="center"/>
                </w:tcPr>
                <w:p w14:paraId="787CEB5C">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起吊重量：2t</w:t>
                  </w:r>
                </w:p>
              </w:tc>
              <w:tc>
                <w:tcPr>
                  <w:tcW w:w="477" w:type="pct"/>
                  <w:noWrap w:val="0"/>
                  <w:vAlign w:val="top"/>
                </w:tcPr>
                <w:p w14:paraId="7DB6563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62" w:type="pct"/>
                  <w:noWrap w:val="0"/>
                  <w:vAlign w:val="center"/>
                </w:tcPr>
                <w:p w14:paraId="684DBAA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49" w:type="pct"/>
                  <w:noWrap w:val="0"/>
                  <w:vAlign w:val="center"/>
                </w:tcPr>
                <w:p w14:paraId="585CF559">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34EB6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79" w:type="pct"/>
                  <w:noWrap w:val="0"/>
                  <w:vAlign w:val="bottom"/>
                </w:tcPr>
                <w:p w14:paraId="093F0CF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31" w:type="pct"/>
                  <w:noWrap w:val="0"/>
                  <w:vAlign w:val="center"/>
                </w:tcPr>
                <w:p w14:paraId="04CEAABC">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起升高度：8m</w:t>
                  </w:r>
                </w:p>
              </w:tc>
              <w:tc>
                <w:tcPr>
                  <w:tcW w:w="477" w:type="pct"/>
                  <w:noWrap w:val="0"/>
                  <w:vAlign w:val="top"/>
                </w:tcPr>
                <w:p w14:paraId="4B3424E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62" w:type="pct"/>
                  <w:noWrap w:val="0"/>
                  <w:vAlign w:val="center"/>
                </w:tcPr>
                <w:p w14:paraId="3EA1F6D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49" w:type="pct"/>
                  <w:noWrap w:val="0"/>
                  <w:vAlign w:val="center"/>
                </w:tcPr>
                <w:p w14:paraId="57411CE1">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2A600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79" w:type="pct"/>
                  <w:noWrap w:val="0"/>
                  <w:vAlign w:val="bottom"/>
                </w:tcPr>
                <w:p w14:paraId="5D9AA50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31" w:type="pct"/>
                  <w:noWrap w:val="0"/>
                  <w:vAlign w:val="center"/>
                </w:tcPr>
                <w:p w14:paraId="436EE787">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电机功率：7.5</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kW</w:t>
                  </w:r>
                </w:p>
              </w:tc>
              <w:tc>
                <w:tcPr>
                  <w:tcW w:w="477" w:type="pct"/>
                  <w:noWrap w:val="0"/>
                  <w:vAlign w:val="top"/>
                </w:tcPr>
                <w:p w14:paraId="6CFB5FE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62" w:type="pct"/>
                  <w:noWrap w:val="0"/>
                  <w:vAlign w:val="center"/>
                </w:tcPr>
                <w:p w14:paraId="1AFFE1A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49" w:type="pct"/>
                  <w:noWrap w:val="0"/>
                  <w:vAlign w:val="center"/>
                </w:tcPr>
                <w:p w14:paraId="527D95CE">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63C64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79" w:type="pct"/>
                  <w:noWrap w:val="0"/>
                  <w:vAlign w:val="bottom"/>
                </w:tcPr>
                <w:p w14:paraId="3201598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HC01</w:t>
                  </w:r>
                </w:p>
              </w:tc>
              <w:tc>
                <w:tcPr>
                  <w:tcW w:w="2231" w:type="pct"/>
                  <w:noWrap w:val="0"/>
                  <w:vAlign w:val="center"/>
                </w:tcPr>
                <w:p w14:paraId="01715AF9">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水力旋流器</w:t>
                  </w:r>
                </w:p>
              </w:tc>
              <w:tc>
                <w:tcPr>
                  <w:tcW w:w="477" w:type="pct"/>
                  <w:noWrap w:val="0"/>
                  <w:vAlign w:val="top"/>
                </w:tcPr>
                <w:p w14:paraId="3B6A392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w:t>
                  </w:r>
                </w:p>
              </w:tc>
              <w:tc>
                <w:tcPr>
                  <w:tcW w:w="962" w:type="pct"/>
                  <w:noWrap w:val="0"/>
                  <w:vAlign w:val="center"/>
                </w:tcPr>
                <w:p w14:paraId="2B9DBD3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82.19</w:t>
                  </w:r>
                </w:p>
              </w:tc>
              <w:tc>
                <w:tcPr>
                  <w:tcW w:w="549" w:type="pct"/>
                  <w:noWrap w:val="0"/>
                  <w:vAlign w:val="center"/>
                </w:tcPr>
                <w:p w14:paraId="1F898506">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3968C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79" w:type="pct"/>
                  <w:noWrap w:val="0"/>
                  <w:vAlign w:val="bottom"/>
                </w:tcPr>
                <w:p w14:paraId="203DA47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31" w:type="pct"/>
                  <w:noWrap w:val="0"/>
                  <w:vAlign w:val="center"/>
                </w:tcPr>
                <w:p w14:paraId="24E04AB3">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处理能力：15m³/h</w:t>
                  </w:r>
                </w:p>
              </w:tc>
              <w:tc>
                <w:tcPr>
                  <w:tcW w:w="477" w:type="pct"/>
                  <w:noWrap w:val="0"/>
                  <w:vAlign w:val="top"/>
                </w:tcPr>
                <w:p w14:paraId="299EE38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62" w:type="pct"/>
                  <w:noWrap w:val="0"/>
                  <w:vAlign w:val="center"/>
                </w:tcPr>
                <w:p w14:paraId="7ED33B5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49" w:type="pct"/>
                  <w:noWrap w:val="0"/>
                  <w:vAlign w:val="center"/>
                </w:tcPr>
                <w:p w14:paraId="10BE3097">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61EB0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79" w:type="pct"/>
                  <w:noWrap w:val="0"/>
                  <w:vAlign w:val="bottom"/>
                </w:tcPr>
                <w:p w14:paraId="7FEDFA8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31" w:type="pct"/>
                  <w:noWrap w:val="0"/>
                  <w:vAlign w:val="center"/>
                </w:tcPr>
                <w:p w14:paraId="0755DFA8">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进料浓度</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：15%—20%</w:t>
                  </w:r>
                </w:p>
              </w:tc>
              <w:tc>
                <w:tcPr>
                  <w:tcW w:w="477" w:type="pct"/>
                  <w:noWrap w:val="0"/>
                  <w:vAlign w:val="top"/>
                </w:tcPr>
                <w:p w14:paraId="1A1C60D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62" w:type="pct"/>
                  <w:noWrap w:val="0"/>
                  <w:vAlign w:val="center"/>
                </w:tcPr>
                <w:p w14:paraId="31DF3F2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49" w:type="pct"/>
                  <w:noWrap w:val="0"/>
                  <w:vAlign w:val="center"/>
                </w:tcPr>
                <w:p w14:paraId="2C44865B">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1A6C7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79" w:type="pct"/>
                  <w:noWrap w:val="0"/>
                  <w:vAlign w:val="bottom"/>
                </w:tcPr>
                <w:p w14:paraId="505B60B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VB01</w:t>
                  </w:r>
                </w:p>
              </w:tc>
              <w:tc>
                <w:tcPr>
                  <w:tcW w:w="2231" w:type="pct"/>
                  <w:noWrap w:val="0"/>
                  <w:vAlign w:val="center"/>
                </w:tcPr>
                <w:p w14:paraId="2E4B5248">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真空皮带过滤机</w:t>
                  </w:r>
                </w:p>
              </w:tc>
              <w:tc>
                <w:tcPr>
                  <w:tcW w:w="477" w:type="pct"/>
                  <w:noWrap w:val="0"/>
                  <w:vAlign w:val="top"/>
                </w:tcPr>
                <w:p w14:paraId="45612A4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w:t>
                  </w:r>
                </w:p>
              </w:tc>
              <w:tc>
                <w:tcPr>
                  <w:tcW w:w="962" w:type="pct"/>
                  <w:noWrap w:val="0"/>
                  <w:vAlign w:val="center"/>
                </w:tcPr>
                <w:p w14:paraId="2DB6132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82.19</w:t>
                  </w:r>
                </w:p>
              </w:tc>
              <w:tc>
                <w:tcPr>
                  <w:tcW w:w="549" w:type="pct"/>
                  <w:noWrap w:val="0"/>
                  <w:vAlign w:val="center"/>
                </w:tcPr>
                <w:p w14:paraId="764F352F">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542EA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9" w:hRule="atLeast"/>
                <w:jc w:val="center"/>
              </w:trPr>
              <w:tc>
                <w:tcPr>
                  <w:tcW w:w="779" w:type="pct"/>
                  <w:noWrap w:val="0"/>
                  <w:vAlign w:val="bottom"/>
                </w:tcPr>
                <w:p w14:paraId="22A5F8B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31" w:type="pct"/>
                  <w:noWrap w:val="0"/>
                  <w:vAlign w:val="center"/>
                </w:tcPr>
                <w:p w14:paraId="598CFE0F">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型式：</w:t>
                  </w:r>
                </w:p>
              </w:tc>
              <w:tc>
                <w:tcPr>
                  <w:tcW w:w="477" w:type="pct"/>
                  <w:noWrap w:val="0"/>
                  <w:vAlign w:val="top"/>
                </w:tcPr>
                <w:p w14:paraId="018AD18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62" w:type="pct"/>
                  <w:noWrap w:val="0"/>
                  <w:vAlign w:val="center"/>
                </w:tcPr>
                <w:p w14:paraId="1C1416C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49" w:type="pct"/>
                  <w:noWrap w:val="0"/>
                  <w:vAlign w:val="center"/>
                </w:tcPr>
                <w:p w14:paraId="24DA0D3E">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17D34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79" w:type="pct"/>
                  <w:noWrap w:val="0"/>
                  <w:vAlign w:val="bottom"/>
                </w:tcPr>
                <w:p w14:paraId="2E55E7F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31" w:type="pct"/>
                  <w:noWrap w:val="0"/>
                  <w:vAlign w:val="center"/>
                </w:tcPr>
                <w:p w14:paraId="2FB24917">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电机功率：3</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kW</w:t>
                  </w:r>
                </w:p>
              </w:tc>
              <w:tc>
                <w:tcPr>
                  <w:tcW w:w="477" w:type="pct"/>
                  <w:noWrap w:val="0"/>
                  <w:vAlign w:val="top"/>
                </w:tcPr>
                <w:p w14:paraId="3E94CB4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62" w:type="pct"/>
                  <w:noWrap w:val="0"/>
                  <w:vAlign w:val="center"/>
                </w:tcPr>
                <w:p w14:paraId="1A870DF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49" w:type="pct"/>
                  <w:noWrap w:val="0"/>
                  <w:vAlign w:val="center"/>
                </w:tcPr>
                <w:p w14:paraId="5275AE54">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19B65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79" w:type="pct"/>
                  <w:noWrap w:val="0"/>
                  <w:vAlign w:val="bottom"/>
                </w:tcPr>
                <w:p w14:paraId="15EA5FA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VP01</w:t>
                  </w:r>
                </w:p>
              </w:tc>
              <w:tc>
                <w:tcPr>
                  <w:tcW w:w="2231" w:type="pct"/>
                  <w:noWrap w:val="0"/>
                  <w:vAlign w:val="center"/>
                </w:tcPr>
                <w:p w14:paraId="1F68E54E">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水环真空泵</w:t>
                  </w:r>
                </w:p>
              </w:tc>
              <w:tc>
                <w:tcPr>
                  <w:tcW w:w="477" w:type="pct"/>
                  <w:noWrap w:val="0"/>
                  <w:vAlign w:val="top"/>
                </w:tcPr>
                <w:p w14:paraId="366D3FD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w:t>
                  </w:r>
                </w:p>
              </w:tc>
              <w:tc>
                <w:tcPr>
                  <w:tcW w:w="962" w:type="pct"/>
                  <w:noWrap w:val="0"/>
                  <w:vAlign w:val="center"/>
                </w:tcPr>
                <w:p w14:paraId="1B00547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82.19</w:t>
                  </w:r>
                </w:p>
              </w:tc>
              <w:tc>
                <w:tcPr>
                  <w:tcW w:w="549" w:type="pct"/>
                  <w:noWrap w:val="0"/>
                  <w:vAlign w:val="center"/>
                </w:tcPr>
                <w:p w14:paraId="47AB1D01">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49BC3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79" w:type="pct"/>
                  <w:noWrap w:val="0"/>
                  <w:vAlign w:val="bottom"/>
                </w:tcPr>
                <w:p w14:paraId="2BC3D5C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31" w:type="pct"/>
                  <w:noWrap w:val="0"/>
                  <w:vAlign w:val="center"/>
                </w:tcPr>
                <w:p w14:paraId="0668778C">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型式：水环式</w:t>
                  </w:r>
                </w:p>
              </w:tc>
              <w:tc>
                <w:tcPr>
                  <w:tcW w:w="477" w:type="pct"/>
                  <w:noWrap w:val="0"/>
                  <w:vAlign w:val="top"/>
                </w:tcPr>
                <w:p w14:paraId="5D6F911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62" w:type="pct"/>
                  <w:noWrap w:val="0"/>
                  <w:vAlign w:val="center"/>
                </w:tcPr>
                <w:p w14:paraId="61BB253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49" w:type="pct"/>
                  <w:noWrap w:val="0"/>
                  <w:vAlign w:val="center"/>
                </w:tcPr>
                <w:p w14:paraId="6665429E">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15F56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79" w:type="pct"/>
                  <w:noWrap w:val="0"/>
                  <w:vAlign w:val="bottom"/>
                </w:tcPr>
                <w:p w14:paraId="2441DF54">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31" w:type="pct"/>
                  <w:noWrap w:val="0"/>
                  <w:vAlign w:val="center"/>
                </w:tcPr>
                <w:p w14:paraId="50C7A78D">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电机功率</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22</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kW</w:t>
                  </w:r>
                </w:p>
              </w:tc>
              <w:tc>
                <w:tcPr>
                  <w:tcW w:w="477" w:type="pct"/>
                  <w:noWrap w:val="0"/>
                  <w:vAlign w:val="top"/>
                </w:tcPr>
                <w:p w14:paraId="5BF6348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62" w:type="pct"/>
                  <w:noWrap w:val="0"/>
                  <w:vAlign w:val="center"/>
                </w:tcPr>
                <w:p w14:paraId="3E2FF94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49" w:type="pct"/>
                  <w:noWrap w:val="0"/>
                  <w:vAlign w:val="center"/>
                </w:tcPr>
                <w:p w14:paraId="6E858725">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1503A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79" w:type="pct"/>
                  <w:vMerge w:val="restart"/>
                  <w:noWrap w:val="0"/>
                  <w:vAlign w:val="center"/>
                </w:tcPr>
                <w:p w14:paraId="18F9D3E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PU16~PU17</w:t>
                  </w:r>
                </w:p>
              </w:tc>
              <w:tc>
                <w:tcPr>
                  <w:tcW w:w="2231" w:type="pct"/>
                  <w:noWrap w:val="0"/>
                  <w:vAlign w:val="center"/>
                </w:tcPr>
                <w:p w14:paraId="48A4B91C">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滤液水泵</w:t>
                  </w:r>
                </w:p>
              </w:tc>
              <w:tc>
                <w:tcPr>
                  <w:tcW w:w="477" w:type="pct"/>
                  <w:noWrap w:val="0"/>
                  <w:vAlign w:val="top"/>
                </w:tcPr>
                <w:p w14:paraId="2153324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w:t>
                  </w:r>
                </w:p>
              </w:tc>
              <w:tc>
                <w:tcPr>
                  <w:tcW w:w="962" w:type="pct"/>
                  <w:noWrap w:val="0"/>
                  <w:vAlign w:val="center"/>
                </w:tcPr>
                <w:p w14:paraId="1215BD6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82.19</w:t>
                  </w:r>
                </w:p>
              </w:tc>
              <w:tc>
                <w:tcPr>
                  <w:tcW w:w="549" w:type="pct"/>
                  <w:noWrap w:val="0"/>
                  <w:vAlign w:val="center"/>
                </w:tcPr>
                <w:p w14:paraId="43CF4420">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573B9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79" w:type="pct"/>
                  <w:vMerge w:val="continue"/>
                  <w:noWrap w:val="0"/>
                  <w:vAlign w:val="bottom"/>
                </w:tcPr>
                <w:p w14:paraId="1B8D474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31" w:type="pct"/>
                  <w:noWrap w:val="0"/>
                  <w:vAlign w:val="center"/>
                </w:tcPr>
                <w:p w14:paraId="68E93A97">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型号：</w:t>
                  </w:r>
                </w:p>
              </w:tc>
              <w:tc>
                <w:tcPr>
                  <w:tcW w:w="477" w:type="pct"/>
                  <w:noWrap w:val="0"/>
                  <w:vAlign w:val="top"/>
                </w:tcPr>
                <w:p w14:paraId="5619165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62" w:type="pct"/>
                  <w:noWrap w:val="0"/>
                  <w:vAlign w:val="center"/>
                </w:tcPr>
                <w:p w14:paraId="0F6AF55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49" w:type="pct"/>
                  <w:noWrap w:val="0"/>
                  <w:vAlign w:val="center"/>
                </w:tcPr>
                <w:p w14:paraId="2BDA6E05">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29D81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79" w:type="pct"/>
                  <w:vMerge w:val="continue"/>
                  <w:noWrap w:val="0"/>
                  <w:vAlign w:val="bottom"/>
                </w:tcPr>
                <w:p w14:paraId="7F61264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31" w:type="pct"/>
                  <w:noWrap w:val="0"/>
                  <w:vAlign w:val="center"/>
                </w:tcPr>
                <w:p w14:paraId="381C0B1D">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流量：16m³/h</w:t>
                  </w:r>
                </w:p>
              </w:tc>
              <w:tc>
                <w:tcPr>
                  <w:tcW w:w="477" w:type="pct"/>
                  <w:noWrap w:val="0"/>
                  <w:vAlign w:val="top"/>
                </w:tcPr>
                <w:p w14:paraId="42CD0F9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62" w:type="pct"/>
                  <w:noWrap w:val="0"/>
                  <w:vAlign w:val="center"/>
                </w:tcPr>
                <w:p w14:paraId="774A91B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49" w:type="pct"/>
                  <w:noWrap w:val="0"/>
                  <w:vAlign w:val="center"/>
                </w:tcPr>
                <w:p w14:paraId="422BD895">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67719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79" w:type="pct"/>
                  <w:vMerge w:val="continue"/>
                  <w:noWrap w:val="0"/>
                  <w:vAlign w:val="bottom"/>
                </w:tcPr>
                <w:p w14:paraId="23C9F03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31" w:type="pct"/>
                  <w:noWrap w:val="0"/>
                  <w:vAlign w:val="center"/>
                </w:tcPr>
                <w:p w14:paraId="6ECC0DEC">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扬程：40m</w:t>
                  </w:r>
                </w:p>
              </w:tc>
              <w:tc>
                <w:tcPr>
                  <w:tcW w:w="477" w:type="pct"/>
                  <w:noWrap w:val="0"/>
                  <w:vAlign w:val="top"/>
                </w:tcPr>
                <w:p w14:paraId="46146DC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62" w:type="pct"/>
                  <w:noWrap w:val="0"/>
                  <w:vAlign w:val="center"/>
                </w:tcPr>
                <w:p w14:paraId="78054AD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49" w:type="pct"/>
                  <w:noWrap w:val="0"/>
                  <w:vAlign w:val="center"/>
                </w:tcPr>
                <w:p w14:paraId="2BA5797D">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338FB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79" w:type="pct"/>
                  <w:vMerge w:val="continue"/>
                  <w:noWrap w:val="0"/>
                  <w:vAlign w:val="bottom"/>
                </w:tcPr>
                <w:p w14:paraId="7C3A416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31" w:type="pct"/>
                  <w:noWrap w:val="0"/>
                  <w:vAlign w:val="center"/>
                </w:tcPr>
                <w:p w14:paraId="28398F7F">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电机功率：5.5</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kW</w:t>
                  </w:r>
                </w:p>
              </w:tc>
              <w:tc>
                <w:tcPr>
                  <w:tcW w:w="477" w:type="pct"/>
                  <w:noWrap w:val="0"/>
                  <w:vAlign w:val="top"/>
                </w:tcPr>
                <w:p w14:paraId="20E7B4E4">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62" w:type="pct"/>
                  <w:noWrap w:val="0"/>
                  <w:vAlign w:val="center"/>
                </w:tcPr>
                <w:p w14:paraId="49E057F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49" w:type="pct"/>
                  <w:noWrap w:val="0"/>
                  <w:vAlign w:val="center"/>
                </w:tcPr>
                <w:p w14:paraId="14CA5460">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bl>
          <w:p w14:paraId="792AACF2">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bookmarkStart w:id="4" w:name="OLE_LINK2"/>
            <w:r>
              <w:rPr>
                <w:rFonts w:hint="default" w:ascii="Times New Roman" w:hAnsi="Times New Roman" w:eastAsia="宋体" w:cs="Times New Roman"/>
                <w:color w:val="000000" w:themeColor="text1"/>
                <w:sz w:val="24"/>
                <w:szCs w:val="24"/>
                <w:highlight w:val="none"/>
                <w14:textFill>
                  <w14:solidFill>
                    <w14:schemeClr w14:val="tx1"/>
                  </w14:solidFill>
                </w14:textFill>
              </w:rPr>
              <w:t>脱硫除尘系统工艺参数设计见</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下</w:t>
            </w:r>
            <w:r>
              <w:rPr>
                <w:rFonts w:hint="default" w:ascii="Times New Roman" w:hAnsi="Times New Roman" w:eastAsia="宋体" w:cs="Times New Roman"/>
                <w:color w:val="000000" w:themeColor="text1"/>
                <w:sz w:val="24"/>
                <w:szCs w:val="24"/>
                <w:highlight w:val="none"/>
                <w14:textFill>
                  <w14:solidFill>
                    <w14:schemeClr w14:val="tx1"/>
                  </w14:solidFill>
                </w14:textFill>
              </w:rPr>
              <w:t>表。</w:t>
            </w:r>
          </w:p>
          <w:p w14:paraId="0C8BB963">
            <w:pPr>
              <w:spacing w:line="240" w:lineRule="auto"/>
              <w:jc w:val="cente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表2-12系统工艺设计参数</w:t>
            </w:r>
          </w:p>
          <w:tbl>
            <w:tblPr>
              <w:tblStyle w:val="24"/>
              <w:tblW w:w="84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383"/>
              <w:gridCol w:w="1417"/>
              <w:gridCol w:w="1481"/>
              <w:gridCol w:w="3137"/>
            </w:tblGrid>
            <w:tr w14:paraId="16B79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0" w:hRule="atLeast"/>
                <w:jc w:val="center"/>
              </w:trPr>
              <w:tc>
                <w:tcPr>
                  <w:tcW w:w="2383" w:type="dxa"/>
                  <w:noWrap w:val="0"/>
                  <w:vAlign w:val="center"/>
                </w:tcPr>
                <w:p w14:paraId="61EF43C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主要参数</w:t>
                  </w:r>
                </w:p>
              </w:tc>
              <w:tc>
                <w:tcPr>
                  <w:tcW w:w="1417" w:type="dxa"/>
                  <w:noWrap w:val="0"/>
                  <w:vAlign w:val="center"/>
                </w:tcPr>
                <w:p w14:paraId="5EDD809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单位</w:t>
                  </w:r>
                </w:p>
              </w:tc>
              <w:tc>
                <w:tcPr>
                  <w:tcW w:w="1481" w:type="dxa"/>
                  <w:noWrap w:val="0"/>
                  <w:vAlign w:val="center"/>
                </w:tcPr>
                <w:p w14:paraId="161B410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参数</w:t>
                  </w:r>
                </w:p>
              </w:tc>
              <w:tc>
                <w:tcPr>
                  <w:tcW w:w="3137" w:type="dxa"/>
                  <w:noWrap w:val="0"/>
                  <w:vAlign w:val="center"/>
                </w:tcPr>
                <w:p w14:paraId="4DC58A0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备注</w:t>
                  </w:r>
                </w:p>
              </w:tc>
            </w:tr>
            <w:tr w14:paraId="052E6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383" w:type="dxa"/>
                  <w:noWrap w:val="0"/>
                  <w:vAlign w:val="center"/>
                </w:tcPr>
                <w:p w14:paraId="4F53060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脱硫入口烟气量</w:t>
                  </w:r>
                </w:p>
              </w:tc>
              <w:tc>
                <w:tcPr>
                  <w:tcW w:w="1417" w:type="dxa"/>
                  <w:noWrap w:val="0"/>
                  <w:vAlign w:val="center"/>
                </w:tcPr>
                <w:p w14:paraId="7DE6FED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Nm</w:t>
                  </w:r>
                  <w:r>
                    <w:rPr>
                      <w:rFonts w:hint="default" w:ascii="Times New Roman" w:hAnsi="Times New Roman" w:eastAsia="宋体" w:cs="Times New Roman"/>
                      <w:color w:val="000000" w:themeColor="text1"/>
                      <w:szCs w:val="24"/>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zCs w:val="24"/>
                      <w:highlight w:val="none"/>
                      <w14:textFill>
                        <w14:solidFill>
                          <w14:schemeClr w14:val="tx1"/>
                        </w14:solidFill>
                      </w14:textFill>
                    </w:rPr>
                    <w:t>/h</w:t>
                  </w:r>
                </w:p>
              </w:tc>
              <w:tc>
                <w:tcPr>
                  <w:tcW w:w="1481" w:type="dxa"/>
                  <w:noWrap w:val="0"/>
                  <w:vAlign w:val="center"/>
                </w:tcPr>
                <w:p w14:paraId="046052D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10</w:t>
                  </w:r>
                  <w:r>
                    <w:rPr>
                      <w:rFonts w:hint="default" w:ascii="Times New Roman" w:hAnsi="Times New Roman" w:cs="Times New Roman"/>
                      <w:color w:val="000000" w:themeColor="text1"/>
                      <w:szCs w:val="24"/>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szCs w:val="24"/>
                      <w:highlight w:val="none"/>
                      <w14:textFill>
                        <w14:solidFill>
                          <w14:schemeClr w14:val="tx1"/>
                        </w14:solidFill>
                      </w14:textFill>
                    </w:rPr>
                    <w:t>000</w:t>
                  </w:r>
                </w:p>
              </w:tc>
              <w:tc>
                <w:tcPr>
                  <w:tcW w:w="3137" w:type="dxa"/>
                  <w:noWrap w:val="0"/>
                  <w:vAlign w:val="center"/>
                </w:tcPr>
                <w:p w14:paraId="0A3BFA6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干态，标况，</w:t>
                  </w:r>
                  <w:r>
                    <w:rPr>
                      <w:rFonts w:hint="default" w:ascii="Times New Roman" w:hAnsi="Times New Roman" w:cs="Times New Roman"/>
                      <w:color w:val="000000" w:themeColor="text1"/>
                      <w:szCs w:val="24"/>
                      <w:highlight w:val="none"/>
                      <w:lang w:val="en-US" w:eastAsia="zh-CN"/>
                      <w14:textFill>
                        <w14:solidFill>
                          <w14:schemeClr w14:val="tx1"/>
                        </w14:solidFill>
                      </w14:textFill>
                    </w:rPr>
                    <w:t>7.6</w:t>
                  </w:r>
                  <w:r>
                    <w:rPr>
                      <w:rFonts w:hint="default" w:ascii="Times New Roman" w:hAnsi="Times New Roman" w:eastAsia="宋体" w:cs="Times New Roman"/>
                      <w:color w:val="000000" w:themeColor="text1"/>
                      <w:szCs w:val="24"/>
                      <w:highlight w:val="none"/>
                      <w14:textFill>
                        <w14:solidFill>
                          <w14:schemeClr w14:val="tx1"/>
                        </w14:solidFill>
                      </w14:textFill>
                    </w:rPr>
                    <w:t>%含氧量</w:t>
                  </w:r>
                </w:p>
              </w:tc>
            </w:tr>
            <w:tr w14:paraId="02797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383" w:type="dxa"/>
                  <w:noWrap w:val="0"/>
                  <w:vAlign w:val="center"/>
                </w:tcPr>
                <w:p w14:paraId="632EC91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烟气温度</w:t>
                  </w:r>
                </w:p>
              </w:tc>
              <w:tc>
                <w:tcPr>
                  <w:tcW w:w="1417" w:type="dxa"/>
                  <w:noWrap w:val="0"/>
                  <w:vAlign w:val="center"/>
                </w:tcPr>
                <w:p w14:paraId="5EA5981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w:t>
                  </w:r>
                </w:p>
              </w:tc>
              <w:tc>
                <w:tcPr>
                  <w:tcW w:w="1481" w:type="dxa"/>
                  <w:noWrap w:val="0"/>
                  <w:vAlign w:val="center"/>
                </w:tcPr>
                <w:p w14:paraId="7E06E4A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Cs w:val="24"/>
                      <w:highlight w:val="none"/>
                      <w14:textFill>
                        <w14:solidFill>
                          <w14:schemeClr w14:val="tx1"/>
                        </w14:solidFill>
                      </w14:textFill>
                    </w:rPr>
                  </w:pPr>
                  <w:r>
                    <w:rPr>
                      <w:rFonts w:hint="default" w:ascii="Times New Roman" w:hAnsi="Times New Roman" w:cs="Times New Roman"/>
                      <w:b w:val="0"/>
                      <w:bCs w:val="0"/>
                      <w:color w:val="000000" w:themeColor="text1"/>
                      <w:szCs w:val="24"/>
                      <w:highlight w:val="none"/>
                      <w:lang w:val="en-US" w:eastAsia="zh-CN"/>
                      <w14:textFill>
                        <w14:solidFill>
                          <w14:schemeClr w14:val="tx1"/>
                        </w14:solidFill>
                      </w14:textFill>
                    </w:rPr>
                    <w:t>20</w:t>
                  </w:r>
                  <w:r>
                    <w:rPr>
                      <w:rFonts w:hint="default" w:ascii="Times New Roman" w:hAnsi="Times New Roman" w:eastAsia="宋体" w:cs="Times New Roman"/>
                      <w:b w:val="0"/>
                      <w:bCs w:val="0"/>
                      <w:color w:val="000000" w:themeColor="text1"/>
                      <w:szCs w:val="24"/>
                      <w:highlight w:val="none"/>
                      <w14:textFill>
                        <w14:solidFill>
                          <w14:schemeClr w14:val="tx1"/>
                        </w14:solidFill>
                      </w14:textFill>
                    </w:rPr>
                    <w:t>0</w:t>
                  </w:r>
                </w:p>
              </w:tc>
              <w:tc>
                <w:tcPr>
                  <w:tcW w:w="3137" w:type="dxa"/>
                  <w:noWrap w:val="0"/>
                  <w:vAlign w:val="center"/>
                </w:tcPr>
                <w:p w14:paraId="223C049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Cs w:val="24"/>
                      <w:highlight w:val="none"/>
                      <w14:textFill>
                        <w14:solidFill>
                          <w14:schemeClr w14:val="tx1"/>
                        </w14:solidFill>
                      </w14:textFill>
                    </w:rPr>
                  </w:pPr>
                </w:p>
              </w:tc>
            </w:tr>
            <w:tr w14:paraId="6082B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383" w:type="dxa"/>
                  <w:noWrap w:val="0"/>
                  <w:vAlign w:val="center"/>
                </w:tcPr>
                <w:p w14:paraId="4E4047C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入口SO</w:t>
                  </w:r>
                  <w:r>
                    <w:rPr>
                      <w:rFonts w:hint="default" w:ascii="Times New Roman" w:hAnsi="Times New Roman" w:eastAsia="宋体" w:cs="Times New Roman"/>
                      <w:color w:val="000000" w:themeColor="text1"/>
                      <w:szCs w:val="24"/>
                      <w:highlight w:val="none"/>
                      <w:vertAlign w:val="subscript"/>
                      <w14:textFill>
                        <w14:solidFill>
                          <w14:schemeClr w14:val="tx1"/>
                        </w14:solidFill>
                      </w14:textFill>
                    </w:rPr>
                    <w:t>2</w:t>
                  </w:r>
                  <w:r>
                    <w:rPr>
                      <w:rFonts w:hint="default" w:ascii="Times New Roman" w:hAnsi="Times New Roman" w:eastAsia="宋体" w:cs="Times New Roman"/>
                      <w:color w:val="000000" w:themeColor="text1"/>
                      <w:szCs w:val="24"/>
                      <w:highlight w:val="none"/>
                      <w14:textFill>
                        <w14:solidFill>
                          <w14:schemeClr w14:val="tx1"/>
                        </w14:solidFill>
                      </w14:textFill>
                    </w:rPr>
                    <w:t>浓度</w:t>
                  </w:r>
                </w:p>
              </w:tc>
              <w:tc>
                <w:tcPr>
                  <w:tcW w:w="1417" w:type="dxa"/>
                  <w:noWrap w:val="0"/>
                  <w:vAlign w:val="center"/>
                </w:tcPr>
                <w:p w14:paraId="679B8E66">
                  <w:pPr>
                    <w:keepNext w:val="0"/>
                    <w:keepLines w:val="0"/>
                    <w:pageBreakBefore w:val="0"/>
                    <w:widowControl w:val="0"/>
                    <w:tabs>
                      <w:tab w:val="left" w:pos="0"/>
                    </w:tabs>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Cs w:val="20"/>
                      <w:highlight w:val="none"/>
                      <w14:textFill>
                        <w14:solidFill>
                          <w14:schemeClr w14:val="tx1"/>
                        </w14:solidFill>
                      </w14:textFill>
                    </w:rPr>
                  </w:pPr>
                  <w:r>
                    <w:rPr>
                      <w:rFonts w:hint="default" w:ascii="Times New Roman" w:hAnsi="Times New Roman" w:eastAsia="宋体" w:cs="Times New Roman"/>
                      <w:color w:val="000000" w:themeColor="text1"/>
                      <w:kern w:val="0"/>
                      <w:szCs w:val="20"/>
                      <w:highlight w:val="none"/>
                      <w14:textFill>
                        <w14:solidFill>
                          <w14:schemeClr w14:val="tx1"/>
                        </w14:solidFill>
                      </w14:textFill>
                    </w:rPr>
                    <w:t>mg/m</w:t>
                  </w:r>
                  <w:r>
                    <w:rPr>
                      <w:rFonts w:hint="default" w:ascii="Times New Roman" w:hAnsi="Times New Roman" w:eastAsia="宋体" w:cs="Times New Roman"/>
                      <w:color w:val="000000" w:themeColor="text1"/>
                      <w:kern w:val="0"/>
                      <w:szCs w:val="20"/>
                      <w:highlight w:val="none"/>
                      <w:vertAlign w:val="superscript"/>
                      <w14:textFill>
                        <w14:solidFill>
                          <w14:schemeClr w14:val="tx1"/>
                        </w14:solidFill>
                      </w14:textFill>
                    </w:rPr>
                    <w:t>3</w:t>
                  </w:r>
                </w:p>
              </w:tc>
              <w:tc>
                <w:tcPr>
                  <w:tcW w:w="1481" w:type="dxa"/>
                  <w:noWrap w:val="0"/>
                  <w:vAlign w:val="center"/>
                </w:tcPr>
                <w:p w14:paraId="314FCA9D">
                  <w:pPr>
                    <w:keepNext w:val="0"/>
                    <w:keepLines w:val="0"/>
                    <w:pageBreakBefore w:val="0"/>
                    <w:widowControl w:val="0"/>
                    <w:tabs>
                      <w:tab w:val="left" w:pos="0"/>
                    </w:tabs>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kern w:val="0"/>
                      <w:szCs w:val="20"/>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Cs w:val="20"/>
                      <w:highlight w:val="none"/>
                      <w14:textFill>
                        <w14:solidFill>
                          <w14:schemeClr w14:val="tx1"/>
                        </w14:solidFill>
                      </w14:textFill>
                    </w:rPr>
                    <w:t>＜</w:t>
                  </w:r>
                  <w:r>
                    <w:rPr>
                      <w:rFonts w:hint="default" w:ascii="Times New Roman" w:hAnsi="Times New Roman" w:cs="Times New Roman"/>
                      <w:b w:val="0"/>
                      <w:bCs w:val="0"/>
                      <w:color w:val="000000" w:themeColor="text1"/>
                      <w:kern w:val="0"/>
                      <w:szCs w:val="20"/>
                      <w:highlight w:val="none"/>
                      <w:lang w:val="en-US" w:eastAsia="zh-CN"/>
                      <w14:textFill>
                        <w14:solidFill>
                          <w14:schemeClr w14:val="tx1"/>
                        </w14:solidFill>
                      </w14:textFill>
                    </w:rPr>
                    <w:t>500</w:t>
                  </w:r>
                </w:p>
              </w:tc>
              <w:tc>
                <w:tcPr>
                  <w:tcW w:w="3137" w:type="dxa"/>
                  <w:noWrap w:val="0"/>
                  <w:vAlign w:val="center"/>
                </w:tcPr>
                <w:p w14:paraId="55921B2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cs="Times New Roman"/>
                      <w:color w:val="000000" w:themeColor="text1"/>
                      <w:szCs w:val="24"/>
                      <w:highlight w:val="none"/>
                      <w:lang w:val="en-US" w:eastAsia="zh-CN"/>
                      <w14:textFill>
                        <w14:solidFill>
                          <w14:schemeClr w14:val="tx1"/>
                        </w14:solidFill>
                      </w14:textFill>
                    </w:rPr>
                    <w:t>16</w:t>
                  </w:r>
                  <w:r>
                    <w:rPr>
                      <w:rFonts w:hint="default" w:ascii="Times New Roman" w:hAnsi="Times New Roman" w:eastAsia="宋体" w:cs="Times New Roman"/>
                      <w:color w:val="000000" w:themeColor="text1"/>
                      <w:szCs w:val="24"/>
                      <w:highlight w:val="none"/>
                      <w14:textFill>
                        <w14:solidFill>
                          <w14:schemeClr w14:val="tx1"/>
                        </w14:solidFill>
                      </w14:textFill>
                    </w:rPr>
                    <w:t>%含氧量</w:t>
                  </w:r>
                </w:p>
              </w:tc>
            </w:tr>
            <w:tr w14:paraId="1FC5B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383" w:type="dxa"/>
                  <w:noWrap w:val="0"/>
                  <w:vAlign w:val="center"/>
                </w:tcPr>
                <w:p w14:paraId="68A240D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脱硫处理后SO</w:t>
                  </w:r>
                  <w:r>
                    <w:rPr>
                      <w:rFonts w:hint="default" w:ascii="Times New Roman" w:hAnsi="Times New Roman" w:eastAsia="宋体" w:cs="Times New Roman"/>
                      <w:color w:val="000000" w:themeColor="text1"/>
                      <w:szCs w:val="24"/>
                      <w:highlight w:val="none"/>
                      <w:vertAlign w:val="subscript"/>
                      <w14:textFill>
                        <w14:solidFill>
                          <w14:schemeClr w14:val="tx1"/>
                        </w14:solidFill>
                      </w14:textFill>
                    </w:rPr>
                    <w:t>2</w:t>
                  </w:r>
                  <w:r>
                    <w:rPr>
                      <w:rFonts w:hint="default" w:ascii="Times New Roman" w:hAnsi="Times New Roman" w:eastAsia="宋体" w:cs="Times New Roman"/>
                      <w:color w:val="000000" w:themeColor="text1"/>
                      <w:szCs w:val="24"/>
                      <w:highlight w:val="none"/>
                      <w14:textFill>
                        <w14:solidFill>
                          <w14:schemeClr w14:val="tx1"/>
                        </w14:solidFill>
                      </w14:textFill>
                    </w:rPr>
                    <w:t>浓度</w:t>
                  </w:r>
                </w:p>
              </w:tc>
              <w:tc>
                <w:tcPr>
                  <w:tcW w:w="1417" w:type="dxa"/>
                  <w:noWrap w:val="0"/>
                  <w:vAlign w:val="center"/>
                </w:tcPr>
                <w:p w14:paraId="3AA73935">
                  <w:pPr>
                    <w:keepNext w:val="0"/>
                    <w:keepLines w:val="0"/>
                    <w:pageBreakBefore w:val="0"/>
                    <w:widowControl w:val="0"/>
                    <w:tabs>
                      <w:tab w:val="left" w:pos="0"/>
                    </w:tabs>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Cs w:val="20"/>
                      <w:highlight w:val="none"/>
                      <w14:textFill>
                        <w14:solidFill>
                          <w14:schemeClr w14:val="tx1"/>
                        </w14:solidFill>
                      </w14:textFill>
                    </w:rPr>
                  </w:pPr>
                  <w:r>
                    <w:rPr>
                      <w:rFonts w:hint="default" w:ascii="Times New Roman" w:hAnsi="Times New Roman" w:eastAsia="宋体" w:cs="Times New Roman"/>
                      <w:color w:val="000000" w:themeColor="text1"/>
                      <w:kern w:val="0"/>
                      <w:szCs w:val="20"/>
                      <w:highlight w:val="none"/>
                      <w14:textFill>
                        <w14:solidFill>
                          <w14:schemeClr w14:val="tx1"/>
                        </w14:solidFill>
                      </w14:textFill>
                    </w:rPr>
                    <w:t>mg/m</w:t>
                  </w:r>
                  <w:r>
                    <w:rPr>
                      <w:rFonts w:hint="default" w:ascii="Times New Roman" w:hAnsi="Times New Roman" w:eastAsia="宋体" w:cs="Times New Roman"/>
                      <w:color w:val="000000" w:themeColor="text1"/>
                      <w:kern w:val="0"/>
                      <w:szCs w:val="20"/>
                      <w:highlight w:val="none"/>
                      <w:vertAlign w:val="superscript"/>
                      <w14:textFill>
                        <w14:solidFill>
                          <w14:schemeClr w14:val="tx1"/>
                        </w14:solidFill>
                      </w14:textFill>
                    </w:rPr>
                    <w:t>3</w:t>
                  </w:r>
                </w:p>
              </w:tc>
              <w:tc>
                <w:tcPr>
                  <w:tcW w:w="1481" w:type="dxa"/>
                  <w:noWrap w:val="0"/>
                  <w:vAlign w:val="center"/>
                </w:tcPr>
                <w:p w14:paraId="5307451D">
                  <w:pPr>
                    <w:keepNext w:val="0"/>
                    <w:keepLines w:val="0"/>
                    <w:pageBreakBefore w:val="0"/>
                    <w:widowControl w:val="0"/>
                    <w:tabs>
                      <w:tab w:val="left" w:pos="0"/>
                    </w:tabs>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kern w:val="0"/>
                      <w:szCs w:val="20"/>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Cs w:val="20"/>
                      <w:highlight w:val="none"/>
                      <w14:textFill>
                        <w14:solidFill>
                          <w14:schemeClr w14:val="tx1"/>
                        </w14:solidFill>
                      </w14:textFill>
                    </w:rPr>
                    <w:t>＜</w:t>
                  </w:r>
                  <w:r>
                    <w:rPr>
                      <w:rFonts w:hint="default" w:ascii="Times New Roman" w:hAnsi="Times New Roman" w:cs="Times New Roman"/>
                      <w:b w:val="0"/>
                      <w:bCs w:val="0"/>
                      <w:color w:val="000000" w:themeColor="text1"/>
                      <w:kern w:val="0"/>
                      <w:szCs w:val="20"/>
                      <w:highlight w:val="none"/>
                      <w:lang w:val="en-US" w:eastAsia="zh-CN"/>
                      <w14:textFill>
                        <w14:solidFill>
                          <w14:schemeClr w14:val="tx1"/>
                        </w14:solidFill>
                      </w14:textFill>
                    </w:rPr>
                    <w:t>50</w:t>
                  </w:r>
                </w:p>
              </w:tc>
              <w:tc>
                <w:tcPr>
                  <w:tcW w:w="3137" w:type="dxa"/>
                  <w:noWrap w:val="0"/>
                  <w:vAlign w:val="center"/>
                </w:tcPr>
                <w:p w14:paraId="74489BF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出口控制值（</w:t>
                  </w:r>
                  <w:r>
                    <w:rPr>
                      <w:rFonts w:hint="default" w:ascii="Times New Roman" w:hAnsi="Times New Roman" w:cs="Times New Roman"/>
                      <w:color w:val="000000" w:themeColor="text1"/>
                      <w:szCs w:val="24"/>
                      <w:highlight w:val="none"/>
                      <w:lang w:val="en-US" w:eastAsia="zh-CN"/>
                      <w14:textFill>
                        <w14:solidFill>
                          <w14:schemeClr w14:val="tx1"/>
                        </w14:solidFill>
                      </w14:textFill>
                    </w:rPr>
                    <w:t>16</w:t>
                  </w:r>
                  <w:r>
                    <w:rPr>
                      <w:rFonts w:hint="default" w:ascii="Times New Roman" w:hAnsi="Times New Roman" w:eastAsia="宋体" w:cs="Times New Roman"/>
                      <w:color w:val="000000" w:themeColor="text1"/>
                      <w:szCs w:val="24"/>
                      <w:highlight w:val="none"/>
                      <w14:textFill>
                        <w14:solidFill>
                          <w14:schemeClr w14:val="tx1"/>
                        </w14:solidFill>
                      </w14:textFill>
                    </w:rPr>
                    <w:t>%氧含量）</w:t>
                  </w:r>
                </w:p>
              </w:tc>
            </w:tr>
            <w:tr w14:paraId="0790B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383" w:type="dxa"/>
                  <w:noWrap w:val="0"/>
                  <w:vAlign w:val="center"/>
                </w:tcPr>
                <w:p w14:paraId="0FDB191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脱硫效率</w:t>
                  </w:r>
                </w:p>
              </w:tc>
              <w:tc>
                <w:tcPr>
                  <w:tcW w:w="1417" w:type="dxa"/>
                  <w:noWrap w:val="0"/>
                  <w:vAlign w:val="center"/>
                </w:tcPr>
                <w:p w14:paraId="75385FF7">
                  <w:pPr>
                    <w:keepNext w:val="0"/>
                    <w:keepLines w:val="0"/>
                    <w:pageBreakBefore w:val="0"/>
                    <w:widowControl w:val="0"/>
                    <w:tabs>
                      <w:tab w:val="left" w:pos="0"/>
                    </w:tabs>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Cs w:val="20"/>
                      <w:highlight w:val="none"/>
                      <w14:textFill>
                        <w14:solidFill>
                          <w14:schemeClr w14:val="tx1"/>
                        </w14:solidFill>
                      </w14:textFill>
                    </w:rPr>
                  </w:pPr>
                  <w:r>
                    <w:rPr>
                      <w:rFonts w:hint="default" w:ascii="Times New Roman" w:hAnsi="Times New Roman" w:eastAsia="宋体" w:cs="Times New Roman"/>
                      <w:color w:val="000000" w:themeColor="text1"/>
                      <w:kern w:val="0"/>
                      <w:szCs w:val="20"/>
                      <w:highlight w:val="none"/>
                      <w14:textFill>
                        <w14:solidFill>
                          <w14:schemeClr w14:val="tx1"/>
                        </w14:solidFill>
                      </w14:textFill>
                    </w:rPr>
                    <w:t>%</w:t>
                  </w:r>
                </w:p>
              </w:tc>
              <w:tc>
                <w:tcPr>
                  <w:tcW w:w="1481" w:type="dxa"/>
                  <w:noWrap w:val="0"/>
                  <w:vAlign w:val="center"/>
                </w:tcPr>
                <w:p w14:paraId="5E69F704">
                  <w:pPr>
                    <w:keepNext w:val="0"/>
                    <w:keepLines w:val="0"/>
                    <w:pageBreakBefore w:val="0"/>
                    <w:widowControl w:val="0"/>
                    <w:tabs>
                      <w:tab w:val="left" w:pos="0"/>
                    </w:tabs>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kern w:val="0"/>
                      <w:szCs w:val="20"/>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Cs w:val="20"/>
                      <w:highlight w:val="none"/>
                      <w:lang w:eastAsia="zh-CN"/>
                      <w14:textFill>
                        <w14:solidFill>
                          <w14:schemeClr w14:val="tx1"/>
                        </w14:solidFill>
                      </w14:textFill>
                    </w:rPr>
                    <w:t>&gt;</w:t>
                  </w:r>
                  <w:r>
                    <w:rPr>
                      <w:rFonts w:hint="default" w:ascii="Times New Roman" w:hAnsi="Times New Roman" w:eastAsia="宋体" w:cs="Times New Roman"/>
                      <w:b w:val="0"/>
                      <w:bCs w:val="0"/>
                      <w:color w:val="000000" w:themeColor="text1"/>
                      <w:kern w:val="0"/>
                      <w:szCs w:val="20"/>
                      <w:highlight w:val="none"/>
                      <w14:textFill>
                        <w14:solidFill>
                          <w14:schemeClr w14:val="tx1"/>
                        </w14:solidFill>
                      </w14:textFill>
                    </w:rPr>
                    <w:t>9</w:t>
                  </w:r>
                  <w:r>
                    <w:rPr>
                      <w:rFonts w:hint="default" w:ascii="Times New Roman" w:hAnsi="Times New Roman" w:cs="Times New Roman"/>
                      <w:b w:val="0"/>
                      <w:bCs w:val="0"/>
                      <w:color w:val="000000" w:themeColor="text1"/>
                      <w:kern w:val="0"/>
                      <w:szCs w:val="20"/>
                      <w:highlight w:val="none"/>
                      <w:lang w:val="en-US" w:eastAsia="zh-CN"/>
                      <w14:textFill>
                        <w14:solidFill>
                          <w14:schemeClr w14:val="tx1"/>
                        </w14:solidFill>
                      </w14:textFill>
                    </w:rPr>
                    <w:t>3.4</w:t>
                  </w:r>
                </w:p>
              </w:tc>
              <w:tc>
                <w:tcPr>
                  <w:tcW w:w="3137" w:type="dxa"/>
                  <w:noWrap w:val="0"/>
                  <w:vAlign w:val="center"/>
                </w:tcPr>
                <w:p w14:paraId="1657912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Cs w:val="24"/>
                      <w:highlight w:val="none"/>
                      <w14:textFill>
                        <w14:solidFill>
                          <w14:schemeClr w14:val="tx1"/>
                        </w14:solidFill>
                      </w14:textFill>
                    </w:rPr>
                  </w:pPr>
                </w:p>
              </w:tc>
            </w:tr>
            <w:tr w14:paraId="345BE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383" w:type="dxa"/>
                  <w:noWrap w:val="0"/>
                  <w:vAlign w:val="center"/>
                </w:tcPr>
                <w:p w14:paraId="427D8F1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出口烟气温度℃</w:t>
                  </w:r>
                </w:p>
              </w:tc>
              <w:tc>
                <w:tcPr>
                  <w:tcW w:w="1417" w:type="dxa"/>
                  <w:noWrap w:val="0"/>
                  <w:vAlign w:val="center"/>
                </w:tcPr>
                <w:p w14:paraId="087459A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w:t>
                  </w:r>
                </w:p>
              </w:tc>
              <w:tc>
                <w:tcPr>
                  <w:tcW w:w="1481" w:type="dxa"/>
                  <w:noWrap w:val="0"/>
                  <w:vAlign w:val="center"/>
                </w:tcPr>
                <w:p w14:paraId="4B975FD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val="0"/>
                      <w:color w:val="000000" w:themeColor="text1"/>
                      <w:szCs w:val="24"/>
                      <w:highlight w:val="none"/>
                      <w14:textFill>
                        <w14:solidFill>
                          <w14:schemeClr w14:val="tx1"/>
                        </w14:solidFill>
                      </w14:textFill>
                    </w:rPr>
                  </w:pPr>
                  <w:r>
                    <w:rPr>
                      <w:rFonts w:hint="default" w:ascii="Times New Roman" w:hAnsi="Times New Roman" w:eastAsia="宋体" w:cs="Times New Roman"/>
                      <w:b w:val="0"/>
                      <w:bCs w:val="0"/>
                      <w:color w:val="000000" w:themeColor="text1"/>
                      <w:szCs w:val="24"/>
                      <w:highlight w:val="none"/>
                      <w14:textFill>
                        <w14:solidFill>
                          <w14:schemeClr w14:val="tx1"/>
                        </w14:solidFill>
                      </w14:textFill>
                    </w:rPr>
                    <w:t>~50℃</w:t>
                  </w:r>
                </w:p>
              </w:tc>
              <w:tc>
                <w:tcPr>
                  <w:tcW w:w="3137" w:type="dxa"/>
                  <w:noWrap w:val="0"/>
                  <w:vAlign w:val="center"/>
                </w:tcPr>
                <w:p w14:paraId="0D62A79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Cs w:val="24"/>
                      <w:highlight w:val="none"/>
                      <w14:textFill>
                        <w14:solidFill>
                          <w14:schemeClr w14:val="tx1"/>
                        </w14:solidFill>
                      </w14:textFill>
                    </w:rPr>
                  </w:pPr>
                </w:p>
              </w:tc>
            </w:tr>
            <w:tr w14:paraId="406D9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383" w:type="dxa"/>
                  <w:noWrap w:val="0"/>
                  <w:vAlign w:val="center"/>
                </w:tcPr>
                <w:p w14:paraId="333BE0E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烟气流速m/s</w:t>
                  </w:r>
                </w:p>
              </w:tc>
              <w:tc>
                <w:tcPr>
                  <w:tcW w:w="1417" w:type="dxa"/>
                  <w:noWrap w:val="0"/>
                  <w:vAlign w:val="center"/>
                </w:tcPr>
                <w:p w14:paraId="70ED9EF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m/s</w:t>
                  </w:r>
                </w:p>
              </w:tc>
              <w:tc>
                <w:tcPr>
                  <w:tcW w:w="1481" w:type="dxa"/>
                  <w:noWrap w:val="0"/>
                  <w:vAlign w:val="center"/>
                </w:tcPr>
                <w:p w14:paraId="4A70BE94">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val="0"/>
                      <w:color w:val="000000" w:themeColor="text1"/>
                      <w:szCs w:val="24"/>
                      <w:highlight w:val="none"/>
                      <w14:textFill>
                        <w14:solidFill>
                          <w14:schemeClr w14:val="tx1"/>
                        </w14:solidFill>
                      </w14:textFill>
                    </w:rPr>
                  </w:pPr>
                  <w:r>
                    <w:rPr>
                      <w:rFonts w:hint="default" w:ascii="Times New Roman" w:hAnsi="Times New Roman" w:eastAsia="宋体" w:cs="Times New Roman"/>
                      <w:b w:val="0"/>
                      <w:bCs w:val="0"/>
                      <w:color w:val="000000" w:themeColor="text1"/>
                      <w:szCs w:val="24"/>
                      <w:highlight w:val="none"/>
                      <w14:textFill>
                        <w14:solidFill>
                          <w14:schemeClr w14:val="tx1"/>
                        </w14:solidFill>
                      </w14:textFill>
                    </w:rPr>
                    <w:t>~4</w:t>
                  </w:r>
                </w:p>
              </w:tc>
              <w:tc>
                <w:tcPr>
                  <w:tcW w:w="3137" w:type="dxa"/>
                  <w:noWrap w:val="0"/>
                  <w:vAlign w:val="center"/>
                </w:tcPr>
                <w:p w14:paraId="17089D5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Cs w:val="24"/>
                      <w:highlight w:val="none"/>
                      <w14:textFill>
                        <w14:solidFill>
                          <w14:schemeClr w14:val="tx1"/>
                        </w14:solidFill>
                      </w14:textFill>
                    </w:rPr>
                  </w:pPr>
                </w:p>
              </w:tc>
            </w:tr>
            <w:tr w14:paraId="5F43D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383" w:type="dxa"/>
                  <w:noWrap w:val="0"/>
                  <w:vAlign w:val="center"/>
                </w:tcPr>
                <w:p w14:paraId="24B3819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化学计量比</w:t>
                  </w:r>
                </w:p>
              </w:tc>
              <w:tc>
                <w:tcPr>
                  <w:tcW w:w="1417" w:type="dxa"/>
                  <w:noWrap w:val="0"/>
                  <w:vAlign w:val="center"/>
                </w:tcPr>
                <w:p w14:paraId="5F88D26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cs="Times New Roman"/>
                      <w:color w:val="000000" w:themeColor="text1"/>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Cs w:val="24"/>
                      <w:highlight w:val="none"/>
                      <w14:textFill>
                        <w14:solidFill>
                          <w14:schemeClr w14:val="tx1"/>
                        </w14:solidFill>
                      </w14:textFill>
                    </w:rPr>
                    <w:t>mol/mol</w:t>
                  </w:r>
                  <w:r>
                    <w:rPr>
                      <w:rFonts w:hint="default" w:ascii="Times New Roman" w:hAnsi="Times New Roman" w:cs="Times New Roman"/>
                      <w:color w:val="000000" w:themeColor="text1"/>
                      <w:szCs w:val="24"/>
                      <w:highlight w:val="none"/>
                      <w:lang w:eastAsia="zh-CN"/>
                      <w14:textFill>
                        <w14:solidFill>
                          <w14:schemeClr w14:val="tx1"/>
                        </w14:solidFill>
                      </w14:textFill>
                    </w:rPr>
                    <w:t>)</w:t>
                  </w:r>
                </w:p>
              </w:tc>
              <w:tc>
                <w:tcPr>
                  <w:tcW w:w="1481" w:type="dxa"/>
                  <w:noWrap w:val="0"/>
                  <w:vAlign w:val="center"/>
                </w:tcPr>
                <w:p w14:paraId="2B0164E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val="0"/>
                      <w:color w:val="000000" w:themeColor="text1"/>
                      <w:szCs w:val="24"/>
                      <w:highlight w:val="none"/>
                      <w14:textFill>
                        <w14:solidFill>
                          <w14:schemeClr w14:val="tx1"/>
                        </w14:solidFill>
                      </w14:textFill>
                    </w:rPr>
                  </w:pPr>
                  <w:r>
                    <w:rPr>
                      <w:rFonts w:hint="default" w:ascii="Times New Roman" w:hAnsi="Times New Roman" w:eastAsia="宋体" w:cs="Times New Roman"/>
                      <w:b w:val="0"/>
                      <w:bCs w:val="0"/>
                      <w:color w:val="000000" w:themeColor="text1"/>
                      <w:szCs w:val="24"/>
                      <w:highlight w:val="none"/>
                      <w14:textFill>
                        <w14:solidFill>
                          <w14:schemeClr w14:val="tx1"/>
                        </w14:solidFill>
                      </w14:textFill>
                    </w:rPr>
                    <w:t>1.5</w:t>
                  </w:r>
                </w:p>
              </w:tc>
              <w:tc>
                <w:tcPr>
                  <w:tcW w:w="3137" w:type="dxa"/>
                  <w:noWrap w:val="0"/>
                  <w:vAlign w:val="center"/>
                </w:tcPr>
                <w:p w14:paraId="33054B6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Cs w:val="24"/>
                      <w:highlight w:val="none"/>
                      <w14:textFill>
                        <w14:solidFill>
                          <w14:schemeClr w14:val="tx1"/>
                        </w14:solidFill>
                      </w14:textFill>
                    </w:rPr>
                  </w:pPr>
                </w:p>
              </w:tc>
            </w:tr>
            <w:tr w14:paraId="2E3A6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383" w:type="dxa"/>
                  <w:noWrap w:val="0"/>
                  <w:vAlign w:val="center"/>
                </w:tcPr>
                <w:p w14:paraId="5FE46F6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石灰石耗量</w:t>
                  </w:r>
                </w:p>
              </w:tc>
              <w:tc>
                <w:tcPr>
                  <w:tcW w:w="1417" w:type="dxa"/>
                  <w:noWrap w:val="0"/>
                  <w:vAlign w:val="center"/>
                </w:tcPr>
                <w:p w14:paraId="6B4E6D6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lang w:eastAsia="zh-CN"/>
                      <w14:textFill>
                        <w14:solidFill>
                          <w14:schemeClr w14:val="tx1"/>
                        </w14:solidFill>
                      </w14:textFill>
                    </w:rPr>
                    <w:t>kg</w:t>
                  </w:r>
                  <w:r>
                    <w:rPr>
                      <w:rFonts w:hint="default" w:ascii="Times New Roman" w:hAnsi="Times New Roman" w:eastAsia="宋体" w:cs="Times New Roman"/>
                      <w:color w:val="000000" w:themeColor="text1"/>
                      <w:szCs w:val="24"/>
                      <w:highlight w:val="none"/>
                      <w14:textFill>
                        <w14:solidFill>
                          <w14:schemeClr w14:val="tx1"/>
                        </w14:solidFill>
                      </w14:textFill>
                    </w:rPr>
                    <w:t>/h</w:t>
                  </w:r>
                </w:p>
              </w:tc>
              <w:tc>
                <w:tcPr>
                  <w:tcW w:w="1481" w:type="dxa"/>
                  <w:noWrap w:val="0"/>
                  <w:vAlign w:val="center"/>
                </w:tcPr>
                <w:p w14:paraId="3656552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val="0"/>
                      <w:color w:val="000000" w:themeColor="text1"/>
                      <w:szCs w:val="24"/>
                      <w:highlight w:val="none"/>
                      <w14:textFill>
                        <w14:solidFill>
                          <w14:schemeClr w14:val="tx1"/>
                        </w14:solidFill>
                      </w14:textFill>
                    </w:rPr>
                  </w:pPr>
                  <w:r>
                    <w:rPr>
                      <w:rFonts w:hint="default" w:ascii="Times New Roman" w:hAnsi="Times New Roman" w:eastAsia="宋体" w:cs="Times New Roman"/>
                      <w:b w:val="0"/>
                      <w:bCs w:val="0"/>
                      <w:color w:val="000000" w:themeColor="text1"/>
                      <w:szCs w:val="24"/>
                      <w:highlight w:val="none"/>
                      <w14:textFill>
                        <w14:solidFill>
                          <w14:schemeClr w14:val="tx1"/>
                        </w14:solidFill>
                      </w14:textFill>
                    </w:rPr>
                    <w:t>590</w:t>
                  </w:r>
                </w:p>
              </w:tc>
              <w:tc>
                <w:tcPr>
                  <w:tcW w:w="3137" w:type="dxa"/>
                  <w:noWrap w:val="0"/>
                  <w:vAlign w:val="center"/>
                </w:tcPr>
                <w:p w14:paraId="01E6092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Cs w:val="24"/>
                      <w:highlight w:val="none"/>
                      <w14:textFill>
                        <w14:solidFill>
                          <w14:schemeClr w14:val="tx1"/>
                        </w14:solidFill>
                      </w14:textFill>
                    </w:rPr>
                  </w:pPr>
                </w:p>
              </w:tc>
            </w:tr>
            <w:bookmarkEnd w:id="4"/>
          </w:tbl>
          <w:p w14:paraId="66579F67">
            <w:pPr>
              <w:jc w:val="cente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14:textFill>
                  <w14:solidFill>
                    <w14:schemeClr w14:val="tx1"/>
                  </w14:solidFill>
                </w14:textFill>
              </w:rPr>
              <w:t>表</w:t>
            </w: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2</w:t>
            </w:r>
            <w:r>
              <w:rPr>
                <w:rFonts w:hint="default" w:ascii="Times New Roman" w:hAnsi="Times New Roman" w:eastAsia="宋体" w:cs="Times New Roman"/>
                <w:b/>
                <w:bCs/>
                <w:color w:val="000000" w:themeColor="text1"/>
                <w:sz w:val="24"/>
                <w:szCs w:val="24"/>
                <w:highlight w:val="none"/>
                <w14:textFill>
                  <w14:solidFill>
                    <w14:schemeClr w14:val="tx1"/>
                  </w14:solidFill>
                </w14:textFill>
              </w:rPr>
              <w:t>-</w:t>
            </w: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13</w:t>
            </w:r>
            <w:r>
              <w:rPr>
                <w:rFonts w:hint="default" w:ascii="Times New Roman" w:hAnsi="Times New Roman" w:eastAsia="宋体" w:cs="Times New Roman"/>
                <w:b/>
                <w:bCs/>
                <w:color w:val="000000" w:themeColor="text1"/>
                <w:sz w:val="24"/>
                <w:szCs w:val="24"/>
                <w:highlight w:val="none"/>
                <w14:textFill>
                  <w14:solidFill>
                    <w14:schemeClr w14:val="tx1"/>
                  </w14:solidFill>
                </w14:textFill>
              </w:rPr>
              <w:t>检修设备表</w:t>
            </w:r>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2" w:type="dxa"/>
                <w:bottom w:w="0" w:type="dxa"/>
                <w:right w:w="102" w:type="dxa"/>
              </w:tblCellMar>
            </w:tblPr>
            <w:tblGrid>
              <w:gridCol w:w="672"/>
              <w:gridCol w:w="1541"/>
              <w:gridCol w:w="1403"/>
              <w:gridCol w:w="1844"/>
              <w:gridCol w:w="709"/>
              <w:gridCol w:w="2210"/>
            </w:tblGrid>
            <w:tr w14:paraId="3FA0C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2" w:type="dxa"/>
                  <w:bottom w:w="0" w:type="dxa"/>
                  <w:right w:w="102" w:type="dxa"/>
                </w:tblCellMar>
              </w:tblPrEx>
              <w:trPr>
                <w:tblHeader/>
                <w:jc w:val="center"/>
              </w:trPr>
              <w:tc>
                <w:tcPr>
                  <w:tcW w:w="401" w:type="pct"/>
                  <w:tcBorders>
                    <w:top w:val="single" w:color="auto" w:sz="4" w:space="0"/>
                    <w:left w:val="single" w:color="auto" w:sz="4" w:space="0"/>
                    <w:bottom w:val="single" w:color="auto" w:sz="4" w:space="0"/>
                    <w:right w:val="single" w:color="auto" w:sz="4" w:space="0"/>
                  </w:tcBorders>
                  <w:noWrap w:val="0"/>
                  <w:vAlign w:val="center"/>
                </w:tcPr>
                <w:p w14:paraId="442EBDB3">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序号</w:t>
                  </w:r>
                </w:p>
              </w:tc>
              <w:tc>
                <w:tcPr>
                  <w:tcW w:w="919" w:type="pct"/>
                  <w:tcBorders>
                    <w:top w:val="single" w:color="auto" w:sz="4" w:space="0"/>
                    <w:left w:val="single" w:color="auto" w:sz="4" w:space="0"/>
                    <w:bottom w:val="single" w:color="auto" w:sz="4" w:space="0"/>
                    <w:right w:val="single" w:color="auto" w:sz="4" w:space="0"/>
                  </w:tcBorders>
                  <w:noWrap w:val="0"/>
                  <w:vAlign w:val="center"/>
                </w:tcPr>
                <w:p w14:paraId="23637B82">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车间名称</w:t>
                  </w:r>
                </w:p>
              </w:tc>
              <w:tc>
                <w:tcPr>
                  <w:tcW w:w="837" w:type="pct"/>
                  <w:tcBorders>
                    <w:top w:val="single" w:color="auto" w:sz="4" w:space="0"/>
                    <w:left w:val="single" w:color="auto" w:sz="4" w:space="0"/>
                    <w:bottom w:val="single" w:color="auto" w:sz="4" w:space="0"/>
                    <w:right w:val="single" w:color="auto" w:sz="4" w:space="0"/>
                  </w:tcBorders>
                  <w:noWrap w:val="0"/>
                  <w:vAlign w:val="center"/>
                </w:tcPr>
                <w:p w14:paraId="315937EA">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设备名称</w:t>
                  </w:r>
                </w:p>
              </w:tc>
              <w:tc>
                <w:tcPr>
                  <w:tcW w:w="1100" w:type="pct"/>
                  <w:tcBorders>
                    <w:top w:val="single" w:color="auto" w:sz="4" w:space="0"/>
                    <w:left w:val="single" w:color="auto" w:sz="4" w:space="0"/>
                    <w:bottom w:val="single" w:color="auto" w:sz="4" w:space="0"/>
                    <w:right w:val="single" w:color="auto" w:sz="4" w:space="0"/>
                  </w:tcBorders>
                  <w:noWrap w:val="0"/>
                  <w:vAlign w:val="center"/>
                </w:tcPr>
                <w:p w14:paraId="046C007E">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型号、规格</w:t>
                  </w:r>
                </w:p>
              </w:tc>
              <w:tc>
                <w:tcPr>
                  <w:tcW w:w="423" w:type="pct"/>
                  <w:tcBorders>
                    <w:top w:val="single" w:color="auto" w:sz="4" w:space="0"/>
                    <w:left w:val="single" w:color="auto" w:sz="4" w:space="0"/>
                    <w:bottom w:val="single" w:color="auto" w:sz="4" w:space="0"/>
                    <w:right w:val="single" w:color="auto" w:sz="4" w:space="0"/>
                  </w:tcBorders>
                  <w:noWrap w:val="0"/>
                  <w:vAlign w:val="center"/>
                </w:tcPr>
                <w:p w14:paraId="6DED4373">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台数</w:t>
                  </w:r>
                </w:p>
              </w:tc>
              <w:tc>
                <w:tcPr>
                  <w:tcW w:w="1318" w:type="pct"/>
                  <w:tcBorders>
                    <w:top w:val="single" w:color="auto" w:sz="4" w:space="0"/>
                    <w:left w:val="single" w:color="auto" w:sz="4" w:space="0"/>
                    <w:bottom w:val="single" w:color="auto" w:sz="4" w:space="0"/>
                    <w:right w:val="single" w:color="auto" w:sz="4" w:space="0"/>
                  </w:tcBorders>
                  <w:noWrap w:val="0"/>
                  <w:vAlign w:val="center"/>
                </w:tcPr>
                <w:p w14:paraId="3B50CFF1">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备注</w:t>
                  </w:r>
                </w:p>
              </w:tc>
            </w:tr>
            <w:tr w14:paraId="73389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2" w:type="dxa"/>
                  <w:bottom w:w="0" w:type="dxa"/>
                  <w:right w:w="102" w:type="dxa"/>
                </w:tblCellMar>
              </w:tblPrEx>
              <w:trPr>
                <w:jc w:val="center"/>
              </w:trPr>
              <w:tc>
                <w:tcPr>
                  <w:tcW w:w="401" w:type="pct"/>
                  <w:vMerge w:val="restart"/>
                  <w:tcBorders>
                    <w:top w:val="single" w:color="auto" w:sz="4" w:space="0"/>
                    <w:left w:val="single" w:color="auto" w:sz="4" w:space="0"/>
                    <w:bottom w:val="single" w:color="auto" w:sz="4" w:space="0"/>
                    <w:right w:val="single" w:color="auto" w:sz="4" w:space="0"/>
                  </w:tcBorders>
                  <w:noWrap w:val="0"/>
                  <w:vAlign w:val="center"/>
                </w:tcPr>
                <w:p w14:paraId="588761EE">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w:t>
                  </w:r>
                </w:p>
              </w:tc>
              <w:tc>
                <w:tcPr>
                  <w:tcW w:w="919" w:type="pct"/>
                  <w:vMerge w:val="restart"/>
                  <w:tcBorders>
                    <w:top w:val="single" w:color="auto" w:sz="4" w:space="0"/>
                    <w:left w:val="single" w:color="auto" w:sz="4" w:space="0"/>
                    <w:bottom w:val="single" w:color="auto" w:sz="4" w:space="0"/>
                    <w:right w:val="single" w:color="auto" w:sz="4" w:space="0"/>
                  </w:tcBorders>
                  <w:noWrap w:val="0"/>
                  <w:vAlign w:val="center"/>
                </w:tcPr>
                <w:p w14:paraId="5ED8556F">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煅烧窑尾</w:t>
                  </w:r>
                </w:p>
              </w:tc>
              <w:tc>
                <w:tcPr>
                  <w:tcW w:w="837" w:type="pct"/>
                  <w:tcBorders>
                    <w:top w:val="single" w:color="auto" w:sz="4" w:space="0"/>
                    <w:left w:val="single" w:color="auto" w:sz="4" w:space="0"/>
                    <w:bottom w:val="single" w:color="auto" w:sz="4" w:space="0"/>
                    <w:right w:val="single" w:color="auto" w:sz="4" w:space="0"/>
                  </w:tcBorders>
                  <w:noWrap w:val="0"/>
                  <w:vAlign w:val="center"/>
                </w:tcPr>
                <w:p w14:paraId="631AF350">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电动葫芦</w:t>
                  </w:r>
                </w:p>
              </w:tc>
              <w:tc>
                <w:tcPr>
                  <w:tcW w:w="1100" w:type="pct"/>
                  <w:tcBorders>
                    <w:top w:val="single" w:color="auto" w:sz="4" w:space="0"/>
                    <w:left w:val="single" w:color="auto" w:sz="4" w:space="0"/>
                    <w:bottom w:val="single" w:color="auto" w:sz="4" w:space="0"/>
                    <w:right w:val="single" w:color="auto" w:sz="4" w:space="0"/>
                  </w:tcBorders>
                  <w:noWrap w:val="0"/>
                  <w:vAlign w:val="center"/>
                </w:tcPr>
                <w:p w14:paraId="7BA7BD89">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CD3-15D</w:t>
                  </w:r>
                </w:p>
              </w:tc>
              <w:tc>
                <w:tcPr>
                  <w:tcW w:w="423" w:type="pct"/>
                  <w:tcBorders>
                    <w:top w:val="single" w:color="auto" w:sz="4" w:space="0"/>
                    <w:left w:val="single" w:color="auto" w:sz="4" w:space="0"/>
                    <w:bottom w:val="single" w:color="auto" w:sz="4" w:space="0"/>
                    <w:right w:val="single" w:color="auto" w:sz="4" w:space="0"/>
                  </w:tcBorders>
                  <w:noWrap w:val="0"/>
                  <w:vAlign w:val="center"/>
                </w:tcPr>
                <w:p w14:paraId="13C6AC29">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w:t>
                  </w:r>
                </w:p>
              </w:tc>
              <w:tc>
                <w:tcPr>
                  <w:tcW w:w="1318" w:type="pct"/>
                  <w:tcBorders>
                    <w:top w:val="single" w:color="auto" w:sz="4" w:space="0"/>
                    <w:left w:val="single" w:color="auto" w:sz="4" w:space="0"/>
                    <w:bottom w:val="single" w:color="auto" w:sz="4" w:space="0"/>
                    <w:right w:val="single" w:color="auto" w:sz="4" w:space="0"/>
                  </w:tcBorders>
                  <w:noWrap w:val="0"/>
                  <w:vAlign w:val="center"/>
                </w:tcPr>
                <w:p w14:paraId="4A26EB55">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提升机传动检修</w:t>
                  </w:r>
                </w:p>
              </w:tc>
            </w:tr>
            <w:tr w14:paraId="72D1A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2" w:type="dxa"/>
                  <w:bottom w:w="0" w:type="dxa"/>
                  <w:right w:w="102" w:type="dxa"/>
                </w:tblCellMar>
              </w:tblPrEx>
              <w:trPr>
                <w:jc w:val="center"/>
              </w:trPr>
              <w:tc>
                <w:tcPr>
                  <w:tcW w:w="401" w:type="pct"/>
                  <w:vMerge w:val="continue"/>
                  <w:tcBorders>
                    <w:top w:val="single" w:color="auto" w:sz="4" w:space="0"/>
                    <w:left w:val="single" w:color="auto" w:sz="4" w:space="0"/>
                    <w:bottom w:val="single" w:color="auto" w:sz="4" w:space="0"/>
                    <w:right w:val="single" w:color="auto" w:sz="4" w:space="0"/>
                  </w:tcBorders>
                  <w:noWrap w:val="0"/>
                  <w:vAlign w:val="center"/>
                </w:tcPr>
                <w:p w14:paraId="74113CE1">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19" w:type="pct"/>
                  <w:vMerge w:val="continue"/>
                  <w:tcBorders>
                    <w:top w:val="single" w:color="auto" w:sz="4" w:space="0"/>
                    <w:left w:val="single" w:color="auto" w:sz="4" w:space="0"/>
                    <w:bottom w:val="single" w:color="auto" w:sz="4" w:space="0"/>
                    <w:right w:val="single" w:color="auto" w:sz="4" w:space="0"/>
                  </w:tcBorders>
                  <w:noWrap w:val="0"/>
                  <w:vAlign w:val="center"/>
                </w:tcPr>
                <w:p w14:paraId="5F3F3F17">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83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57394366">
                  <w:pPr>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悬臂吊</w:t>
                  </w:r>
                </w:p>
              </w:tc>
              <w:tc>
                <w:tcPr>
                  <w:tcW w:w="1100"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F5D5FAC">
                  <w:pPr>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2t</w:t>
                  </w:r>
                  <w:r>
                    <w:rPr>
                      <w:rFonts w:hint="eastAsia" w:ascii="Times New Roman" w:hAnsi="Times New Roman"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85m</w:t>
                  </w:r>
                </w:p>
              </w:tc>
              <w:tc>
                <w:tcPr>
                  <w:tcW w:w="423"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059D09C">
                  <w:pPr>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w:t>
                  </w:r>
                </w:p>
              </w:tc>
              <w:tc>
                <w:tcPr>
                  <w:tcW w:w="131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BAC59F0">
                  <w:pPr>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设备检修及耐火材料</w:t>
                  </w:r>
                </w:p>
              </w:tc>
            </w:tr>
            <w:tr w14:paraId="22A97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2" w:type="dxa"/>
                  <w:bottom w:w="0" w:type="dxa"/>
                  <w:right w:w="102" w:type="dxa"/>
                </w:tblCellMar>
              </w:tblPrEx>
              <w:trPr>
                <w:jc w:val="center"/>
              </w:trPr>
              <w:tc>
                <w:tcPr>
                  <w:tcW w:w="401" w:type="pct"/>
                  <w:tcBorders>
                    <w:top w:val="single" w:color="auto" w:sz="4" w:space="0"/>
                    <w:left w:val="single" w:color="auto" w:sz="4" w:space="0"/>
                    <w:bottom w:val="single" w:color="auto" w:sz="4" w:space="0"/>
                    <w:right w:val="single" w:color="auto" w:sz="4" w:space="0"/>
                  </w:tcBorders>
                  <w:noWrap w:val="0"/>
                  <w:vAlign w:val="center"/>
                </w:tcPr>
                <w:p w14:paraId="65045A68">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w:t>
                  </w:r>
                </w:p>
              </w:tc>
              <w:tc>
                <w:tcPr>
                  <w:tcW w:w="919" w:type="pct"/>
                  <w:tcBorders>
                    <w:top w:val="single" w:color="auto" w:sz="4" w:space="0"/>
                    <w:left w:val="single" w:color="auto" w:sz="4" w:space="0"/>
                    <w:bottom w:val="single" w:color="auto" w:sz="4" w:space="0"/>
                    <w:right w:val="single" w:color="auto" w:sz="4" w:space="0"/>
                  </w:tcBorders>
                  <w:noWrap w:val="0"/>
                  <w:vAlign w:val="center"/>
                </w:tcPr>
                <w:p w14:paraId="4FA4939E">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煅烧废气处理</w:t>
                  </w:r>
                </w:p>
              </w:tc>
              <w:tc>
                <w:tcPr>
                  <w:tcW w:w="837" w:type="pct"/>
                  <w:tcBorders>
                    <w:top w:val="single" w:color="auto" w:sz="4" w:space="0"/>
                    <w:left w:val="single" w:color="auto" w:sz="4" w:space="0"/>
                    <w:bottom w:val="single" w:color="auto" w:sz="4" w:space="0"/>
                    <w:right w:val="single" w:color="auto" w:sz="4" w:space="0"/>
                  </w:tcBorders>
                  <w:noWrap w:val="0"/>
                  <w:vAlign w:val="center"/>
                </w:tcPr>
                <w:p w14:paraId="13C398BA">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电动葫芦</w:t>
                  </w:r>
                </w:p>
              </w:tc>
              <w:tc>
                <w:tcPr>
                  <w:tcW w:w="1100" w:type="pct"/>
                  <w:tcBorders>
                    <w:top w:val="single" w:color="auto" w:sz="4" w:space="0"/>
                    <w:left w:val="single" w:color="auto" w:sz="4" w:space="0"/>
                    <w:bottom w:val="single" w:color="auto" w:sz="4" w:space="0"/>
                    <w:right w:val="single" w:color="auto" w:sz="4" w:space="0"/>
                  </w:tcBorders>
                  <w:noWrap w:val="0"/>
                  <w:vAlign w:val="center"/>
                </w:tcPr>
                <w:p w14:paraId="2AB4754A">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CD3-24D</w:t>
                  </w:r>
                </w:p>
              </w:tc>
              <w:tc>
                <w:tcPr>
                  <w:tcW w:w="423" w:type="pct"/>
                  <w:tcBorders>
                    <w:top w:val="single" w:color="auto" w:sz="4" w:space="0"/>
                    <w:left w:val="single" w:color="auto" w:sz="4" w:space="0"/>
                    <w:bottom w:val="single" w:color="auto" w:sz="4" w:space="0"/>
                    <w:right w:val="single" w:color="auto" w:sz="4" w:space="0"/>
                  </w:tcBorders>
                  <w:noWrap w:val="0"/>
                  <w:vAlign w:val="center"/>
                </w:tcPr>
                <w:p w14:paraId="35F2D40A">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w:t>
                  </w:r>
                </w:p>
              </w:tc>
              <w:tc>
                <w:tcPr>
                  <w:tcW w:w="1318" w:type="pct"/>
                  <w:tcBorders>
                    <w:top w:val="single" w:color="auto" w:sz="4" w:space="0"/>
                    <w:left w:val="single" w:color="auto" w:sz="4" w:space="0"/>
                    <w:bottom w:val="single" w:color="auto" w:sz="4" w:space="0"/>
                    <w:right w:val="single" w:color="auto" w:sz="4" w:space="0"/>
                  </w:tcBorders>
                  <w:noWrap w:val="0"/>
                  <w:vAlign w:val="center"/>
                </w:tcPr>
                <w:p w14:paraId="22C88C15">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提升机传动检修</w:t>
                  </w:r>
                </w:p>
              </w:tc>
            </w:tr>
            <w:tr w14:paraId="04654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2" w:type="dxa"/>
                  <w:bottom w:w="0" w:type="dxa"/>
                  <w:right w:w="102" w:type="dxa"/>
                </w:tblCellMar>
              </w:tblPrEx>
              <w:trPr>
                <w:jc w:val="center"/>
              </w:trPr>
              <w:tc>
                <w:tcPr>
                  <w:tcW w:w="401" w:type="pct"/>
                  <w:vMerge w:val="restart"/>
                  <w:tcBorders>
                    <w:top w:val="single" w:color="auto" w:sz="4" w:space="0"/>
                    <w:left w:val="single" w:color="auto" w:sz="4" w:space="0"/>
                    <w:bottom w:val="single" w:color="auto" w:sz="4" w:space="0"/>
                    <w:right w:val="single" w:color="auto" w:sz="4" w:space="0"/>
                  </w:tcBorders>
                  <w:noWrap w:val="0"/>
                  <w:vAlign w:val="center"/>
                </w:tcPr>
                <w:p w14:paraId="3AB9A918">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3</w:t>
                  </w:r>
                </w:p>
              </w:tc>
              <w:tc>
                <w:tcPr>
                  <w:tcW w:w="919" w:type="pct"/>
                  <w:vMerge w:val="restart"/>
                  <w:tcBorders>
                    <w:top w:val="single" w:color="auto" w:sz="4" w:space="0"/>
                    <w:left w:val="single" w:color="auto" w:sz="4" w:space="0"/>
                    <w:bottom w:val="single" w:color="auto" w:sz="4" w:space="0"/>
                    <w:right w:val="single" w:color="auto" w:sz="4" w:space="0"/>
                  </w:tcBorders>
                  <w:noWrap w:val="0"/>
                  <w:vAlign w:val="center"/>
                </w:tcPr>
                <w:p w14:paraId="70A8F195">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高岭土冷却</w:t>
                  </w:r>
                </w:p>
              </w:tc>
              <w:tc>
                <w:tcPr>
                  <w:tcW w:w="837" w:type="pct"/>
                  <w:tcBorders>
                    <w:top w:val="single" w:color="auto" w:sz="4" w:space="0"/>
                    <w:left w:val="single" w:color="auto" w:sz="4" w:space="0"/>
                    <w:bottom w:val="single" w:color="auto" w:sz="4" w:space="0"/>
                    <w:right w:val="single" w:color="auto" w:sz="4" w:space="0"/>
                  </w:tcBorders>
                  <w:noWrap w:val="0"/>
                  <w:vAlign w:val="center"/>
                </w:tcPr>
                <w:p w14:paraId="3BE104F6">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电动葫芦</w:t>
                  </w:r>
                </w:p>
              </w:tc>
              <w:tc>
                <w:tcPr>
                  <w:tcW w:w="1100" w:type="pct"/>
                  <w:tcBorders>
                    <w:top w:val="single" w:color="auto" w:sz="4" w:space="0"/>
                    <w:left w:val="single" w:color="auto" w:sz="4" w:space="0"/>
                    <w:bottom w:val="single" w:color="auto" w:sz="4" w:space="0"/>
                    <w:right w:val="single" w:color="auto" w:sz="4" w:space="0"/>
                  </w:tcBorders>
                  <w:noWrap w:val="0"/>
                  <w:vAlign w:val="center"/>
                </w:tcPr>
                <w:p w14:paraId="338C0C73">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CD5-18D</w:t>
                  </w:r>
                </w:p>
              </w:tc>
              <w:tc>
                <w:tcPr>
                  <w:tcW w:w="423" w:type="pct"/>
                  <w:tcBorders>
                    <w:top w:val="single" w:color="auto" w:sz="4" w:space="0"/>
                    <w:left w:val="single" w:color="auto" w:sz="4" w:space="0"/>
                    <w:bottom w:val="single" w:color="auto" w:sz="4" w:space="0"/>
                    <w:right w:val="single" w:color="auto" w:sz="4" w:space="0"/>
                  </w:tcBorders>
                  <w:noWrap w:val="0"/>
                  <w:vAlign w:val="center"/>
                </w:tcPr>
                <w:p w14:paraId="406E1D69">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w:t>
                  </w:r>
                </w:p>
              </w:tc>
              <w:tc>
                <w:tcPr>
                  <w:tcW w:w="1318" w:type="pct"/>
                  <w:tcBorders>
                    <w:top w:val="single" w:color="auto" w:sz="4" w:space="0"/>
                    <w:left w:val="single" w:color="auto" w:sz="4" w:space="0"/>
                    <w:bottom w:val="single" w:color="auto" w:sz="4" w:space="0"/>
                    <w:right w:val="single" w:color="auto" w:sz="4" w:space="0"/>
                  </w:tcBorders>
                  <w:noWrap w:val="0"/>
                  <w:vAlign w:val="center"/>
                </w:tcPr>
                <w:p w14:paraId="33E02985">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起吊耐火材料</w:t>
                  </w:r>
                </w:p>
              </w:tc>
            </w:tr>
            <w:tr w14:paraId="56CEF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2" w:type="dxa"/>
                  <w:bottom w:w="0" w:type="dxa"/>
                  <w:right w:w="102" w:type="dxa"/>
                </w:tblCellMar>
              </w:tblPrEx>
              <w:trPr>
                <w:jc w:val="center"/>
              </w:trPr>
              <w:tc>
                <w:tcPr>
                  <w:tcW w:w="401" w:type="pct"/>
                  <w:vMerge w:val="continue"/>
                  <w:tcBorders>
                    <w:top w:val="single" w:color="auto" w:sz="4" w:space="0"/>
                    <w:left w:val="single" w:color="auto" w:sz="4" w:space="0"/>
                    <w:bottom w:val="single" w:color="auto" w:sz="4" w:space="0"/>
                    <w:right w:val="single" w:color="auto" w:sz="4" w:space="0"/>
                  </w:tcBorders>
                  <w:noWrap w:val="0"/>
                  <w:vAlign w:val="center"/>
                </w:tcPr>
                <w:p w14:paraId="24AFFDEF">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19" w:type="pct"/>
                  <w:vMerge w:val="continue"/>
                  <w:tcBorders>
                    <w:top w:val="single" w:color="auto" w:sz="4" w:space="0"/>
                    <w:left w:val="single" w:color="auto" w:sz="4" w:space="0"/>
                    <w:bottom w:val="single" w:color="auto" w:sz="4" w:space="0"/>
                    <w:right w:val="single" w:color="auto" w:sz="4" w:space="0"/>
                  </w:tcBorders>
                  <w:noWrap w:val="0"/>
                  <w:vAlign w:val="center"/>
                </w:tcPr>
                <w:p w14:paraId="6B15A548">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837" w:type="pct"/>
                  <w:tcBorders>
                    <w:top w:val="single" w:color="auto" w:sz="4" w:space="0"/>
                    <w:left w:val="single" w:color="auto" w:sz="4" w:space="0"/>
                    <w:bottom w:val="single" w:color="auto" w:sz="4" w:space="0"/>
                    <w:right w:val="single" w:color="auto" w:sz="4" w:space="0"/>
                  </w:tcBorders>
                  <w:noWrap w:val="0"/>
                  <w:vAlign w:val="center"/>
                </w:tcPr>
                <w:p w14:paraId="4C04E1AE">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电动葫芦</w:t>
                  </w:r>
                </w:p>
              </w:tc>
              <w:tc>
                <w:tcPr>
                  <w:tcW w:w="1100" w:type="pct"/>
                  <w:tcBorders>
                    <w:top w:val="single" w:color="auto" w:sz="4" w:space="0"/>
                    <w:left w:val="single" w:color="auto" w:sz="4" w:space="0"/>
                    <w:bottom w:val="single" w:color="auto" w:sz="4" w:space="0"/>
                    <w:right w:val="single" w:color="auto" w:sz="4" w:space="0"/>
                  </w:tcBorders>
                  <w:noWrap w:val="0"/>
                  <w:vAlign w:val="center"/>
                </w:tcPr>
                <w:p w14:paraId="3C58AFF3">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CD2-10D</w:t>
                  </w:r>
                </w:p>
              </w:tc>
              <w:tc>
                <w:tcPr>
                  <w:tcW w:w="423" w:type="pct"/>
                  <w:tcBorders>
                    <w:top w:val="single" w:color="auto" w:sz="4" w:space="0"/>
                    <w:left w:val="single" w:color="auto" w:sz="4" w:space="0"/>
                    <w:bottom w:val="single" w:color="auto" w:sz="4" w:space="0"/>
                    <w:right w:val="single" w:color="auto" w:sz="4" w:space="0"/>
                  </w:tcBorders>
                  <w:noWrap w:val="0"/>
                  <w:vAlign w:val="center"/>
                </w:tcPr>
                <w:p w14:paraId="1E9EC029">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w:t>
                  </w:r>
                </w:p>
              </w:tc>
              <w:tc>
                <w:tcPr>
                  <w:tcW w:w="1318" w:type="pct"/>
                  <w:tcBorders>
                    <w:top w:val="single" w:color="auto" w:sz="4" w:space="0"/>
                    <w:left w:val="single" w:color="auto" w:sz="4" w:space="0"/>
                    <w:bottom w:val="single" w:color="auto" w:sz="4" w:space="0"/>
                    <w:right w:val="single" w:color="auto" w:sz="4" w:space="0"/>
                  </w:tcBorders>
                  <w:noWrap w:val="0"/>
                  <w:vAlign w:val="center"/>
                </w:tcPr>
                <w:p w14:paraId="7B2E315C">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冷却风机检修</w:t>
                  </w:r>
                </w:p>
              </w:tc>
            </w:tr>
            <w:tr w14:paraId="13A66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2" w:type="dxa"/>
                  <w:bottom w:w="0" w:type="dxa"/>
                  <w:right w:w="102" w:type="dxa"/>
                </w:tblCellMar>
              </w:tblPrEx>
              <w:trPr>
                <w:jc w:val="center"/>
              </w:trPr>
              <w:tc>
                <w:tcPr>
                  <w:tcW w:w="401" w:type="pct"/>
                  <w:vMerge w:val="restart"/>
                  <w:tcBorders>
                    <w:top w:val="single" w:color="auto" w:sz="4" w:space="0"/>
                    <w:left w:val="single" w:color="auto" w:sz="4" w:space="0"/>
                    <w:bottom w:val="single" w:color="auto" w:sz="4" w:space="0"/>
                    <w:right w:val="single" w:color="auto" w:sz="4" w:space="0"/>
                  </w:tcBorders>
                  <w:noWrap w:val="0"/>
                  <w:vAlign w:val="center"/>
                </w:tcPr>
                <w:p w14:paraId="56938CC5">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4</w:t>
                  </w:r>
                </w:p>
              </w:tc>
              <w:tc>
                <w:tcPr>
                  <w:tcW w:w="919" w:type="pct"/>
                  <w:vMerge w:val="restart"/>
                  <w:tcBorders>
                    <w:top w:val="single" w:color="auto" w:sz="4" w:space="0"/>
                    <w:left w:val="single" w:color="auto" w:sz="4" w:space="0"/>
                    <w:bottom w:val="single" w:color="auto" w:sz="4" w:space="0"/>
                    <w:right w:val="single" w:color="auto" w:sz="4" w:space="0"/>
                  </w:tcBorders>
                  <w:noWrap w:val="0"/>
                  <w:vAlign w:val="center"/>
                </w:tcPr>
                <w:p w14:paraId="35B5EFAE">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高岭土粉磨</w:t>
                  </w:r>
                </w:p>
              </w:tc>
              <w:tc>
                <w:tcPr>
                  <w:tcW w:w="837" w:type="pct"/>
                  <w:tcBorders>
                    <w:top w:val="single" w:color="auto" w:sz="4" w:space="0"/>
                    <w:left w:val="single" w:color="auto" w:sz="4" w:space="0"/>
                    <w:bottom w:val="single" w:color="auto" w:sz="4" w:space="0"/>
                    <w:right w:val="single" w:color="auto" w:sz="4" w:space="0"/>
                  </w:tcBorders>
                  <w:noWrap w:val="0"/>
                  <w:vAlign w:val="center"/>
                </w:tcPr>
                <w:p w14:paraId="7CBC6A8D">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电动单梁桥式起重机</w:t>
                  </w:r>
                </w:p>
              </w:tc>
              <w:tc>
                <w:tcPr>
                  <w:tcW w:w="1100" w:type="pct"/>
                  <w:tcBorders>
                    <w:top w:val="single" w:color="auto" w:sz="4" w:space="0"/>
                    <w:left w:val="single" w:color="auto" w:sz="4" w:space="0"/>
                    <w:bottom w:val="single" w:color="auto" w:sz="4" w:space="0"/>
                    <w:right w:val="single" w:color="auto" w:sz="4" w:space="0"/>
                  </w:tcBorders>
                  <w:noWrap w:val="0"/>
                  <w:vAlign w:val="center"/>
                </w:tcPr>
                <w:p w14:paraId="6AB73E6A">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3t，跨度10m，</w:t>
                  </w:r>
                </w:p>
                <w:p w14:paraId="2C53FF28">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起升高度8m</w:t>
                  </w:r>
                </w:p>
              </w:tc>
              <w:tc>
                <w:tcPr>
                  <w:tcW w:w="423" w:type="pct"/>
                  <w:tcBorders>
                    <w:top w:val="single" w:color="auto" w:sz="4" w:space="0"/>
                    <w:left w:val="single" w:color="auto" w:sz="4" w:space="0"/>
                    <w:bottom w:val="single" w:color="auto" w:sz="4" w:space="0"/>
                    <w:right w:val="single" w:color="auto" w:sz="4" w:space="0"/>
                  </w:tcBorders>
                  <w:noWrap w:val="0"/>
                  <w:vAlign w:val="center"/>
                </w:tcPr>
                <w:p w14:paraId="3AD41AD1">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w:t>
                  </w:r>
                </w:p>
              </w:tc>
              <w:tc>
                <w:tcPr>
                  <w:tcW w:w="1318" w:type="pct"/>
                  <w:tcBorders>
                    <w:top w:val="single" w:color="auto" w:sz="4" w:space="0"/>
                    <w:left w:val="single" w:color="auto" w:sz="4" w:space="0"/>
                    <w:bottom w:val="single" w:color="auto" w:sz="4" w:space="0"/>
                    <w:right w:val="single" w:color="auto" w:sz="4" w:space="0"/>
                  </w:tcBorders>
                  <w:noWrap w:val="0"/>
                  <w:vAlign w:val="center"/>
                </w:tcPr>
                <w:p w14:paraId="3E2C37C9">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大袋包装起吊</w:t>
                  </w:r>
                </w:p>
              </w:tc>
            </w:tr>
            <w:tr w14:paraId="02442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2" w:type="dxa"/>
                  <w:bottom w:w="0" w:type="dxa"/>
                  <w:right w:w="102" w:type="dxa"/>
                </w:tblCellMar>
              </w:tblPrEx>
              <w:trPr>
                <w:jc w:val="center"/>
              </w:trPr>
              <w:tc>
                <w:tcPr>
                  <w:tcW w:w="401" w:type="pct"/>
                  <w:vMerge w:val="continue"/>
                  <w:tcBorders>
                    <w:top w:val="single" w:color="auto" w:sz="4" w:space="0"/>
                    <w:left w:val="single" w:color="auto" w:sz="4" w:space="0"/>
                    <w:bottom w:val="single" w:color="auto" w:sz="4" w:space="0"/>
                    <w:right w:val="single" w:color="auto" w:sz="4" w:space="0"/>
                  </w:tcBorders>
                  <w:noWrap w:val="0"/>
                  <w:vAlign w:val="center"/>
                </w:tcPr>
                <w:p w14:paraId="32C66CEF">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19" w:type="pct"/>
                  <w:vMerge w:val="continue"/>
                  <w:tcBorders>
                    <w:top w:val="single" w:color="auto" w:sz="4" w:space="0"/>
                    <w:left w:val="single" w:color="auto" w:sz="4" w:space="0"/>
                    <w:bottom w:val="single" w:color="auto" w:sz="4" w:space="0"/>
                    <w:right w:val="single" w:color="auto" w:sz="4" w:space="0"/>
                  </w:tcBorders>
                  <w:noWrap w:val="0"/>
                  <w:vAlign w:val="center"/>
                </w:tcPr>
                <w:p w14:paraId="5F9AC290">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837" w:type="pct"/>
                  <w:tcBorders>
                    <w:top w:val="single" w:color="auto" w:sz="4" w:space="0"/>
                    <w:left w:val="single" w:color="auto" w:sz="4" w:space="0"/>
                    <w:bottom w:val="single" w:color="auto" w:sz="4" w:space="0"/>
                    <w:right w:val="single" w:color="auto" w:sz="4" w:space="0"/>
                  </w:tcBorders>
                  <w:noWrap w:val="0"/>
                  <w:vAlign w:val="center"/>
                </w:tcPr>
                <w:p w14:paraId="675000F9">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电动葫芦</w:t>
                  </w:r>
                </w:p>
              </w:tc>
              <w:tc>
                <w:tcPr>
                  <w:tcW w:w="1100" w:type="pct"/>
                  <w:tcBorders>
                    <w:top w:val="single" w:color="auto" w:sz="4" w:space="0"/>
                    <w:left w:val="single" w:color="auto" w:sz="4" w:space="0"/>
                    <w:bottom w:val="single" w:color="auto" w:sz="4" w:space="0"/>
                    <w:right w:val="single" w:color="auto" w:sz="4" w:space="0"/>
                  </w:tcBorders>
                  <w:noWrap w:val="0"/>
                  <w:vAlign w:val="center"/>
                </w:tcPr>
                <w:p w14:paraId="6F26ABFE">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CD5-8D</w:t>
                  </w:r>
                </w:p>
              </w:tc>
              <w:tc>
                <w:tcPr>
                  <w:tcW w:w="423" w:type="pct"/>
                  <w:tcBorders>
                    <w:top w:val="single" w:color="auto" w:sz="4" w:space="0"/>
                    <w:left w:val="single" w:color="auto" w:sz="4" w:space="0"/>
                    <w:bottom w:val="single" w:color="auto" w:sz="4" w:space="0"/>
                    <w:right w:val="single" w:color="auto" w:sz="4" w:space="0"/>
                  </w:tcBorders>
                  <w:noWrap w:val="0"/>
                  <w:vAlign w:val="center"/>
                </w:tcPr>
                <w:p w14:paraId="4E0FEF6F">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w:t>
                  </w:r>
                </w:p>
              </w:tc>
              <w:tc>
                <w:tcPr>
                  <w:tcW w:w="1318" w:type="pct"/>
                  <w:tcBorders>
                    <w:top w:val="single" w:color="auto" w:sz="4" w:space="0"/>
                    <w:left w:val="single" w:color="auto" w:sz="4" w:space="0"/>
                    <w:bottom w:val="single" w:color="auto" w:sz="4" w:space="0"/>
                    <w:right w:val="single" w:color="auto" w:sz="4" w:space="0"/>
                  </w:tcBorders>
                  <w:noWrap w:val="0"/>
                  <w:vAlign w:val="center"/>
                </w:tcPr>
                <w:p w14:paraId="3DDB8370">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磨机装球</w:t>
                  </w:r>
                </w:p>
              </w:tc>
            </w:tr>
            <w:tr w14:paraId="57B1C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2" w:type="dxa"/>
                  <w:bottom w:w="0" w:type="dxa"/>
                  <w:right w:w="102" w:type="dxa"/>
                </w:tblCellMar>
              </w:tblPrEx>
              <w:trPr>
                <w:jc w:val="center"/>
              </w:trPr>
              <w:tc>
                <w:tcPr>
                  <w:tcW w:w="401" w:type="pct"/>
                  <w:vMerge w:val="continue"/>
                  <w:tcBorders>
                    <w:top w:val="single" w:color="auto" w:sz="4" w:space="0"/>
                    <w:left w:val="single" w:color="auto" w:sz="4" w:space="0"/>
                    <w:bottom w:val="single" w:color="auto" w:sz="4" w:space="0"/>
                    <w:right w:val="single" w:color="auto" w:sz="4" w:space="0"/>
                  </w:tcBorders>
                  <w:noWrap w:val="0"/>
                  <w:vAlign w:val="center"/>
                </w:tcPr>
                <w:p w14:paraId="1976331E">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19" w:type="pct"/>
                  <w:vMerge w:val="continue"/>
                  <w:tcBorders>
                    <w:top w:val="single" w:color="auto" w:sz="4" w:space="0"/>
                    <w:left w:val="single" w:color="auto" w:sz="4" w:space="0"/>
                    <w:bottom w:val="single" w:color="auto" w:sz="4" w:space="0"/>
                    <w:right w:val="single" w:color="auto" w:sz="4" w:space="0"/>
                  </w:tcBorders>
                  <w:noWrap w:val="0"/>
                  <w:vAlign w:val="center"/>
                </w:tcPr>
                <w:p w14:paraId="3A608A67">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837" w:type="pct"/>
                  <w:tcBorders>
                    <w:top w:val="single" w:color="auto" w:sz="4" w:space="0"/>
                    <w:left w:val="single" w:color="auto" w:sz="4" w:space="0"/>
                    <w:bottom w:val="single" w:color="auto" w:sz="4" w:space="0"/>
                    <w:right w:val="single" w:color="auto" w:sz="4" w:space="0"/>
                  </w:tcBorders>
                  <w:noWrap w:val="0"/>
                  <w:vAlign w:val="center"/>
                </w:tcPr>
                <w:p w14:paraId="12E7C2D3">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电动葫芦</w:t>
                  </w:r>
                </w:p>
              </w:tc>
              <w:tc>
                <w:tcPr>
                  <w:tcW w:w="1100" w:type="pct"/>
                  <w:tcBorders>
                    <w:top w:val="single" w:color="auto" w:sz="4" w:space="0"/>
                    <w:left w:val="single" w:color="auto" w:sz="4" w:space="0"/>
                    <w:bottom w:val="single" w:color="auto" w:sz="4" w:space="0"/>
                    <w:right w:val="single" w:color="auto" w:sz="4" w:space="0"/>
                  </w:tcBorders>
                  <w:noWrap w:val="0"/>
                  <w:vAlign w:val="center"/>
                </w:tcPr>
                <w:p w14:paraId="0B640253">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CD2-8D</w:t>
                  </w:r>
                </w:p>
              </w:tc>
              <w:tc>
                <w:tcPr>
                  <w:tcW w:w="423" w:type="pct"/>
                  <w:tcBorders>
                    <w:top w:val="single" w:color="auto" w:sz="4" w:space="0"/>
                    <w:left w:val="single" w:color="auto" w:sz="4" w:space="0"/>
                    <w:bottom w:val="single" w:color="auto" w:sz="4" w:space="0"/>
                    <w:right w:val="single" w:color="auto" w:sz="4" w:space="0"/>
                  </w:tcBorders>
                  <w:noWrap w:val="0"/>
                  <w:vAlign w:val="center"/>
                </w:tcPr>
                <w:p w14:paraId="7C301A79">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w:t>
                  </w:r>
                </w:p>
              </w:tc>
              <w:tc>
                <w:tcPr>
                  <w:tcW w:w="1318" w:type="pct"/>
                  <w:tcBorders>
                    <w:top w:val="single" w:color="auto" w:sz="4" w:space="0"/>
                    <w:left w:val="single" w:color="auto" w:sz="4" w:space="0"/>
                    <w:bottom w:val="single" w:color="auto" w:sz="4" w:space="0"/>
                    <w:right w:val="single" w:color="auto" w:sz="4" w:space="0"/>
                  </w:tcBorders>
                  <w:noWrap w:val="0"/>
                  <w:vAlign w:val="center"/>
                </w:tcPr>
                <w:p w14:paraId="6243CC10">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磨机检修</w:t>
                  </w:r>
                </w:p>
              </w:tc>
            </w:tr>
            <w:tr w14:paraId="4E096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2" w:type="dxa"/>
                  <w:bottom w:w="0" w:type="dxa"/>
                  <w:right w:w="102" w:type="dxa"/>
                </w:tblCellMar>
              </w:tblPrEx>
              <w:trPr>
                <w:jc w:val="center"/>
              </w:trPr>
              <w:tc>
                <w:tcPr>
                  <w:tcW w:w="401" w:type="pct"/>
                  <w:tcBorders>
                    <w:top w:val="single" w:color="auto" w:sz="4" w:space="0"/>
                    <w:left w:val="single" w:color="auto" w:sz="4" w:space="0"/>
                    <w:bottom w:val="single" w:color="auto" w:sz="4" w:space="0"/>
                    <w:right w:val="single" w:color="auto" w:sz="4" w:space="0"/>
                  </w:tcBorders>
                  <w:noWrap w:val="0"/>
                  <w:vAlign w:val="center"/>
                </w:tcPr>
                <w:p w14:paraId="413721FB">
                  <w:pPr>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5</w:t>
                  </w:r>
                </w:p>
              </w:tc>
              <w:tc>
                <w:tcPr>
                  <w:tcW w:w="919" w:type="pct"/>
                  <w:tcBorders>
                    <w:top w:val="single" w:color="auto" w:sz="4" w:space="0"/>
                    <w:left w:val="single" w:color="auto" w:sz="4" w:space="0"/>
                    <w:bottom w:val="single" w:color="auto" w:sz="4" w:space="0"/>
                    <w:right w:val="single" w:color="auto" w:sz="4" w:space="0"/>
                  </w:tcBorders>
                  <w:noWrap w:val="0"/>
                  <w:vAlign w:val="center"/>
                </w:tcPr>
                <w:p w14:paraId="1CE8C16C">
                  <w:pPr>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小袋包装</w:t>
                  </w:r>
                </w:p>
              </w:tc>
              <w:tc>
                <w:tcPr>
                  <w:tcW w:w="83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0216B62">
                  <w:pPr>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电动葫芦</w:t>
                  </w:r>
                </w:p>
              </w:tc>
              <w:tc>
                <w:tcPr>
                  <w:tcW w:w="1100"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FFFE51A">
                  <w:pPr>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CD2-1</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highlight w:val="none"/>
                      <w14:textFill>
                        <w14:solidFill>
                          <w14:schemeClr w14:val="tx1"/>
                        </w14:solidFill>
                      </w14:textFill>
                    </w:rPr>
                    <w:t>D</w:t>
                  </w:r>
                </w:p>
              </w:tc>
              <w:tc>
                <w:tcPr>
                  <w:tcW w:w="423"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FCCF5A0">
                  <w:pPr>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w:t>
                  </w:r>
                </w:p>
              </w:tc>
              <w:tc>
                <w:tcPr>
                  <w:tcW w:w="1318" w:type="pct"/>
                  <w:tcBorders>
                    <w:top w:val="single" w:color="auto" w:sz="4" w:space="0"/>
                    <w:left w:val="single" w:color="auto" w:sz="4" w:space="0"/>
                    <w:bottom w:val="single" w:color="auto" w:sz="4" w:space="0"/>
                    <w:right w:val="single" w:color="auto" w:sz="4" w:space="0"/>
                  </w:tcBorders>
                  <w:noWrap w:val="0"/>
                  <w:vAlign w:val="center"/>
                </w:tcPr>
                <w:p w14:paraId="38E8593F">
                  <w:pPr>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吊装纸袋</w:t>
                  </w:r>
                </w:p>
              </w:tc>
            </w:tr>
            <w:tr w14:paraId="24314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2" w:type="dxa"/>
                  <w:bottom w:w="0" w:type="dxa"/>
                  <w:right w:w="102" w:type="dxa"/>
                </w:tblCellMar>
              </w:tblPrEx>
              <w:trPr>
                <w:trHeight w:val="684" w:hRule="atLeast"/>
                <w:jc w:val="center"/>
              </w:trPr>
              <w:tc>
                <w:tcPr>
                  <w:tcW w:w="401" w:type="pct"/>
                  <w:tcBorders>
                    <w:top w:val="single" w:color="auto" w:sz="4" w:space="0"/>
                    <w:left w:val="single" w:color="auto" w:sz="4" w:space="0"/>
                    <w:bottom w:val="single" w:color="auto" w:sz="4" w:space="0"/>
                    <w:right w:val="single" w:color="auto" w:sz="4" w:space="0"/>
                  </w:tcBorders>
                  <w:noWrap w:val="0"/>
                  <w:vAlign w:val="center"/>
                </w:tcPr>
                <w:p w14:paraId="73DEFD4C">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5</w:t>
                  </w:r>
                </w:p>
              </w:tc>
              <w:tc>
                <w:tcPr>
                  <w:tcW w:w="919" w:type="pct"/>
                  <w:tcBorders>
                    <w:top w:val="single" w:color="auto" w:sz="4" w:space="0"/>
                    <w:left w:val="single" w:color="auto" w:sz="4" w:space="0"/>
                    <w:bottom w:val="single" w:color="auto" w:sz="4" w:space="0"/>
                    <w:right w:val="single" w:color="auto" w:sz="4" w:space="0"/>
                  </w:tcBorders>
                  <w:noWrap w:val="0"/>
                  <w:vAlign w:val="center"/>
                </w:tcPr>
                <w:p w14:paraId="299994D5">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空压机站</w:t>
                  </w:r>
                </w:p>
              </w:tc>
              <w:tc>
                <w:tcPr>
                  <w:tcW w:w="837" w:type="pct"/>
                  <w:tcBorders>
                    <w:top w:val="single" w:color="auto" w:sz="4" w:space="0"/>
                    <w:left w:val="single" w:color="auto" w:sz="4" w:space="0"/>
                    <w:bottom w:val="single" w:color="auto" w:sz="4" w:space="0"/>
                    <w:right w:val="single" w:color="auto" w:sz="4" w:space="0"/>
                  </w:tcBorders>
                  <w:noWrap w:val="0"/>
                  <w:vAlign w:val="center"/>
                </w:tcPr>
                <w:p w14:paraId="57AACE44">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电动葫芦</w:t>
                  </w:r>
                </w:p>
              </w:tc>
              <w:tc>
                <w:tcPr>
                  <w:tcW w:w="1100" w:type="pct"/>
                  <w:tcBorders>
                    <w:top w:val="single" w:color="auto" w:sz="4" w:space="0"/>
                    <w:left w:val="single" w:color="auto" w:sz="4" w:space="0"/>
                    <w:bottom w:val="single" w:color="auto" w:sz="4" w:space="0"/>
                    <w:right w:val="single" w:color="auto" w:sz="4" w:space="0"/>
                  </w:tcBorders>
                  <w:noWrap w:val="0"/>
                  <w:vAlign w:val="center"/>
                </w:tcPr>
                <w:p w14:paraId="7F4454AD">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CD2-6D</w:t>
                  </w:r>
                </w:p>
              </w:tc>
              <w:tc>
                <w:tcPr>
                  <w:tcW w:w="423" w:type="pct"/>
                  <w:tcBorders>
                    <w:top w:val="single" w:color="auto" w:sz="4" w:space="0"/>
                    <w:left w:val="single" w:color="auto" w:sz="4" w:space="0"/>
                    <w:bottom w:val="single" w:color="auto" w:sz="4" w:space="0"/>
                    <w:right w:val="single" w:color="auto" w:sz="4" w:space="0"/>
                  </w:tcBorders>
                  <w:noWrap w:val="0"/>
                  <w:vAlign w:val="center"/>
                </w:tcPr>
                <w:p w14:paraId="282EE6AD">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w:t>
                  </w:r>
                </w:p>
              </w:tc>
              <w:tc>
                <w:tcPr>
                  <w:tcW w:w="1318" w:type="pct"/>
                  <w:tcBorders>
                    <w:top w:val="single" w:color="auto" w:sz="4" w:space="0"/>
                    <w:left w:val="single" w:color="auto" w:sz="4" w:space="0"/>
                    <w:bottom w:val="single" w:color="auto" w:sz="4" w:space="0"/>
                    <w:right w:val="single" w:color="auto" w:sz="4" w:space="0"/>
                  </w:tcBorders>
                  <w:noWrap w:val="0"/>
                  <w:vAlign w:val="center"/>
                </w:tcPr>
                <w:p w14:paraId="4841B3BD">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空压机检修</w:t>
                  </w:r>
                </w:p>
              </w:tc>
            </w:tr>
          </w:tbl>
          <w:p w14:paraId="24CB52F2">
            <w:pPr>
              <w:jc w:val="center"/>
              <w:rPr>
                <w:rFonts w:hint="default" w:ascii="Times New Roman" w:hAnsi="Times New Roman" w:eastAsia="宋体" w:cs="Times New Roman"/>
                <w:b/>
                <w:bCs/>
                <w:color w:val="000000" w:themeColor="text1"/>
                <w:sz w:val="24"/>
                <w:szCs w:val="24"/>
                <w:highlight w:val="none"/>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14:textFill>
                  <w14:solidFill>
                    <w14:schemeClr w14:val="tx1"/>
                  </w14:solidFill>
                </w14:textFill>
              </w:rPr>
              <w:t>表</w:t>
            </w: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2</w:t>
            </w:r>
            <w:r>
              <w:rPr>
                <w:rFonts w:hint="default" w:ascii="Times New Roman" w:hAnsi="Times New Roman" w:eastAsia="宋体" w:cs="Times New Roman"/>
                <w:b/>
                <w:bCs/>
                <w:color w:val="000000" w:themeColor="text1"/>
                <w:sz w:val="24"/>
                <w:szCs w:val="24"/>
                <w:highlight w:val="none"/>
                <w14:textFill>
                  <w14:solidFill>
                    <w14:schemeClr w14:val="tx1"/>
                  </w14:solidFill>
                </w14:textFill>
              </w:rPr>
              <w:t>-</w:t>
            </w: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14余热利用</w:t>
            </w:r>
            <w:r>
              <w:rPr>
                <w:rFonts w:hint="default" w:ascii="Times New Roman" w:hAnsi="Times New Roman" w:eastAsia="宋体" w:cs="Times New Roman"/>
                <w:b/>
                <w:bCs/>
                <w:color w:val="000000" w:themeColor="text1"/>
                <w:sz w:val="24"/>
                <w:szCs w:val="24"/>
                <w:highlight w:val="none"/>
                <w14:textFill>
                  <w14:solidFill>
                    <w14:schemeClr w14:val="tx1"/>
                  </w14:solidFill>
                </w14:textFill>
              </w:rPr>
              <w:t>主机设备表</w:t>
            </w:r>
          </w:p>
          <w:tbl>
            <w:tblPr>
              <w:tblStyle w:val="24"/>
              <w:tblW w:w="83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14"/>
              <w:gridCol w:w="1514"/>
              <w:gridCol w:w="4494"/>
              <w:gridCol w:w="624"/>
              <w:gridCol w:w="1018"/>
            </w:tblGrid>
            <w:tr w14:paraId="594CB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blHeader/>
                <w:jc w:val="center"/>
              </w:trPr>
              <w:tc>
                <w:tcPr>
                  <w:tcW w:w="714" w:type="dxa"/>
                  <w:vAlign w:val="center"/>
                </w:tcPr>
                <w:p w14:paraId="6CCFD0FF">
                  <w:pPr>
                    <w:spacing w:before="80"/>
                    <w:jc w:val="center"/>
                    <w:textAlignment w:val="baseline"/>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序号</w:t>
                  </w:r>
                </w:p>
              </w:tc>
              <w:tc>
                <w:tcPr>
                  <w:tcW w:w="1514" w:type="dxa"/>
                  <w:vAlign w:val="center"/>
                </w:tcPr>
                <w:p w14:paraId="2695FDD7">
                  <w:pPr>
                    <w:spacing w:before="80"/>
                    <w:jc w:val="center"/>
                    <w:textAlignment w:val="baseline"/>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主机名称</w:t>
                  </w:r>
                </w:p>
              </w:tc>
              <w:tc>
                <w:tcPr>
                  <w:tcW w:w="4494" w:type="dxa"/>
                  <w:vAlign w:val="center"/>
                </w:tcPr>
                <w:p w14:paraId="24C8B4B8">
                  <w:pPr>
                    <w:spacing w:before="80"/>
                    <w:jc w:val="center"/>
                    <w:textAlignment w:val="baseline"/>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性能参数</w:t>
                  </w:r>
                </w:p>
              </w:tc>
              <w:tc>
                <w:tcPr>
                  <w:tcW w:w="624" w:type="dxa"/>
                  <w:vAlign w:val="center"/>
                </w:tcPr>
                <w:p w14:paraId="70058422">
                  <w:pPr>
                    <w:spacing w:before="80"/>
                    <w:jc w:val="center"/>
                    <w:textAlignment w:val="baseline"/>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数量</w:t>
                  </w:r>
                </w:p>
              </w:tc>
              <w:tc>
                <w:tcPr>
                  <w:tcW w:w="1018" w:type="dxa"/>
                  <w:vAlign w:val="center"/>
                </w:tcPr>
                <w:p w14:paraId="4EF797AE">
                  <w:pPr>
                    <w:spacing w:before="80"/>
                    <w:jc w:val="center"/>
                    <w:textAlignment w:val="baseline"/>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备注</w:t>
                  </w:r>
                </w:p>
              </w:tc>
            </w:tr>
            <w:tr w14:paraId="233BB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jc w:val="center"/>
              </w:trPr>
              <w:tc>
                <w:tcPr>
                  <w:tcW w:w="714" w:type="dxa"/>
                  <w:vAlign w:val="center"/>
                </w:tcPr>
                <w:p w14:paraId="45042F29">
                  <w:pPr>
                    <w:spacing w:before="80"/>
                    <w:jc w:val="center"/>
                    <w:textAlignment w:val="baseline"/>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1</w:t>
                  </w:r>
                </w:p>
              </w:tc>
              <w:tc>
                <w:tcPr>
                  <w:tcW w:w="1514" w:type="dxa"/>
                  <w:vAlign w:val="center"/>
                </w:tcPr>
                <w:p w14:paraId="1442F2FA">
                  <w:pPr>
                    <w:keepNext w:val="0"/>
                    <w:keepLines w:val="0"/>
                    <w:pageBreakBefore w:val="0"/>
                    <w:widowControl w:val="0"/>
                    <w:kinsoku/>
                    <w:wordWrap/>
                    <w:overflowPunct/>
                    <w:topLinePunct w:val="0"/>
                    <w:autoSpaceDE/>
                    <w:autoSpaceDN/>
                    <w:bidi w:val="0"/>
                    <w:adjustRightInd/>
                    <w:snapToGrid/>
                    <w:ind w:firstLine="0" w:firstLineChars="0"/>
                    <w:jc w:val="center"/>
                    <w:textAlignment w:val="baseline"/>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余热锅炉</w:t>
                  </w:r>
                </w:p>
              </w:tc>
              <w:tc>
                <w:tcPr>
                  <w:tcW w:w="4494" w:type="dxa"/>
                  <w:vAlign w:val="center"/>
                </w:tcPr>
                <w:p w14:paraId="722713C2">
                  <w:pPr>
                    <w:textAlignment w:val="baseline"/>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进口废气量：78932Nm</w:t>
                  </w:r>
                  <w:r>
                    <w:rPr>
                      <w:rFonts w:hint="default" w:ascii="Times New Roman" w:hAnsi="Times New Roman" w:cs="Times New Roman"/>
                      <w:color w:val="000000" w:themeColor="text1"/>
                      <w:sz w:val="21"/>
                      <w:szCs w:val="21"/>
                      <w:highlight w:val="none"/>
                      <w:vertAlign w:val="superscript"/>
                      <w14:textFill>
                        <w14:solidFill>
                          <w14:schemeClr w14:val="tx1"/>
                        </w14:solidFill>
                      </w14:textFill>
                    </w:rPr>
                    <w:t>3</w:t>
                  </w:r>
                  <w:r>
                    <w:rPr>
                      <w:rFonts w:hint="default" w:ascii="Times New Roman" w:hAnsi="Times New Roman" w:cs="Times New Roman"/>
                      <w:color w:val="000000" w:themeColor="text1"/>
                      <w:sz w:val="21"/>
                      <w:szCs w:val="21"/>
                      <w:highlight w:val="none"/>
                      <w14:textFill>
                        <w14:solidFill>
                          <w14:schemeClr w14:val="tx1"/>
                        </w14:solidFill>
                      </w14:textFill>
                    </w:rPr>
                    <w:t>/h</w:t>
                  </w:r>
                </w:p>
                <w:p w14:paraId="458E6694">
                  <w:pPr>
                    <w:textAlignment w:val="baseline"/>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进口/出口废气温度：525℃/200℃</w:t>
                  </w:r>
                </w:p>
                <w:p w14:paraId="1232C379">
                  <w:pP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主蒸汽压力：1MPa</w:t>
                  </w:r>
                </w:p>
                <w:p w14:paraId="44ACFFF8">
                  <w:pP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主蒸汽温度：420℃</w:t>
                  </w:r>
                </w:p>
                <w:p w14:paraId="5FCF9A86">
                  <w:pP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主蒸汽流量：15</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.09</w:t>
                  </w:r>
                  <w:r>
                    <w:rPr>
                      <w:rFonts w:hint="default" w:ascii="Times New Roman" w:hAnsi="Times New Roman" w:cs="Times New Roman"/>
                      <w:color w:val="000000" w:themeColor="text1"/>
                      <w:sz w:val="21"/>
                      <w:szCs w:val="21"/>
                      <w:highlight w:val="none"/>
                      <w14:textFill>
                        <w14:solidFill>
                          <w14:schemeClr w14:val="tx1"/>
                        </w14:solidFill>
                      </w14:textFill>
                    </w:rPr>
                    <w:t>t/h</w:t>
                  </w:r>
                </w:p>
                <w:p w14:paraId="3D98AA28">
                  <w:pP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给水参数：15.40t/h-150℃</w:t>
                  </w:r>
                </w:p>
              </w:tc>
              <w:tc>
                <w:tcPr>
                  <w:tcW w:w="624" w:type="dxa"/>
                  <w:vAlign w:val="center"/>
                </w:tcPr>
                <w:p w14:paraId="3B2CF0F7">
                  <w:pPr>
                    <w:spacing w:before="80"/>
                    <w:jc w:val="center"/>
                    <w:textAlignment w:val="baseline"/>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1</w:t>
                  </w:r>
                </w:p>
              </w:tc>
              <w:tc>
                <w:tcPr>
                  <w:tcW w:w="1018" w:type="dxa"/>
                  <w:vAlign w:val="center"/>
                </w:tcPr>
                <w:p w14:paraId="293E9ED5">
                  <w:pPr>
                    <w:rPr>
                      <w:rFonts w:hint="default" w:ascii="Times New Roman" w:hAnsi="Times New Roman" w:cs="Times New Roman"/>
                      <w:color w:val="000000" w:themeColor="text1"/>
                      <w:sz w:val="21"/>
                      <w:szCs w:val="21"/>
                      <w:highlight w:val="none"/>
                      <w14:textFill>
                        <w14:solidFill>
                          <w14:schemeClr w14:val="tx1"/>
                        </w14:solidFill>
                      </w14:textFill>
                    </w:rPr>
                  </w:pPr>
                </w:p>
              </w:tc>
            </w:tr>
            <w:tr w14:paraId="3885E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53" w:hRule="atLeast"/>
                <w:jc w:val="center"/>
              </w:trPr>
              <w:tc>
                <w:tcPr>
                  <w:tcW w:w="714" w:type="dxa"/>
                  <w:vAlign w:val="center"/>
                </w:tcPr>
                <w:p w14:paraId="047E01F5">
                  <w:pPr>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2</w:t>
                  </w:r>
                </w:p>
              </w:tc>
              <w:tc>
                <w:tcPr>
                  <w:tcW w:w="1514" w:type="dxa"/>
                  <w:vAlign w:val="center"/>
                </w:tcPr>
                <w:p w14:paraId="60811E8A">
                  <w:pPr>
                    <w:keepNext w:val="0"/>
                    <w:keepLines w:val="0"/>
                    <w:pageBreakBefore w:val="0"/>
                    <w:widowControl w:val="0"/>
                    <w:kinsoku/>
                    <w:wordWrap/>
                    <w:overflowPunct/>
                    <w:topLinePunct w:val="0"/>
                    <w:autoSpaceDE/>
                    <w:autoSpaceDN/>
                    <w:bidi w:val="0"/>
                    <w:adjustRightInd/>
                    <w:snapToGrid/>
                    <w:ind w:firstLine="0" w:firstLineChars="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锅炉给水泵</w:t>
                  </w:r>
                </w:p>
                <w:p w14:paraId="4A2183B6">
                  <w:pPr>
                    <w:keepNext w:val="0"/>
                    <w:keepLines w:val="0"/>
                    <w:pageBreakBefore w:val="0"/>
                    <w:widowControl w:val="0"/>
                    <w:kinsoku/>
                    <w:wordWrap/>
                    <w:overflowPunct/>
                    <w:topLinePunct w:val="0"/>
                    <w:autoSpaceDE/>
                    <w:autoSpaceDN/>
                    <w:bidi w:val="0"/>
                    <w:adjustRightInd/>
                    <w:snapToGrid/>
                    <w:ind w:firstLine="0" w:firstLineChars="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（变频）</w:t>
                  </w:r>
                </w:p>
              </w:tc>
              <w:tc>
                <w:tcPr>
                  <w:tcW w:w="4494" w:type="dxa"/>
                  <w:vAlign w:val="center"/>
                </w:tcPr>
                <w:p w14:paraId="67FF6D51">
                  <w:pP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流量：20t/h</w:t>
                  </w:r>
                </w:p>
                <w:p w14:paraId="2DB83A0C">
                  <w:pP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扬程：200m</w:t>
                  </w:r>
                </w:p>
                <w:p w14:paraId="42A62EE5">
                  <w:pP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功率：30kW</w:t>
                  </w:r>
                </w:p>
              </w:tc>
              <w:tc>
                <w:tcPr>
                  <w:tcW w:w="624" w:type="dxa"/>
                  <w:vAlign w:val="center"/>
                </w:tcPr>
                <w:p w14:paraId="47CEF225">
                  <w:pPr>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2</w:t>
                  </w:r>
                </w:p>
              </w:tc>
              <w:tc>
                <w:tcPr>
                  <w:tcW w:w="1018" w:type="dxa"/>
                  <w:vAlign w:val="center"/>
                </w:tcPr>
                <w:p w14:paraId="27789A6F">
                  <w:pP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一用一备</w:t>
                  </w:r>
                </w:p>
              </w:tc>
            </w:tr>
            <w:tr w14:paraId="0CEB0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32" w:hRule="atLeast"/>
                <w:jc w:val="center"/>
              </w:trPr>
              <w:tc>
                <w:tcPr>
                  <w:tcW w:w="714" w:type="dxa"/>
                  <w:vAlign w:val="center"/>
                </w:tcPr>
                <w:p w14:paraId="6AFE315E">
                  <w:pPr>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3</w:t>
                  </w:r>
                </w:p>
              </w:tc>
              <w:tc>
                <w:tcPr>
                  <w:tcW w:w="1514" w:type="dxa"/>
                  <w:vAlign w:val="center"/>
                </w:tcPr>
                <w:p w14:paraId="39ED125F">
                  <w:pPr>
                    <w:keepNext w:val="0"/>
                    <w:keepLines w:val="0"/>
                    <w:pageBreakBefore w:val="0"/>
                    <w:widowControl w:val="0"/>
                    <w:kinsoku/>
                    <w:wordWrap/>
                    <w:overflowPunct/>
                    <w:topLinePunct w:val="0"/>
                    <w:autoSpaceDE/>
                    <w:autoSpaceDN/>
                    <w:bidi w:val="0"/>
                    <w:adjustRightInd/>
                    <w:snapToGrid/>
                    <w:ind w:firstLine="0" w:firstLineChars="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低压加热器</w:t>
                  </w:r>
                </w:p>
              </w:tc>
              <w:tc>
                <w:tcPr>
                  <w:tcW w:w="4494" w:type="dxa"/>
                  <w:vAlign w:val="center"/>
                </w:tcPr>
                <w:p w14:paraId="59514D34">
                  <w:pP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换热面积：</w:t>
                  </w:r>
                </w:p>
              </w:tc>
              <w:tc>
                <w:tcPr>
                  <w:tcW w:w="624" w:type="dxa"/>
                  <w:vAlign w:val="center"/>
                </w:tcPr>
                <w:p w14:paraId="657831D2">
                  <w:pPr>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1</w:t>
                  </w:r>
                </w:p>
              </w:tc>
              <w:tc>
                <w:tcPr>
                  <w:tcW w:w="1018" w:type="dxa"/>
                  <w:vAlign w:val="center"/>
                </w:tcPr>
                <w:p w14:paraId="331C47D0">
                  <w:pPr>
                    <w:rPr>
                      <w:rFonts w:hint="default" w:ascii="Times New Roman" w:hAnsi="Times New Roman" w:cs="Times New Roman"/>
                      <w:color w:val="000000" w:themeColor="text1"/>
                      <w:sz w:val="21"/>
                      <w:szCs w:val="21"/>
                      <w:highlight w:val="none"/>
                      <w14:textFill>
                        <w14:solidFill>
                          <w14:schemeClr w14:val="tx1"/>
                        </w14:solidFill>
                      </w14:textFill>
                    </w:rPr>
                  </w:pPr>
                </w:p>
              </w:tc>
            </w:tr>
            <w:tr w14:paraId="5CB72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66" w:hRule="atLeast"/>
                <w:jc w:val="center"/>
              </w:trPr>
              <w:tc>
                <w:tcPr>
                  <w:tcW w:w="714" w:type="dxa"/>
                  <w:vAlign w:val="center"/>
                </w:tcPr>
                <w:p w14:paraId="2CE5FB6D">
                  <w:pPr>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4</w:t>
                  </w:r>
                </w:p>
              </w:tc>
              <w:tc>
                <w:tcPr>
                  <w:tcW w:w="1514" w:type="dxa"/>
                  <w:vAlign w:val="center"/>
                </w:tcPr>
                <w:p w14:paraId="41BDD75C">
                  <w:pPr>
                    <w:keepNext w:val="0"/>
                    <w:keepLines w:val="0"/>
                    <w:pageBreakBefore w:val="0"/>
                    <w:widowControl w:val="0"/>
                    <w:kinsoku/>
                    <w:wordWrap/>
                    <w:overflowPunct/>
                    <w:topLinePunct w:val="0"/>
                    <w:autoSpaceDE/>
                    <w:autoSpaceDN/>
                    <w:bidi w:val="0"/>
                    <w:adjustRightInd/>
                    <w:snapToGrid/>
                    <w:ind w:firstLine="0" w:firstLineChars="0"/>
                    <w:jc w:val="cente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热力除氧器</w:t>
                  </w:r>
                </w:p>
              </w:tc>
              <w:tc>
                <w:tcPr>
                  <w:tcW w:w="4494" w:type="dxa"/>
                  <w:vAlign w:val="center"/>
                </w:tcPr>
                <w:p w14:paraId="265DED32">
                  <w:pP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工作压力：</w:t>
                  </w:r>
                </w:p>
                <w:p w14:paraId="0ECF3E4E">
                  <w:pP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工作温度：150℃</w:t>
                  </w:r>
                </w:p>
                <w:p w14:paraId="3D8DA061">
                  <w:pP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能力：</w:t>
                  </w:r>
                </w:p>
                <w:p w14:paraId="0E672FA8">
                  <w:pP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出水含氧：≤0.015mg/l</w:t>
                  </w:r>
                </w:p>
                <w:p w14:paraId="7E7EA900">
                  <w:pP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水箱容积：</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50m</w:t>
                  </w:r>
                  <w:r>
                    <w:rPr>
                      <w:rFonts w:hint="default" w:ascii="Times New Roman" w:hAnsi="Times New Roman" w:cs="Times New Roman"/>
                      <w:color w:val="000000" w:themeColor="text1"/>
                      <w:sz w:val="21"/>
                      <w:szCs w:val="21"/>
                      <w:highlight w:val="none"/>
                      <w:vertAlign w:val="superscript"/>
                      <w:lang w:val="en-US" w:eastAsia="zh-CN"/>
                      <w14:textFill>
                        <w14:solidFill>
                          <w14:schemeClr w14:val="tx1"/>
                        </w14:solidFill>
                      </w14:textFill>
                    </w:rPr>
                    <w:t>3</w:t>
                  </w:r>
                </w:p>
              </w:tc>
              <w:tc>
                <w:tcPr>
                  <w:tcW w:w="624" w:type="dxa"/>
                  <w:vAlign w:val="center"/>
                </w:tcPr>
                <w:p w14:paraId="444872D0">
                  <w:pPr>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1</w:t>
                  </w:r>
                </w:p>
              </w:tc>
              <w:tc>
                <w:tcPr>
                  <w:tcW w:w="1018" w:type="dxa"/>
                  <w:vAlign w:val="center"/>
                </w:tcPr>
                <w:p w14:paraId="20574F9C">
                  <w:pPr>
                    <w:rPr>
                      <w:rFonts w:hint="default" w:ascii="Times New Roman" w:hAnsi="Times New Roman" w:cs="Times New Roman"/>
                      <w:color w:val="000000" w:themeColor="text1"/>
                      <w:sz w:val="21"/>
                      <w:szCs w:val="21"/>
                      <w:highlight w:val="none"/>
                      <w14:textFill>
                        <w14:solidFill>
                          <w14:schemeClr w14:val="tx1"/>
                        </w14:solidFill>
                      </w14:textFill>
                    </w:rPr>
                  </w:pPr>
                </w:p>
              </w:tc>
            </w:tr>
          </w:tbl>
          <w:p w14:paraId="34893DC7">
            <w:pPr>
              <w:keepNext w:val="0"/>
              <w:keepLines w:val="0"/>
              <w:pageBreakBefore w:val="0"/>
              <w:widowControl w:val="0"/>
              <w:kinsoku/>
              <w:wordWrap/>
              <w:overflowPunct/>
              <w:topLinePunct w:val="0"/>
              <w:autoSpaceDE/>
              <w:autoSpaceDN/>
              <w:bidi w:val="0"/>
              <w:adjustRightInd/>
              <w:spacing w:line="360" w:lineRule="auto"/>
              <w:ind w:right="0" w:firstLine="482" w:firstLineChars="200"/>
              <w:jc w:val="left"/>
              <w:textAlignment w:val="auto"/>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4"/>
                <w:highlight w:val="none"/>
                <w14:textFill>
                  <w14:solidFill>
                    <w14:schemeClr w14:val="tx1"/>
                  </w14:solidFill>
                </w14:textFill>
              </w:rPr>
              <w:t>1.</w:t>
            </w:r>
            <w:r>
              <w:rPr>
                <w:rFonts w:hint="default" w:ascii="Times New Roman" w:hAnsi="Times New Roman" w:cs="Times New Roman"/>
                <w:b/>
                <w:bCs/>
                <w:color w:val="000000" w:themeColor="text1"/>
                <w:sz w:val="24"/>
                <w:highlight w:val="none"/>
                <w:lang w:val="en-US" w:eastAsia="zh-CN"/>
                <w14:textFill>
                  <w14:solidFill>
                    <w14:schemeClr w14:val="tx1"/>
                  </w14:solidFill>
                </w14:textFill>
              </w:rPr>
              <w:t>6</w:t>
            </w:r>
            <w:r>
              <w:rPr>
                <w:rFonts w:hint="default" w:ascii="Times New Roman" w:hAnsi="Times New Roman" w:eastAsia="宋体" w:cs="Times New Roman"/>
                <w:b/>
                <w:bCs/>
                <w:color w:val="000000" w:themeColor="text1"/>
                <w:sz w:val="24"/>
                <w:highlight w:val="none"/>
                <w14:textFill>
                  <w14:solidFill>
                    <w14:schemeClr w14:val="tx1"/>
                  </w14:solidFill>
                </w14:textFill>
              </w:rPr>
              <w:t>原辅材料及能源消耗</w:t>
            </w:r>
          </w:p>
          <w:p w14:paraId="28604A07">
            <w:pPr>
              <w:pStyle w:val="13"/>
              <w:keepNext w:val="0"/>
              <w:keepLines w:val="0"/>
              <w:pageBreakBefore w:val="0"/>
              <w:widowControl w:val="0"/>
              <w:kinsoku/>
              <w:wordWrap/>
              <w:overflowPunct/>
              <w:topLinePunct w:val="0"/>
              <w:autoSpaceDE/>
              <w:autoSpaceDN/>
              <w:bidi w:val="0"/>
              <w:adjustRightInd/>
              <w:spacing w:before="0" w:after="0" w:line="360" w:lineRule="auto"/>
              <w:ind w:right="0" w:firstLine="480" w:firstLineChars="200"/>
              <w:textAlignment w:val="auto"/>
              <w:rPr>
                <w:rFonts w:hint="default" w:ascii="Times New Roman" w:hAnsi="Times New Roman" w:eastAsia="宋体" w:cs="Times New Roman"/>
                <w:b w:val="0"/>
                <w:bCs w:val="0"/>
                <w:color w:val="000000" w:themeColor="text1"/>
                <w:sz w:val="24"/>
                <w:highlight w:val="none"/>
                <w:lang w:eastAsia="zh-CN"/>
                <w14:textFill>
                  <w14:solidFill>
                    <w14:schemeClr w14:val="tx1"/>
                  </w14:solidFill>
                </w14:textFill>
              </w:rPr>
            </w:pPr>
            <w:r>
              <w:rPr>
                <w:rFonts w:hint="default" w:ascii="Times New Roman" w:hAnsi="Times New Roman" w:eastAsia="宋体" w:cs="Times New Roman"/>
                <w:b w:val="0"/>
                <w:bCs w:val="0"/>
                <w:color w:val="000000" w:themeColor="text1"/>
                <w:sz w:val="24"/>
                <w:highlight w:val="none"/>
                <w14:textFill>
                  <w14:solidFill>
                    <w14:schemeClr w14:val="tx1"/>
                  </w14:solidFill>
                </w14:textFill>
              </w:rPr>
              <w:t>本项目主要原材料用量如下表</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及</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主要原辅材料成分</w:t>
            </w:r>
            <w:r>
              <w:rPr>
                <w:rFonts w:hint="default" w:ascii="Times New Roman" w:hAnsi="Times New Roman" w:eastAsia="宋体" w:cs="Times New Roman"/>
                <w:color w:val="000000" w:themeColor="text1"/>
                <w:sz w:val="24"/>
                <w:szCs w:val="24"/>
                <w:highlight w:val="none"/>
                <w14:textFill>
                  <w14:solidFill>
                    <w14:schemeClr w14:val="tx1"/>
                  </w14:solidFill>
                </w14:textFill>
              </w:rPr>
              <w:t>详见下表</w:t>
            </w:r>
            <w:r>
              <w:rPr>
                <w:rFonts w:hint="default" w:ascii="Times New Roman" w:hAnsi="Times New Roman" w:cs="Times New Roman"/>
                <w:color w:val="000000" w:themeColor="text1"/>
                <w:sz w:val="24"/>
                <w:szCs w:val="24"/>
                <w:highlight w:val="none"/>
                <w:lang w:eastAsia="zh-CN"/>
                <w14:textFill>
                  <w14:solidFill>
                    <w14:schemeClr w14:val="tx1"/>
                  </w14:solidFill>
                </w14:textFill>
              </w:rPr>
              <w:t>。</w:t>
            </w:r>
          </w:p>
          <w:p w14:paraId="0C9DC85B">
            <w:pPr>
              <w:ind w:firstLine="482" w:firstLineChars="200"/>
              <w:jc w:val="center"/>
              <w:rPr>
                <w:rFonts w:hint="default" w:ascii="Times New Roman" w:hAnsi="Times New Roman" w:eastAsia="宋体" w:cs="Times New Roman"/>
                <w:b/>
                <w:bCs/>
                <w:color w:val="000000" w:themeColor="text1"/>
                <w:sz w:val="24"/>
                <w:highlight w:val="none"/>
                <w14:textFill>
                  <w14:solidFill>
                    <w14:schemeClr w14:val="tx1"/>
                  </w14:solidFill>
                </w14:textFill>
              </w:rPr>
            </w:pPr>
            <w:r>
              <w:rPr>
                <w:rFonts w:hint="default" w:ascii="Times New Roman" w:hAnsi="Times New Roman" w:eastAsia="宋体" w:cs="Times New Roman"/>
                <w:b/>
                <w:bCs/>
                <w:color w:val="000000" w:themeColor="text1"/>
                <w:sz w:val="24"/>
                <w:highlight w:val="none"/>
                <w14:textFill>
                  <w14:solidFill>
                    <w14:schemeClr w14:val="tx1"/>
                  </w14:solidFill>
                </w14:textFill>
              </w:rPr>
              <w:t>表</w:t>
            </w:r>
            <w:r>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t>2-15</w:t>
            </w:r>
            <w:r>
              <w:rPr>
                <w:rFonts w:hint="default" w:ascii="Times New Roman" w:hAnsi="Times New Roman" w:eastAsia="宋体" w:cs="Times New Roman"/>
                <w:b/>
                <w:bCs/>
                <w:color w:val="000000" w:themeColor="text1"/>
                <w:sz w:val="24"/>
                <w:highlight w:val="none"/>
                <w14:textFill>
                  <w14:solidFill>
                    <w14:schemeClr w14:val="tx1"/>
                  </w14:solidFill>
                </w14:textFill>
              </w:rPr>
              <w:t>原辅材料及能源消耗一览表</w:t>
            </w:r>
          </w:p>
          <w:tbl>
            <w:tblPr>
              <w:tblStyle w:val="2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7"/>
              <w:gridCol w:w="1411"/>
              <w:gridCol w:w="1802"/>
              <w:gridCol w:w="2604"/>
              <w:gridCol w:w="1178"/>
              <w:gridCol w:w="754"/>
            </w:tblGrid>
            <w:tr w14:paraId="10629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374" w:type="pct"/>
                  <w:noWrap w:val="0"/>
                  <w:vAlign w:val="center"/>
                </w:tcPr>
                <w:p w14:paraId="776072AB">
                  <w:pPr>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序号</w:t>
                  </w:r>
                </w:p>
              </w:tc>
              <w:tc>
                <w:tcPr>
                  <w:tcW w:w="842" w:type="pct"/>
                  <w:noWrap w:val="0"/>
                  <w:vAlign w:val="center"/>
                </w:tcPr>
                <w:p w14:paraId="6EBC52F2">
                  <w:pPr>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名称</w:t>
                  </w:r>
                </w:p>
              </w:tc>
              <w:tc>
                <w:tcPr>
                  <w:tcW w:w="1075" w:type="pct"/>
                  <w:noWrap w:val="0"/>
                  <w:vAlign w:val="center"/>
                </w:tcPr>
                <w:p w14:paraId="2A2D142D">
                  <w:pPr>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原料消耗量</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t/a</w:t>
                  </w:r>
                </w:p>
              </w:tc>
              <w:tc>
                <w:tcPr>
                  <w:tcW w:w="1554" w:type="pct"/>
                  <w:noWrap w:val="0"/>
                  <w:vAlign w:val="center"/>
                </w:tcPr>
                <w:p w14:paraId="509FE311">
                  <w:pPr>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来源</w:t>
                  </w:r>
                </w:p>
              </w:tc>
              <w:tc>
                <w:tcPr>
                  <w:tcW w:w="703" w:type="pct"/>
                  <w:noWrap w:val="0"/>
                  <w:vAlign w:val="center"/>
                </w:tcPr>
                <w:p w14:paraId="5B6223E0">
                  <w:pPr>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一次</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最大</w:t>
                  </w:r>
                </w:p>
                <w:p w14:paraId="02ED3852">
                  <w:pPr>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储存量</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t</w:t>
                  </w:r>
                </w:p>
              </w:tc>
              <w:tc>
                <w:tcPr>
                  <w:tcW w:w="450" w:type="pct"/>
                  <w:noWrap w:val="0"/>
                  <w:vAlign w:val="center"/>
                </w:tcPr>
                <w:p w14:paraId="12C025DC">
                  <w:pPr>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备注</w:t>
                  </w:r>
                </w:p>
              </w:tc>
            </w:tr>
            <w:tr w14:paraId="5208A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374" w:type="pct"/>
                  <w:noWrap w:val="0"/>
                  <w:vAlign w:val="center"/>
                </w:tcPr>
                <w:p w14:paraId="5BE3C954">
                  <w:pPr>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1</w:t>
                  </w:r>
                </w:p>
              </w:tc>
              <w:tc>
                <w:tcPr>
                  <w:tcW w:w="842" w:type="pct"/>
                  <w:noWrap w:val="0"/>
                  <w:vAlign w:val="center"/>
                </w:tcPr>
                <w:p w14:paraId="072B7FC0">
                  <w:pPr>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pacing w:val="-4"/>
                      <w:highlight w:val="none"/>
                      <w:lang w:val="en-US" w:eastAsia="zh-CN"/>
                      <w14:textFill>
                        <w14:solidFill>
                          <w14:schemeClr w14:val="tx1"/>
                        </w14:solidFill>
                      </w14:textFill>
                    </w:rPr>
                    <w:t>原料粉</w:t>
                  </w:r>
                </w:p>
              </w:tc>
              <w:tc>
                <w:tcPr>
                  <w:tcW w:w="1075" w:type="pct"/>
                  <w:noWrap w:val="0"/>
                  <w:vAlign w:val="center"/>
                </w:tcPr>
                <w:p w14:paraId="280D4784">
                  <w:pPr>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244234</w:t>
                  </w:r>
                </w:p>
              </w:tc>
              <w:tc>
                <w:tcPr>
                  <w:tcW w:w="1554" w:type="pct"/>
                  <w:noWrap w:val="0"/>
                  <w:vAlign w:val="center"/>
                </w:tcPr>
                <w:p w14:paraId="6C324E79">
                  <w:pPr>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内蒙古伊东高新材料有限公司</w:t>
                  </w:r>
                </w:p>
              </w:tc>
              <w:tc>
                <w:tcPr>
                  <w:tcW w:w="703" w:type="pct"/>
                  <w:noWrap w:val="0"/>
                  <w:vAlign w:val="center"/>
                </w:tcPr>
                <w:p w14:paraId="0761B919">
                  <w:pPr>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3300</w:t>
                  </w:r>
                </w:p>
              </w:tc>
              <w:tc>
                <w:tcPr>
                  <w:tcW w:w="450" w:type="pct"/>
                  <w:noWrap w:val="0"/>
                  <w:vAlign w:val="center"/>
                </w:tcPr>
                <w:p w14:paraId="1BFB28DA">
                  <w:pPr>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气体</w:t>
                  </w:r>
                </w:p>
              </w:tc>
            </w:tr>
            <w:tr w14:paraId="407F2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374" w:type="pct"/>
                  <w:noWrap w:val="0"/>
                  <w:vAlign w:val="center"/>
                </w:tcPr>
                <w:p w14:paraId="11723846">
                  <w:pPr>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2</w:t>
                  </w:r>
                </w:p>
              </w:tc>
              <w:tc>
                <w:tcPr>
                  <w:tcW w:w="842" w:type="pct"/>
                  <w:noWrap w:val="0"/>
                  <w:vAlign w:val="center"/>
                </w:tcPr>
                <w:p w14:paraId="557BE8AA">
                  <w:pPr>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煤气</w:t>
                  </w:r>
                </w:p>
              </w:tc>
              <w:tc>
                <w:tcPr>
                  <w:tcW w:w="1075" w:type="pct"/>
                  <w:noWrap w:val="0"/>
                  <w:vAlign w:val="center"/>
                </w:tcPr>
                <w:p w14:paraId="25E86314">
                  <w:pPr>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highlight w:val="none"/>
                      <w14:textFill>
                        <w14:solidFill>
                          <w14:schemeClr w14:val="tx1"/>
                        </w14:solidFill>
                      </w14:textFill>
                    </w:rPr>
                    <w:t>4403</w:t>
                  </w:r>
                  <w:r>
                    <w:rPr>
                      <w:rFonts w:hint="default" w:ascii="Times New Roman" w:hAnsi="Times New Roman" w:cs="Times New Roman"/>
                      <w:bCs/>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bCs/>
                      <w:color w:val="000000" w:themeColor="text1"/>
                      <w:sz w:val="21"/>
                      <w:szCs w:val="21"/>
                      <w:highlight w:val="none"/>
                      <w14:textFill>
                        <w14:solidFill>
                          <w14:schemeClr w14:val="tx1"/>
                        </w14:solidFill>
                      </w14:textFill>
                    </w:rPr>
                    <w:t>7×10</w:t>
                  </w:r>
                  <w:r>
                    <w:rPr>
                      <w:rFonts w:hint="default" w:ascii="Times New Roman" w:hAnsi="Times New Roman" w:cs="Times New Roman"/>
                      <w:bCs/>
                      <w:color w:val="000000" w:themeColor="text1"/>
                      <w:sz w:val="21"/>
                      <w:szCs w:val="21"/>
                      <w:highlight w:val="none"/>
                      <w:vertAlign w:val="superscript"/>
                      <w:lang w:val="en-US" w:eastAsia="zh-CN"/>
                      <w14:textFill>
                        <w14:solidFill>
                          <w14:schemeClr w14:val="tx1"/>
                        </w14:solidFill>
                      </w14:textFill>
                    </w:rPr>
                    <w:t>4</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m</w:t>
                  </w:r>
                  <w:r>
                    <w:rPr>
                      <w:rFonts w:hint="default" w:ascii="Times New Roman" w:hAnsi="Times New Roman" w:eastAsia="宋体" w:cs="Times New Roman"/>
                      <w:b w:val="0"/>
                      <w:bCs w:val="0"/>
                      <w:color w:val="000000" w:themeColor="text1"/>
                      <w:sz w:val="21"/>
                      <w:szCs w:val="21"/>
                      <w:highlight w:val="none"/>
                      <w:vertAlign w:val="superscript"/>
                      <w:lang w:val="en-US" w:eastAsia="zh-CN"/>
                      <w14:textFill>
                        <w14:solidFill>
                          <w14:schemeClr w14:val="tx1"/>
                        </w14:solidFill>
                      </w14:textFill>
                    </w:rPr>
                    <w:t>3</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/a</w:t>
                  </w:r>
                </w:p>
              </w:tc>
              <w:tc>
                <w:tcPr>
                  <w:tcW w:w="1554" w:type="pct"/>
                  <w:noWrap w:val="0"/>
                  <w:vAlign w:val="center"/>
                </w:tcPr>
                <w:p w14:paraId="33DAC411">
                  <w:pPr>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内蒙古伊东东方能源公司</w:t>
                  </w:r>
                </w:p>
              </w:tc>
              <w:tc>
                <w:tcPr>
                  <w:tcW w:w="703" w:type="pct"/>
                  <w:noWrap w:val="0"/>
                  <w:vAlign w:val="center"/>
                </w:tcPr>
                <w:p w14:paraId="46EAE85E">
                  <w:pPr>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在线管道</w:t>
                  </w:r>
                </w:p>
              </w:tc>
              <w:tc>
                <w:tcPr>
                  <w:tcW w:w="450" w:type="pct"/>
                  <w:noWrap w:val="0"/>
                  <w:vAlign w:val="center"/>
                </w:tcPr>
                <w:p w14:paraId="7BFFD80A">
                  <w:pPr>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气体</w:t>
                  </w:r>
                </w:p>
              </w:tc>
            </w:tr>
            <w:tr w14:paraId="44697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2" w:hRule="atLeast"/>
                <w:jc w:val="center"/>
              </w:trPr>
              <w:tc>
                <w:tcPr>
                  <w:tcW w:w="374" w:type="pct"/>
                  <w:shd w:val="clear" w:color="auto" w:fill="auto"/>
                  <w:noWrap w:val="0"/>
                  <w:vAlign w:val="center"/>
                </w:tcPr>
                <w:p w14:paraId="3FECB5BC">
                  <w:pPr>
                    <w:jc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4</w:t>
                  </w:r>
                </w:p>
              </w:tc>
              <w:tc>
                <w:tcPr>
                  <w:tcW w:w="842" w:type="pct"/>
                  <w:noWrap w:val="0"/>
                  <w:vAlign w:val="center"/>
                </w:tcPr>
                <w:p w14:paraId="30B3868F">
                  <w:pPr>
                    <w:jc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石灰石</w:t>
                  </w:r>
                </w:p>
              </w:tc>
              <w:tc>
                <w:tcPr>
                  <w:tcW w:w="1075" w:type="pct"/>
                  <w:noWrap w:val="0"/>
                  <w:vAlign w:val="center"/>
                </w:tcPr>
                <w:p w14:paraId="2B9B69B5">
                  <w:pPr>
                    <w:jc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1200</w:t>
                  </w:r>
                </w:p>
              </w:tc>
              <w:tc>
                <w:tcPr>
                  <w:tcW w:w="1554" w:type="pct"/>
                  <w:noWrap w:val="0"/>
                  <w:vAlign w:val="center"/>
                </w:tcPr>
                <w:p w14:paraId="15CBC78C">
                  <w:pPr>
                    <w:jc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t>周边地区</w:t>
                  </w:r>
                </w:p>
              </w:tc>
              <w:tc>
                <w:tcPr>
                  <w:tcW w:w="703" w:type="pct"/>
                  <w:noWrap w:val="0"/>
                  <w:vAlign w:val="center"/>
                </w:tcPr>
                <w:p w14:paraId="222429FB">
                  <w:pPr>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60</w:t>
                  </w:r>
                </w:p>
              </w:tc>
              <w:tc>
                <w:tcPr>
                  <w:tcW w:w="450" w:type="pct"/>
                  <w:noWrap w:val="0"/>
                  <w:vAlign w:val="center"/>
                </w:tcPr>
                <w:p w14:paraId="39709926">
                  <w:pPr>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固体</w:t>
                  </w:r>
                </w:p>
              </w:tc>
            </w:tr>
            <w:tr w14:paraId="0F4AC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374" w:type="pct"/>
                  <w:shd w:val="clear" w:color="auto" w:fill="auto"/>
                  <w:noWrap w:val="0"/>
                  <w:vAlign w:val="center"/>
                </w:tcPr>
                <w:p w14:paraId="0B8EA422">
                  <w:pPr>
                    <w:jc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5</w:t>
                  </w:r>
                </w:p>
              </w:tc>
              <w:tc>
                <w:tcPr>
                  <w:tcW w:w="842" w:type="pct"/>
                  <w:noWrap w:val="0"/>
                  <w:vAlign w:val="center"/>
                </w:tcPr>
                <w:p w14:paraId="5A939B38">
                  <w:pPr>
                    <w:jc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2</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0%氨水</w:t>
                  </w:r>
                </w:p>
              </w:tc>
              <w:tc>
                <w:tcPr>
                  <w:tcW w:w="1075" w:type="pct"/>
                  <w:noWrap w:val="0"/>
                  <w:vAlign w:val="center"/>
                </w:tcPr>
                <w:p w14:paraId="637E4299">
                  <w:pPr>
                    <w:jc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850</w:t>
                  </w:r>
                </w:p>
              </w:tc>
              <w:tc>
                <w:tcPr>
                  <w:tcW w:w="1554" w:type="pct"/>
                  <w:noWrap w:val="0"/>
                  <w:vAlign w:val="center"/>
                </w:tcPr>
                <w:p w14:paraId="0163468F">
                  <w:pPr>
                    <w:jc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t>周边地区</w:t>
                  </w:r>
                </w:p>
              </w:tc>
              <w:tc>
                <w:tcPr>
                  <w:tcW w:w="703" w:type="pct"/>
                  <w:noWrap w:val="0"/>
                  <w:vAlign w:val="center"/>
                </w:tcPr>
                <w:p w14:paraId="64A3CB41">
                  <w:pPr>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8</w:t>
                  </w:r>
                </w:p>
              </w:tc>
              <w:tc>
                <w:tcPr>
                  <w:tcW w:w="450" w:type="pct"/>
                  <w:noWrap w:val="0"/>
                  <w:vAlign w:val="center"/>
                </w:tcPr>
                <w:p w14:paraId="36A7BE63">
                  <w:pPr>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液体</w:t>
                  </w:r>
                </w:p>
              </w:tc>
            </w:tr>
            <w:tr w14:paraId="595DF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374" w:type="pct"/>
                  <w:shd w:val="clear" w:color="auto" w:fill="auto"/>
                  <w:noWrap w:val="0"/>
                  <w:vAlign w:val="center"/>
                </w:tcPr>
                <w:p w14:paraId="2C59910A">
                  <w:pPr>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6</w:t>
                  </w:r>
                </w:p>
              </w:tc>
              <w:tc>
                <w:tcPr>
                  <w:tcW w:w="842" w:type="pct"/>
                  <w:noWrap w:val="0"/>
                  <w:vAlign w:val="center"/>
                </w:tcPr>
                <w:p w14:paraId="09F5DCC1">
                  <w:pPr>
                    <w:jc w:val="cente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石灰乳</w:t>
                  </w:r>
                </w:p>
              </w:tc>
              <w:tc>
                <w:tcPr>
                  <w:tcW w:w="1075" w:type="pct"/>
                  <w:noWrap w:val="0"/>
                  <w:vAlign w:val="center"/>
                </w:tcPr>
                <w:p w14:paraId="7B6AF3B0">
                  <w:pPr>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2</w:t>
                  </w:r>
                </w:p>
              </w:tc>
              <w:tc>
                <w:tcPr>
                  <w:tcW w:w="1554" w:type="pct"/>
                  <w:shd w:val="clear" w:color="auto" w:fill="auto"/>
                  <w:noWrap w:val="0"/>
                  <w:vAlign w:val="center"/>
                </w:tcPr>
                <w:p w14:paraId="5A07DDF9">
                  <w:pPr>
                    <w:jc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t>周边地区</w:t>
                  </w:r>
                </w:p>
              </w:tc>
              <w:tc>
                <w:tcPr>
                  <w:tcW w:w="703" w:type="pct"/>
                  <w:shd w:val="clear" w:color="auto" w:fill="auto"/>
                  <w:noWrap w:val="0"/>
                  <w:vAlign w:val="center"/>
                </w:tcPr>
                <w:p w14:paraId="0FD27913">
                  <w:pPr>
                    <w:jc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2</w:t>
                  </w:r>
                </w:p>
              </w:tc>
              <w:tc>
                <w:tcPr>
                  <w:tcW w:w="450" w:type="pct"/>
                  <w:noWrap w:val="0"/>
                  <w:vAlign w:val="center"/>
                </w:tcPr>
                <w:p w14:paraId="765335EB">
                  <w:pPr>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液体</w:t>
                  </w:r>
                </w:p>
              </w:tc>
            </w:tr>
            <w:tr w14:paraId="64302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374" w:type="pct"/>
                  <w:shd w:val="clear" w:color="auto" w:fill="auto"/>
                  <w:noWrap w:val="0"/>
                  <w:vAlign w:val="center"/>
                </w:tcPr>
                <w:p w14:paraId="3548ADEE">
                  <w:pPr>
                    <w:jc w:val="cente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7</w:t>
                  </w:r>
                </w:p>
              </w:tc>
              <w:tc>
                <w:tcPr>
                  <w:tcW w:w="842" w:type="pct"/>
                  <w:noWrap w:val="0"/>
                  <w:vAlign w:val="center"/>
                </w:tcPr>
                <w:p w14:paraId="59E9549C">
                  <w:pPr>
                    <w:jc w:val="cente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聚铁有机硫</w:t>
                  </w:r>
                </w:p>
              </w:tc>
              <w:tc>
                <w:tcPr>
                  <w:tcW w:w="1075" w:type="pct"/>
                  <w:noWrap w:val="0"/>
                  <w:vAlign w:val="center"/>
                </w:tcPr>
                <w:p w14:paraId="2B2DB4DD">
                  <w:pPr>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0.2</w:t>
                  </w:r>
                </w:p>
              </w:tc>
              <w:tc>
                <w:tcPr>
                  <w:tcW w:w="1554" w:type="pct"/>
                  <w:shd w:val="clear" w:color="auto" w:fill="auto"/>
                  <w:noWrap w:val="0"/>
                  <w:vAlign w:val="center"/>
                </w:tcPr>
                <w:p w14:paraId="77AAD8E8">
                  <w:pPr>
                    <w:jc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t>周边地区</w:t>
                  </w:r>
                </w:p>
              </w:tc>
              <w:tc>
                <w:tcPr>
                  <w:tcW w:w="703" w:type="pct"/>
                  <w:shd w:val="clear" w:color="auto" w:fill="auto"/>
                  <w:noWrap w:val="0"/>
                  <w:vAlign w:val="center"/>
                </w:tcPr>
                <w:p w14:paraId="1F6122C3">
                  <w:pPr>
                    <w:jc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0.2</w:t>
                  </w:r>
                </w:p>
              </w:tc>
              <w:tc>
                <w:tcPr>
                  <w:tcW w:w="450" w:type="pct"/>
                  <w:noWrap w:val="0"/>
                  <w:vAlign w:val="center"/>
                </w:tcPr>
                <w:p w14:paraId="5E4EDD96">
                  <w:pPr>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固体</w:t>
                  </w:r>
                </w:p>
              </w:tc>
            </w:tr>
            <w:tr w14:paraId="603D8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374" w:type="pct"/>
                  <w:shd w:val="clear" w:color="auto" w:fill="auto"/>
                  <w:noWrap w:val="0"/>
                  <w:vAlign w:val="center"/>
                </w:tcPr>
                <w:p w14:paraId="1C1E93C8">
                  <w:pPr>
                    <w:jc w:val="cente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8</w:t>
                  </w:r>
                </w:p>
              </w:tc>
              <w:tc>
                <w:tcPr>
                  <w:tcW w:w="842" w:type="pct"/>
                  <w:noWrap w:val="0"/>
                  <w:vAlign w:val="center"/>
                </w:tcPr>
                <w:p w14:paraId="17A27454">
                  <w:pPr>
                    <w:jc w:val="cente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阻凝剂</w:t>
                  </w:r>
                </w:p>
              </w:tc>
              <w:tc>
                <w:tcPr>
                  <w:tcW w:w="1075" w:type="pct"/>
                  <w:noWrap w:val="0"/>
                  <w:vAlign w:val="center"/>
                </w:tcPr>
                <w:p w14:paraId="0F1DBA4E">
                  <w:pPr>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0.2</w:t>
                  </w:r>
                </w:p>
              </w:tc>
              <w:tc>
                <w:tcPr>
                  <w:tcW w:w="1554" w:type="pct"/>
                  <w:noWrap w:val="0"/>
                  <w:vAlign w:val="center"/>
                </w:tcPr>
                <w:p w14:paraId="77DFAD0B">
                  <w:pPr>
                    <w:jc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t>周边地区</w:t>
                  </w:r>
                </w:p>
              </w:tc>
              <w:tc>
                <w:tcPr>
                  <w:tcW w:w="703" w:type="pct"/>
                  <w:shd w:val="clear" w:color="auto" w:fill="auto"/>
                  <w:noWrap w:val="0"/>
                  <w:vAlign w:val="center"/>
                </w:tcPr>
                <w:p w14:paraId="173AE989">
                  <w:pPr>
                    <w:jc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0.2</w:t>
                  </w:r>
                </w:p>
              </w:tc>
              <w:tc>
                <w:tcPr>
                  <w:tcW w:w="450" w:type="pct"/>
                  <w:noWrap w:val="0"/>
                  <w:vAlign w:val="center"/>
                </w:tcPr>
                <w:p w14:paraId="43691047">
                  <w:pPr>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固体</w:t>
                  </w:r>
                </w:p>
              </w:tc>
            </w:tr>
            <w:tr w14:paraId="533EE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0" w:hRule="atLeast"/>
                <w:jc w:val="center"/>
              </w:trPr>
              <w:tc>
                <w:tcPr>
                  <w:tcW w:w="374" w:type="pct"/>
                  <w:shd w:val="clear" w:color="auto" w:fill="auto"/>
                  <w:noWrap w:val="0"/>
                  <w:vAlign w:val="center"/>
                </w:tcPr>
                <w:p w14:paraId="41C2DF63">
                  <w:pPr>
                    <w:jc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9</w:t>
                  </w:r>
                </w:p>
              </w:tc>
              <w:tc>
                <w:tcPr>
                  <w:tcW w:w="842" w:type="pct"/>
                  <w:noWrap w:val="0"/>
                  <w:vAlign w:val="center"/>
                </w:tcPr>
                <w:p w14:paraId="539FB171">
                  <w:pPr>
                    <w:jc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新鲜</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水</w:t>
                  </w:r>
                </w:p>
              </w:tc>
              <w:tc>
                <w:tcPr>
                  <w:tcW w:w="1075" w:type="pct"/>
                  <w:noWrap w:val="0"/>
                  <w:vAlign w:val="center"/>
                </w:tcPr>
                <w:p w14:paraId="68D8535E">
                  <w:pPr>
                    <w:jc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t>157566</w:t>
                  </w:r>
                </w:p>
              </w:tc>
              <w:tc>
                <w:tcPr>
                  <w:tcW w:w="1554" w:type="pct"/>
                  <w:noWrap w:val="0"/>
                  <w:vAlign w:val="center"/>
                </w:tcPr>
                <w:p w14:paraId="762ADFE5">
                  <w:pPr>
                    <w:jc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园区供水</w:t>
                  </w:r>
                </w:p>
              </w:tc>
              <w:tc>
                <w:tcPr>
                  <w:tcW w:w="703" w:type="pct"/>
                  <w:noWrap w:val="0"/>
                  <w:vAlign w:val="center"/>
                </w:tcPr>
                <w:p w14:paraId="3FF49F8C">
                  <w:pPr>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w:t>
                  </w:r>
                </w:p>
              </w:tc>
              <w:tc>
                <w:tcPr>
                  <w:tcW w:w="450" w:type="pct"/>
                  <w:noWrap w:val="0"/>
                  <w:vAlign w:val="center"/>
                </w:tcPr>
                <w:p w14:paraId="0EA42AD8">
                  <w:pPr>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液体</w:t>
                  </w:r>
                </w:p>
              </w:tc>
            </w:tr>
            <w:tr w14:paraId="01738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374" w:type="pct"/>
                  <w:noWrap w:val="0"/>
                  <w:vAlign w:val="center"/>
                </w:tcPr>
                <w:p w14:paraId="530049A2">
                  <w:pPr>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10</w:t>
                  </w:r>
                </w:p>
              </w:tc>
              <w:tc>
                <w:tcPr>
                  <w:tcW w:w="842" w:type="pct"/>
                  <w:noWrap w:val="0"/>
                  <w:vAlign w:val="center"/>
                </w:tcPr>
                <w:p w14:paraId="578F6132">
                  <w:pPr>
                    <w:jc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电</w:t>
                  </w:r>
                </w:p>
              </w:tc>
              <w:tc>
                <w:tcPr>
                  <w:tcW w:w="1075" w:type="pct"/>
                  <w:noWrap w:val="0"/>
                  <w:vAlign w:val="center"/>
                </w:tcPr>
                <w:p w14:paraId="7F43202B">
                  <w:pPr>
                    <w:jc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Cs/>
                      <w:color w:val="000000" w:themeColor="text1"/>
                      <w:sz w:val="21"/>
                      <w:szCs w:val="21"/>
                      <w:highlight w:val="none"/>
                      <w14:textFill>
                        <w14:solidFill>
                          <w14:schemeClr w14:val="tx1"/>
                        </w14:solidFill>
                      </w14:textFill>
                    </w:rPr>
                    <w:t>12.8×10</w:t>
                  </w:r>
                  <w:r>
                    <w:rPr>
                      <w:rFonts w:hint="default" w:ascii="Times New Roman" w:hAnsi="Times New Roman" w:eastAsia="宋体" w:cs="Times New Roman"/>
                      <w:bCs/>
                      <w:color w:val="000000" w:themeColor="text1"/>
                      <w:sz w:val="21"/>
                      <w:szCs w:val="21"/>
                      <w:highlight w:val="none"/>
                      <w:vertAlign w:val="superscript"/>
                      <w14:textFill>
                        <w14:solidFill>
                          <w14:schemeClr w14:val="tx1"/>
                        </w14:solidFill>
                      </w14:textFill>
                    </w:rPr>
                    <w:t>6</w:t>
                  </w:r>
                  <w:r>
                    <w:rPr>
                      <w:rFonts w:hint="default" w:ascii="Times New Roman" w:hAnsi="Times New Roman" w:eastAsia="宋体" w:cs="Times New Roman"/>
                      <w:bCs/>
                      <w:color w:val="000000" w:themeColor="text1"/>
                      <w:sz w:val="21"/>
                      <w:szCs w:val="21"/>
                      <w:highlight w:val="none"/>
                      <w:vertAlign w:val="baseline"/>
                      <w:lang w:eastAsia="zh-CN"/>
                      <w14:textFill>
                        <w14:solidFill>
                          <w14:schemeClr w14:val="tx1"/>
                        </w14:solidFill>
                      </w14:textFill>
                    </w:rPr>
                    <w:t>kW</w:t>
                  </w:r>
                  <w: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t>*h/a</w:t>
                  </w:r>
                </w:p>
              </w:tc>
              <w:tc>
                <w:tcPr>
                  <w:tcW w:w="1554" w:type="pct"/>
                  <w:noWrap w:val="0"/>
                  <w:vAlign w:val="center"/>
                </w:tcPr>
                <w:p w14:paraId="7C7E84BE">
                  <w:pPr>
                    <w:jc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园区</w:t>
                  </w:r>
                </w:p>
              </w:tc>
              <w:tc>
                <w:tcPr>
                  <w:tcW w:w="703" w:type="pct"/>
                  <w:noWrap w:val="0"/>
                  <w:vAlign w:val="center"/>
                </w:tcPr>
                <w:p w14:paraId="3152E5D7">
                  <w:pPr>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w:t>
                  </w:r>
                </w:p>
              </w:tc>
              <w:tc>
                <w:tcPr>
                  <w:tcW w:w="450" w:type="pct"/>
                  <w:noWrap w:val="0"/>
                  <w:vAlign w:val="center"/>
                </w:tcPr>
                <w:p w14:paraId="7B43452F">
                  <w:pPr>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w:t>
                  </w:r>
                </w:p>
              </w:tc>
            </w:tr>
          </w:tbl>
          <w:p w14:paraId="2CB6081A">
            <w:pPr>
              <w:ind w:firstLine="482" w:firstLineChars="200"/>
              <w:jc w:val="center"/>
              <w:rPr>
                <w:rFonts w:hint="default" w:ascii="Times New Roman" w:hAnsi="Times New Roman" w:eastAsia="宋体" w:cs="Times New Roman"/>
                <w:b/>
                <w:color w:val="000000" w:themeColor="text1"/>
                <w:sz w:val="24"/>
                <w:highlight w:val="none"/>
                <w:lang w:eastAsia="zh-CN"/>
                <w14:textFill>
                  <w14:solidFill>
                    <w14:schemeClr w14:val="tx1"/>
                  </w14:solidFill>
                </w14:textFill>
              </w:rPr>
            </w:pPr>
            <w:r>
              <w:rPr>
                <w:rFonts w:hint="default" w:ascii="Times New Roman" w:hAnsi="Times New Roman" w:eastAsia="宋体" w:cs="Times New Roman"/>
                <w:b/>
                <w:bCs/>
                <w:color w:val="000000" w:themeColor="text1"/>
                <w:sz w:val="24"/>
                <w:highlight w:val="none"/>
                <w14:textFill>
                  <w14:solidFill>
                    <w14:schemeClr w14:val="tx1"/>
                  </w14:solidFill>
                </w14:textFill>
              </w:rPr>
              <w:t>表</w:t>
            </w:r>
            <w:r>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t>2-16</w:t>
            </w:r>
            <w:r>
              <w:rPr>
                <w:rFonts w:hint="default" w:ascii="Times New Roman" w:hAnsi="Times New Roman" w:eastAsia="宋体" w:cs="Times New Roman"/>
                <w:b/>
                <w:bCs w:val="0"/>
                <w:color w:val="000000" w:themeColor="text1"/>
                <w:sz w:val="24"/>
                <w:highlight w:val="none"/>
                <w14:textFill>
                  <w14:solidFill>
                    <w14:schemeClr w14:val="tx1"/>
                  </w14:solidFill>
                </w14:textFill>
              </w:rPr>
              <w:t>原辅</w:t>
            </w:r>
            <w:r>
              <w:rPr>
                <w:rFonts w:hint="default" w:ascii="Times New Roman" w:hAnsi="Times New Roman" w:eastAsia="宋体" w:cs="Times New Roman"/>
                <w:b/>
                <w:color w:val="000000" w:themeColor="text1"/>
                <w:sz w:val="24"/>
                <w:highlight w:val="none"/>
                <w14:textFill>
                  <w14:solidFill>
                    <w14:schemeClr w14:val="tx1"/>
                  </w14:solidFill>
                </w14:textFill>
              </w:rPr>
              <w:t>材料主要</w:t>
            </w:r>
            <w:r>
              <w:rPr>
                <w:rFonts w:hint="default" w:ascii="Times New Roman" w:hAnsi="Times New Roman" w:eastAsia="宋体" w:cs="Times New Roman"/>
                <w:b/>
                <w:color w:val="000000" w:themeColor="text1"/>
                <w:sz w:val="24"/>
                <w:highlight w:val="none"/>
                <w:lang w:eastAsia="zh-CN"/>
                <w14:textFill>
                  <w14:solidFill>
                    <w14:schemeClr w14:val="tx1"/>
                  </w14:solidFill>
                </w14:textFill>
              </w:rPr>
              <w:t>成分</w:t>
            </w:r>
          </w:p>
          <w:tbl>
            <w:tblPr>
              <w:tblStyle w:val="2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3"/>
              <w:gridCol w:w="7483"/>
            </w:tblGrid>
            <w:tr w14:paraId="431F8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533" w:type="pct"/>
                  <w:noWrap w:val="0"/>
                  <w:vAlign w:val="center"/>
                </w:tcPr>
                <w:p w14:paraId="50AFE782">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val="0"/>
                      <w:bCs w:val="0"/>
                      <w:color w:val="000000" w:themeColor="text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Cs w:val="21"/>
                      <w:highlight w:val="none"/>
                      <w14:textFill>
                        <w14:solidFill>
                          <w14:schemeClr w14:val="tx1"/>
                        </w14:solidFill>
                      </w14:textFill>
                    </w:rPr>
                    <w:t>品种</w:t>
                  </w:r>
                </w:p>
              </w:tc>
              <w:tc>
                <w:tcPr>
                  <w:tcW w:w="4466" w:type="pct"/>
                  <w:noWrap w:val="0"/>
                  <w:vAlign w:val="center"/>
                </w:tcPr>
                <w:p w14:paraId="3B4FE502">
                  <w:pPr>
                    <w:pStyle w:val="9"/>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主要</w:t>
                  </w: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成分</w:t>
                  </w:r>
                </w:p>
              </w:tc>
            </w:tr>
            <w:tr w14:paraId="7C70B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533" w:type="pct"/>
                  <w:noWrap w:val="0"/>
                  <w:vAlign w:val="center"/>
                </w:tcPr>
                <w:p w14:paraId="300D257D">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原料粉</w:t>
                  </w: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含水率≤</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1</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w:t>
                  </w:r>
                </w:p>
              </w:tc>
              <w:tc>
                <w:tcPr>
                  <w:tcW w:w="4466" w:type="pct"/>
                  <w:noWrap w:val="0"/>
                  <w:vAlign w:val="center"/>
                </w:tcPr>
                <w:p w14:paraId="5AC4693B">
                  <w:pPr>
                    <w:pStyle w:val="116"/>
                    <w:keepNext w:val="0"/>
                    <w:keepLines w:val="0"/>
                    <w:pageBreakBefore w:val="0"/>
                    <w:widowControl w:val="0"/>
                    <w:kinsoku/>
                    <w:wordWrap/>
                    <w:overflowPunct/>
                    <w:topLinePunct w:val="0"/>
                    <w:autoSpaceDE/>
                    <w:autoSpaceDN/>
                    <w:bidi w:val="0"/>
                    <w:adjustRightInd/>
                    <w:snapToGrid/>
                    <w:spacing w:line="240" w:lineRule="auto"/>
                    <w:ind w:left="0" w:firstLine="0" w:firstLineChars="0"/>
                    <w:jc w:val="both"/>
                    <w:textAlignment w:val="auto"/>
                    <w:rPr>
                      <w:rFonts w:hint="default" w:ascii="Times New Roman" w:hAnsi="Times New Roman" w:eastAsia="宋体" w:cs="Times New Roman"/>
                      <w:b w:val="0"/>
                      <w:bCs w:val="0"/>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cs="Times New Roman"/>
                      <w:b w:val="0"/>
                      <w:bCs w:val="0"/>
                      <w:color w:val="000000" w:themeColor="text1"/>
                      <w:highlight w:val="none"/>
                      <w14:textFill>
                        <w14:solidFill>
                          <w14:schemeClr w14:val="tx1"/>
                        </w14:solidFill>
                      </w14:textFill>
                    </w:rPr>
                    <w:t>又称煤研石，是采煤过程和洗煤过程中排放</w:t>
                  </w:r>
                  <w:r>
                    <w:rPr>
                      <w:rFonts w:hint="default" w:ascii="Times New Roman" w:hAnsi="Times New Roman" w:cs="Times New Roman"/>
                      <w:b w:val="0"/>
                      <w:bCs w:val="0"/>
                      <w:color w:val="000000" w:themeColor="text1"/>
                      <w:spacing w:val="-1"/>
                      <w:highlight w:val="none"/>
                      <w14:textFill>
                        <w14:solidFill>
                          <w14:schemeClr w14:val="tx1"/>
                        </w14:solidFill>
                      </w14:textFill>
                    </w:rPr>
                    <w:t>的固体废物，是一种在成煤过程中与煤层伴生的一种含碳量较低、比煤坚硬</w:t>
                  </w:r>
                  <w:r>
                    <w:rPr>
                      <w:rFonts w:hint="default" w:ascii="Times New Roman" w:hAnsi="Times New Roman" w:cs="Times New Roman"/>
                      <w:b w:val="0"/>
                      <w:bCs w:val="0"/>
                      <w:color w:val="000000" w:themeColor="text1"/>
                      <w:spacing w:val="1"/>
                      <w:highlight w:val="none"/>
                      <w14:textFill>
                        <w14:solidFill>
                          <w14:schemeClr w14:val="tx1"/>
                        </w14:solidFill>
                      </w14:textFill>
                    </w:rPr>
                    <w:t>的黑灰色岩石。其主要成分是</w:t>
                  </w:r>
                  <w:r>
                    <w:rPr>
                      <w:rFonts w:hint="default" w:ascii="Times New Roman" w:hAnsi="Times New Roman" w:cs="Times New Roman"/>
                      <w:b w:val="0"/>
                      <w:bCs w:val="0"/>
                      <w:color w:val="000000" w:themeColor="text1"/>
                      <w:highlight w:val="none"/>
                      <w14:textFill>
                        <w14:solidFill>
                          <w14:schemeClr w14:val="tx1"/>
                        </w14:solidFill>
                      </w14:textFill>
                    </w:rPr>
                    <w:t>Al</w:t>
                  </w:r>
                  <w:r>
                    <w:rPr>
                      <w:rFonts w:hint="default" w:ascii="Times New Roman" w:hAnsi="Times New Roman" w:eastAsia="Calibri" w:cs="Times New Roman"/>
                      <w:b w:val="0"/>
                      <w:bCs w:val="0"/>
                      <w:color w:val="000000" w:themeColor="text1"/>
                      <w:spacing w:val="1"/>
                      <w:highlight w:val="none"/>
                      <w14:textFill>
                        <w14:solidFill>
                          <w14:schemeClr w14:val="tx1"/>
                        </w14:solidFill>
                      </w14:textFill>
                    </w:rPr>
                    <w:t>₂</w:t>
                  </w:r>
                  <w:r>
                    <w:rPr>
                      <w:rFonts w:hint="default" w:ascii="Times New Roman" w:hAnsi="Times New Roman" w:cs="Times New Roman"/>
                      <w:b w:val="0"/>
                      <w:bCs w:val="0"/>
                      <w:color w:val="000000" w:themeColor="text1"/>
                      <w:spacing w:val="1"/>
                      <w:highlight w:val="none"/>
                      <w14:textFill>
                        <w14:solidFill>
                          <w14:schemeClr w14:val="tx1"/>
                        </w14:solidFill>
                      </w14:textFill>
                    </w:rPr>
                    <w:t>O</w:t>
                  </w:r>
                  <w:r>
                    <w:rPr>
                      <w:rFonts w:hint="default" w:ascii="Times New Roman" w:hAnsi="Times New Roman" w:eastAsia="Calibri" w:cs="Times New Roman"/>
                      <w:b w:val="0"/>
                      <w:bCs w:val="0"/>
                      <w:color w:val="000000" w:themeColor="text1"/>
                      <w:spacing w:val="1"/>
                      <w:highlight w:val="none"/>
                      <w14:textFill>
                        <w14:solidFill>
                          <w14:schemeClr w14:val="tx1"/>
                        </w14:solidFill>
                      </w14:textFill>
                    </w:rPr>
                    <w:t>₃</w:t>
                  </w:r>
                  <w:r>
                    <w:rPr>
                      <w:rFonts w:hint="default" w:ascii="Times New Roman" w:hAnsi="Times New Roman" w:cs="Times New Roman"/>
                      <w:b w:val="0"/>
                      <w:bCs w:val="0"/>
                      <w:color w:val="000000" w:themeColor="text1"/>
                      <w:spacing w:val="1"/>
                      <w:highlight w:val="none"/>
                      <w14:textFill>
                        <w14:solidFill>
                          <w14:schemeClr w14:val="tx1"/>
                        </w14:solidFill>
                      </w14:textFill>
                    </w:rPr>
                    <w:t>、</w:t>
                  </w:r>
                  <w:r>
                    <w:rPr>
                      <w:rFonts w:hint="default" w:ascii="Times New Roman" w:hAnsi="Times New Roman" w:cs="Times New Roman"/>
                      <w:b w:val="0"/>
                      <w:bCs w:val="0"/>
                      <w:color w:val="000000" w:themeColor="text1"/>
                      <w:highlight w:val="none"/>
                      <w14:textFill>
                        <w14:solidFill>
                          <w14:schemeClr w14:val="tx1"/>
                        </w14:solidFill>
                      </w14:textFill>
                    </w:rPr>
                    <w:t>SiO</w:t>
                  </w:r>
                  <w:r>
                    <w:rPr>
                      <w:rFonts w:hint="default" w:ascii="Times New Roman" w:hAnsi="Times New Roman" w:eastAsia="Calibri" w:cs="Times New Roman"/>
                      <w:b w:val="0"/>
                      <w:bCs w:val="0"/>
                      <w:color w:val="000000" w:themeColor="text1"/>
                      <w:spacing w:val="1"/>
                      <w:highlight w:val="none"/>
                      <w14:textFill>
                        <w14:solidFill>
                          <w14:schemeClr w14:val="tx1"/>
                        </w14:solidFill>
                      </w14:textFill>
                    </w:rPr>
                    <w:t>₂</w:t>
                  </w:r>
                  <w:r>
                    <w:rPr>
                      <w:rFonts w:hint="default" w:ascii="Times New Roman" w:hAnsi="Times New Roman" w:cs="Times New Roman"/>
                      <w:b w:val="0"/>
                      <w:bCs w:val="0"/>
                      <w:color w:val="000000" w:themeColor="text1"/>
                      <w:spacing w:val="1"/>
                      <w:highlight w:val="none"/>
                      <w:lang w:eastAsia="zh-CN"/>
                      <w14:textFill>
                        <w14:solidFill>
                          <w14:schemeClr w14:val="tx1"/>
                        </w14:solidFill>
                      </w14:textFill>
                    </w:rPr>
                    <w:t>，</w:t>
                  </w:r>
                  <w:r>
                    <w:rPr>
                      <w:rFonts w:hint="default" w:ascii="Times New Roman" w:hAnsi="Times New Roman" w:cs="Times New Roman"/>
                      <w:b w:val="0"/>
                      <w:bCs w:val="0"/>
                      <w:color w:val="000000" w:themeColor="text1"/>
                      <w:spacing w:val="1"/>
                      <w:highlight w:val="none"/>
                      <w14:textFill>
                        <w14:solidFill>
                          <w14:schemeClr w14:val="tx1"/>
                        </w14:solidFill>
                      </w14:textFill>
                    </w:rPr>
                    <w:t>另外还含有数量</w:t>
                  </w:r>
                  <w:r>
                    <w:rPr>
                      <w:rFonts w:hint="default" w:ascii="Times New Roman" w:hAnsi="Times New Roman" w:cs="Times New Roman"/>
                      <w:b w:val="0"/>
                      <w:bCs w:val="0"/>
                      <w:color w:val="000000" w:themeColor="text1"/>
                      <w:spacing w:val="14"/>
                      <w:highlight w:val="none"/>
                      <w14:textFill>
                        <w14:solidFill>
                          <w14:schemeClr w14:val="tx1"/>
                        </w14:solidFill>
                      </w14:textFill>
                    </w:rPr>
                    <w:t>不等的</w:t>
                  </w:r>
                  <w:r>
                    <w:rPr>
                      <w:rFonts w:hint="default" w:ascii="Times New Roman" w:hAnsi="Times New Roman" w:cs="Times New Roman"/>
                      <w:b w:val="0"/>
                      <w:bCs w:val="0"/>
                      <w:color w:val="000000" w:themeColor="text1"/>
                      <w:highlight w:val="none"/>
                      <w14:textFill>
                        <w14:solidFill>
                          <w14:schemeClr w14:val="tx1"/>
                        </w14:solidFill>
                      </w14:textFill>
                    </w:rPr>
                    <w:t>Fe</w:t>
                  </w:r>
                  <w:r>
                    <w:rPr>
                      <w:rFonts w:hint="default" w:ascii="Times New Roman" w:hAnsi="Times New Roman" w:eastAsia="Calibri" w:cs="Times New Roman"/>
                      <w:b w:val="0"/>
                      <w:bCs w:val="0"/>
                      <w:color w:val="000000" w:themeColor="text1"/>
                      <w:spacing w:val="14"/>
                      <w:highlight w:val="none"/>
                      <w14:textFill>
                        <w14:solidFill>
                          <w14:schemeClr w14:val="tx1"/>
                        </w14:solidFill>
                      </w14:textFill>
                    </w:rPr>
                    <w:t>₂</w:t>
                  </w:r>
                  <w:r>
                    <w:rPr>
                      <w:rFonts w:hint="default" w:ascii="Times New Roman" w:hAnsi="Times New Roman" w:cs="Times New Roman"/>
                      <w:b w:val="0"/>
                      <w:bCs w:val="0"/>
                      <w:color w:val="000000" w:themeColor="text1"/>
                      <w:spacing w:val="14"/>
                      <w:highlight w:val="none"/>
                      <w14:textFill>
                        <w14:solidFill>
                          <w14:schemeClr w14:val="tx1"/>
                        </w14:solidFill>
                      </w14:textFill>
                    </w:rPr>
                    <w:t>O</w:t>
                  </w:r>
                  <w:r>
                    <w:rPr>
                      <w:rFonts w:hint="default" w:ascii="Times New Roman" w:hAnsi="Times New Roman" w:eastAsia="Calibri" w:cs="Times New Roman"/>
                      <w:b w:val="0"/>
                      <w:bCs w:val="0"/>
                      <w:color w:val="000000" w:themeColor="text1"/>
                      <w:spacing w:val="14"/>
                      <w:highlight w:val="none"/>
                      <w14:textFill>
                        <w14:solidFill>
                          <w14:schemeClr w14:val="tx1"/>
                        </w14:solidFill>
                      </w14:textFill>
                    </w:rPr>
                    <w:t>₃</w:t>
                  </w:r>
                  <w:r>
                    <w:rPr>
                      <w:rFonts w:hint="default" w:ascii="Times New Roman" w:hAnsi="Times New Roman" w:cs="Times New Roman"/>
                      <w:b w:val="0"/>
                      <w:bCs w:val="0"/>
                      <w:color w:val="000000" w:themeColor="text1"/>
                      <w:spacing w:val="14"/>
                      <w:highlight w:val="none"/>
                      <w14:textFill>
                        <w14:solidFill>
                          <w14:schemeClr w14:val="tx1"/>
                        </w14:solidFill>
                      </w14:textFill>
                    </w:rPr>
                    <w:t>、</w:t>
                  </w:r>
                  <w:r>
                    <w:rPr>
                      <w:rFonts w:hint="default" w:ascii="Times New Roman" w:hAnsi="Times New Roman" w:cs="Times New Roman"/>
                      <w:b w:val="0"/>
                      <w:bCs w:val="0"/>
                      <w:color w:val="000000" w:themeColor="text1"/>
                      <w:highlight w:val="none"/>
                      <w14:textFill>
                        <w14:solidFill>
                          <w14:schemeClr w14:val="tx1"/>
                        </w14:solidFill>
                      </w14:textFill>
                    </w:rPr>
                    <w:t>CaO</w:t>
                  </w:r>
                  <w:r>
                    <w:rPr>
                      <w:rFonts w:hint="default" w:ascii="Times New Roman" w:hAnsi="Times New Roman" w:cs="Times New Roman"/>
                      <w:b w:val="0"/>
                      <w:bCs w:val="0"/>
                      <w:color w:val="000000" w:themeColor="text1"/>
                      <w:spacing w:val="14"/>
                      <w:highlight w:val="none"/>
                      <w14:textFill>
                        <w14:solidFill>
                          <w14:schemeClr w14:val="tx1"/>
                        </w14:solidFill>
                      </w14:textFill>
                    </w:rPr>
                    <w:t>、</w:t>
                  </w:r>
                  <w:r>
                    <w:rPr>
                      <w:rFonts w:hint="default" w:ascii="Times New Roman" w:hAnsi="Times New Roman" w:cs="Times New Roman"/>
                      <w:b w:val="0"/>
                      <w:bCs w:val="0"/>
                      <w:color w:val="000000" w:themeColor="text1"/>
                      <w:highlight w:val="none"/>
                      <w14:textFill>
                        <w14:solidFill>
                          <w14:schemeClr w14:val="tx1"/>
                        </w14:solidFill>
                      </w14:textFill>
                    </w:rPr>
                    <w:t>MgO</w:t>
                  </w:r>
                  <w:r>
                    <w:rPr>
                      <w:rFonts w:hint="default" w:ascii="Times New Roman" w:hAnsi="Times New Roman" w:cs="Times New Roman"/>
                      <w:b w:val="0"/>
                      <w:bCs w:val="0"/>
                      <w:color w:val="000000" w:themeColor="text1"/>
                      <w:spacing w:val="14"/>
                      <w:highlight w:val="none"/>
                      <w14:textFill>
                        <w14:solidFill>
                          <w14:schemeClr w14:val="tx1"/>
                        </w14:solidFill>
                      </w14:textFill>
                    </w:rPr>
                    <w:t>、</w:t>
                  </w:r>
                  <w:r>
                    <w:rPr>
                      <w:rFonts w:hint="default" w:ascii="Times New Roman" w:hAnsi="Times New Roman" w:cs="Times New Roman"/>
                      <w:b w:val="0"/>
                      <w:bCs w:val="0"/>
                      <w:color w:val="000000" w:themeColor="text1"/>
                      <w:highlight w:val="none"/>
                      <w14:textFill>
                        <w14:solidFill>
                          <w14:schemeClr w14:val="tx1"/>
                        </w14:solidFill>
                      </w14:textFill>
                    </w:rPr>
                    <w:t>Na</w:t>
                  </w:r>
                  <w:r>
                    <w:rPr>
                      <w:rFonts w:hint="default" w:ascii="Times New Roman" w:hAnsi="Times New Roman" w:eastAsia="Calibri" w:cs="Times New Roman"/>
                      <w:b w:val="0"/>
                      <w:bCs w:val="0"/>
                      <w:color w:val="000000" w:themeColor="text1"/>
                      <w:spacing w:val="14"/>
                      <w:highlight w:val="none"/>
                      <w14:textFill>
                        <w14:solidFill>
                          <w14:schemeClr w14:val="tx1"/>
                        </w14:solidFill>
                      </w14:textFill>
                    </w:rPr>
                    <w:t>₂</w:t>
                  </w:r>
                  <w:r>
                    <w:rPr>
                      <w:rFonts w:hint="default" w:ascii="Times New Roman" w:hAnsi="Times New Roman" w:cs="Times New Roman"/>
                      <w:b w:val="0"/>
                      <w:bCs w:val="0"/>
                      <w:color w:val="000000" w:themeColor="text1"/>
                      <w:spacing w:val="14"/>
                      <w:highlight w:val="none"/>
                      <w14:textFill>
                        <w14:solidFill>
                          <w14:schemeClr w14:val="tx1"/>
                        </w14:solidFill>
                      </w14:textFill>
                    </w:rPr>
                    <w:t>O、K</w:t>
                  </w:r>
                  <w:r>
                    <w:rPr>
                      <w:rFonts w:hint="default" w:ascii="Times New Roman" w:hAnsi="Times New Roman" w:eastAsia="Calibri" w:cs="Times New Roman"/>
                      <w:b w:val="0"/>
                      <w:bCs w:val="0"/>
                      <w:color w:val="000000" w:themeColor="text1"/>
                      <w:spacing w:val="14"/>
                      <w:highlight w:val="none"/>
                      <w14:textFill>
                        <w14:solidFill>
                          <w14:schemeClr w14:val="tx1"/>
                        </w14:solidFill>
                      </w14:textFill>
                    </w:rPr>
                    <w:t>₂</w:t>
                  </w:r>
                  <w:r>
                    <w:rPr>
                      <w:rFonts w:hint="default" w:ascii="Times New Roman" w:hAnsi="Times New Roman" w:cs="Times New Roman"/>
                      <w:b w:val="0"/>
                      <w:bCs w:val="0"/>
                      <w:color w:val="000000" w:themeColor="text1"/>
                      <w:spacing w:val="14"/>
                      <w:highlight w:val="none"/>
                      <w14:textFill>
                        <w14:solidFill>
                          <w14:schemeClr w14:val="tx1"/>
                        </w14:solidFill>
                      </w14:textFill>
                    </w:rPr>
                    <w:t>O、P</w:t>
                  </w:r>
                  <w:r>
                    <w:rPr>
                      <w:rFonts w:hint="default" w:ascii="Times New Roman" w:hAnsi="Times New Roman" w:eastAsia="Calibri" w:cs="Times New Roman"/>
                      <w:b w:val="0"/>
                      <w:bCs w:val="0"/>
                      <w:color w:val="000000" w:themeColor="text1"/>
                      <w:spacing w:val="14"/>
                      <w:highlight w:val="none"/>
                      <w14:textFill>
                        <w14:solidFill>
                          <w14:schemeClr w14:val="tx1"/>
                        </w14:solidFill>
                      </w14:textFill>
                    </w:rPr>
                    <w:t>₂</w:t>
                  </w:r>
                  <w:r>
                    <w:rPr>
                      <w:rFonts w:hint="default" w:ascii="Times New Roman" w:hAnsi="Times New Roman" w:cs="Times New Roman"/>
                      <w:b w:val="0"/>
                      <w:bCs w:val="0"/>
                      <w:color w:val="000000" w:themeColor="text1"/>
                      <w:highlight w:val="none"/>
                      <w14:textFill>
                        <w14:solidFill>
                          <w14:schemeClr w14:val="tx1"/>
                        </w14:solidFill>
                      </w14:textFill>
                    </w:rPr>
                    <w:t>O</w:t>
                  </w:r>
                  <w:r>
                    <w:rPr>
                      <w:rFonts w:hint="default" w:ascii="Times New Roman" w:hAnsi="Times New Roman" w:cs="Times New Roman"/>
                      <w:b w:val="0"/>
                      <w:bCs w:val="0"/>
                      <w:color w:val="000000" w:themeColor="text1"/>
                      <w:highlight w:val="none"/>
                      <w:vertAlign w:val="subscript"/>
                      <w:lang w:val="en-US" w:eastAsia="zh-CN"/>
                      <w14:textFill>
                        <w14:solidFill>
                          <w14:schemeClr w14:val="tx1"/>
                        </w14:solidFill>
                      </w14:textFill>
                    </w:rPr>
                    <w:t>5</w:t>
                  </w:r>
                  <w:r>
                    <w:rPr>
                      <w:rFonts w:hint="default" w:ascii="Times New Roman" w:hAnsi="Times New Roman" w:cs="Times New Roman"/>
                      <w:b w:val="0"/>
                      <w:bCs w:val="0"/>
                      <w:color w:val="000000" w:themeColor="text1"/>
                      <w:spacing w:val="14"/>
                      <w:highlight w:val="none"/>
                      <w14:textFill>
                        <w14:solidFill>
                          <w14:schemeClr w14:val="tx1"/>
                        </w14:solidFill>
                      </w14:textFill>
                    </w:rPr>
                    <w:t>、</w:t>
                  </w:r>
                  <w:r>
                    <w:rPr>
                      <w:rFonts w:hint="default" w:ascii="Times New Roman" w:hAnsi="Times New Roman" w:cs="Times New Roman"/>
                      <w:b w:val="0"/>
                      <w:bCs w:val="0"/>
                      <w:color w:val="000000" w:themeColor="text1"/>
                      <w:highlight w:val="none"/>
                      <w14:textFill>
                        <w14:solidFill>
                          <w14:schemeClr w14:val="tx1"/>
                        </w14:solidFill>
                      </w14:textFill>
                    </w:rPr>
                    <w:t>SO</w:t>
                  </w:r>
                  <w:r>
                    <w:rPr>
                      <w:rFonts w:hint="default" w:ascii="Times New Roman" w:hAnsi="Times New Roman" w:eastAsia="Calibri" w:cs="Times New Roman"/>
                      <w:b w:val="0"/>
                      <w:bCs w:val="0"/>
                      <w:color w:val="000000" w:themeColor="text1"/>
                      <w:spacing w:val="14"/>
                      <w:highlight w:val="none"/>
                      <w14:textFill>
                        <w14:solidFill>
                          <w14:schemeClr w14:val="tx1"/>
                        </w14:solidFill>
                      </w14:textFill>
                    </w:rPr>
                    <w:t>₃</w:t>
                  </w:r>
                  <w:r>
                    <w:rPr>
                      <w:rFonts w:hint="default" w:ascii="Times New Roman" w:hAnsi="Times New Roman" w:cs="Times New Roman"/>
                      <w:b w:val="0"/>
                      <w:bCs w:val="0"/>
                      <w:color w:val="000000" w:themeColor="text1"/>
                      <w:spacing w:val="14"/>
                      <w:highlight w:val="none"/>
                      <w14:textFill>
                        <w14:solidFill>
                          <w14:schemeClr w14:val="tx1"/>
                        </w14:solidFill>
                      </w14:textFill>
                    </w:rPr>
                    <w:t>和微量</w:t>
                  </w:r>
                  <w:r>
                    <w:rPr>
                      <w:rFonts w:hint="default" w:ascii="Times New Roman" w:hAnsi="Times New Roman" w:cs="Times New Roman"/>
                      <w:b w:val="0"/>
                      <w:bCs w:val="0"/>
                      <w:color w:val="000000" w:themeColor="text1"/>
                      <w:spacing w:val="-1"/>
                      <w:highlight w:val="none"/>
                      <w14:textFill>
                        <w14:solidFill>
                          <w14:schemeClr w14:val="tx1"/>
                        </w14:solidFill>
                      </w14:textFill>
                    </w:rPr>
                    <w:t>稀有元素</w:t>
                  </w:r>
                  <w:r>
                    <w:rPr>
                      <w:rFonts w:hint="default" w:ascii="Times New Roman" w:hAnsi="Times New Roman" w:cs="Times New Roman"/>
                      <w:b w:val="0"/>
                      <w:bCs w:val="0"/>
                      <w:color w:val="000000" w:themeColor="text1"/>
                      <w:spacing w:val="-1"/>
                      <w:highlight w:val="none"/>
                      <w:lang w:eastAsia="zh-CN"/>
                      <w14:textFill>
                        <w14:solidFill>
                          <w14:schemeClr w14:val="tx1"/>
                        </w14:solidFill>
                      </w14:textFill>
                    </w:rPr>
                    <w:t>（</w:t>
                  </w:r>
                  <w:r>
                    <w:rPr>
                      <w:rFonts w:hint="default" w:ascii="Times New Roman" w:hAnsi="Times New Roman" w:cs="Times New Roman"/>
                      <w:b w:val="0"/>
                      <w:bCs w:val="0"/>
                      <w:color w:val="000000" w:themeColor="text1"/>
                      <w:spacing w:val="-1"/>
                      <w:highlight w:val="none"/>
                      <w14:textFill>
                        <w14:solidFill>
                          <w14:schemeClr w14:val="tx1"/>
                        </w14:solidFill>
                      </w14:textFill>
                    </w:rPr>
                    <w:t>镓、钒、钛、钴</w:t>
                  </w:r>
                  <w:r>
                    <w:rPr>
                      <w:rFonts w:hint="default" w:ascii="Times New Roman" w:hAnsi="Times New Roman" w:cs="Times New Roman"/>
                      <w:b w:val="0"/>
                      <w:bCs w:val="0"/>
                      <w:color w:val="000000" w:themeColor="text1"/>
                      <w:spacing w:val="-1"/>
                      <w:highlight w:val="none"/>
                      <w:lang w:eastAsia="zh-CN"/>
                      <w14:textFill>
                        <w14:solidFill>
                          <w14:schemeClr w14:val="tx1"/>
                        </w14:solidFill>
                      </w14:textFill>
                    </w:rPr>
                    <w:t>）</w:t>
                  </w:r>
                  <w:r>
                    <w:rPr>
                      <w:rFonts w:hint="default" w:ascii="Times New Roman" w:hAnsi="Times New Roman" w:cs="Times New Roman"/>
                      <w:b w:val="0"/>
                      <w:bCs w:val="0"/>
                      <w:color w:val="000000" w:themeColor="text1"/>
                      <w:spacing w:val="-1"/>
                      <w:highlight w:val="none"/>
                      <w14:textFill>
                        <w14:solidFill>
                          <w14:schemeClr w14:val="tx1"/>
                        </w14:solidFill>
                      </w14:textFill>
                    </w:rPr>
                    <w:t>。</w:t>
                  </w:r>
                </w:p>
              </w:tc>
            </w:tr>
            <w:tr w14:paraId="31AA1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533" w:type="pct"/>
                  <w:noWrap w:val="0"/>
                  <w:vAlign w:val="center"/>
                </w:tcPr>
                <w:p w14:paraId="4CDB1416">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焦炉</w:t>
                  </w:r>
                </w:p>
                <w:p w14:paraId="3CDB13E9">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煤气</w:t>
                  </w:r>
                </w:p>
              </w:tc>
              <w:tc>
                <w:tcPr>
                  <w:tcW w:w="4466" w:type="pct"/>
                  <w:noWrap w:val="0"/>
                  <w:vAlign w:val="center"/>
                </w:tcPr>
                <w:p w14:paraId="672EB599">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both"/>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又称焦炉气，由于可燃成分多，属于高热值煤气，粗煤气或</w:t>
                  </w: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煤气</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。是指用几种烟煤配制成炼焦用煤，在炼焦炉中经过高温干馏后，在产出焦炭和焦油产品的同时所产生的一种可燃性气体，是炼焦工业的副产品。焦炉气是混合物，其主要成分为氢气</w:t>
                  </w: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（55%～60%）</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和甲烷</w:t>
                  </w: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23%～27%，</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另外还含有少量的一氧化碳</w:t>
                  </w: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（5%～8%）</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、C2以上不饱和烃</w:t>
                  </w: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（2%～4%）</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、二氧化碳</w:t>
                  </w: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（1.5%～3%）</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、氧气</w:t>
                  </w: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0.3%～0.8%</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、氮气</w:t>
                  </w: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（3%～7%）</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。其中氢气、甲烷、一氧化碳、C</w:t>
                  </w:r>
                  <w:r>
                    <w:rPr>
                      <w:rFonts w:hint="default" w:ascii="Times New Roman" w:hAnsi="Times New Roman" w:eastAsia="宋体" w:cs="Times New Roman"/>
                      <w:b w:val="0"/>
                      <w:bCs w:val="0"/>
                      <w:color w:val="000000" w:themeColor="text1"/>
                      <w:sz w:val="21"/>
                      <w:szCs w:val="21"/>
                      <w:highlight w:val="none"/>
                      <w:vertAlign w:val="subscript"/>
                      <w14:textFill>
                        <w14:solidFill>
                          <w14:schemeClr w14:val="tx1"/>
                        </w14:solidFill>
                      </w14:textFill>
                    </w:rPr>
                    <w:t>2</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以上不饱和烃为可燃组分，二氧化碳、氮气、氧气为不可燃组分。</w:t>
                  </w:r>
                </w:p>
              </w:tc>
            </w:tr>
          </w:tbl>
          <w:p w14:paraId="27384437">
            <w:pPr>
              <w:pStyle w:val="13"/>
              <w:keepNext w:val="0"/>
              <w:keepLines w:val="0"/>
              <w:pageBreakBefore w:val="0"/>
              <w:widowControl w:val="0"/>
              <w:kinsoku/>
              <w:wordWrap/>
              <w:overflowPunct/>
              <w:topLinePunct w:val="0"/>
              <w:autoSpaceDE/>
              <w:autoSpaceDN/>
              <w:bidi w:val="0"/>
              <w:adjustRightInd/>
              <w:snapToGrid w:val="0"/>
              <w:spacing w:before="0" w:after="0" w:line="360" w:lineRule="auto"/>
              <w:ind w:right="0" w:firstLine="480" w:firstLineChars="20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本项目的原料为</w:t>
            </w:r>
            <w:r>
              <w:rPr>
                <w:rFonts w:hint="default" w:ascii="Times New Roman" w:hAnsi="Times New Roman" w:cs="Times New Roman"/>
                <w:color w:val="000000" w:themeColor="text1"/>
                <w:sz w:val="24"/>
                <w:szCs w:val="24"/>
                <w:highlight w:val="none"/>
                <w:lang w:eastAsia="zh-CN"/>
                <w14:textFill>
                  <w14:solidFill>
                    <w14:schemeClr w14:val="tx1"/>
                  </w14:solidFill>
                </w14:textFill>
              </w:rPr>
              <w:t>原料粉</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《内蒙古伊东高新材料科技有限公司固废利用项目》</w:t>
            </w:r>
            <w:r>
              <w:rPr>
                <w:rFonts w:hint="default" w:ascii="Times New Roman" w:hAnsi="Times New Roman" w:eastAsia="宋体" w:cs="Times New Roman"/>
                <w:color w:val="000000" w:themeColor="text1"/>
                <w:sz w:val="24"/>
                <w:szCs w:val="24"/>
                <w:highlight w:val="none"/>
                <w14:textFill>
                  <w14:solidFill>
                    <w14:schemeClr w14:val="tx1"/>
                  </w14:solidFill>
                </w14:textFill>
              </w:rPr>
              <w:t>已对煤矸石品质进行了分选、烘干兼粉磨和储存均化</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等</w:t>
            </w:r>
            <w:r>
              <w:rPr>
                <w:rFonts w:hint="default" w:ascii="Times New Roman" w:hAnsi="Times New Roman" w:cs="Times New Roman"/>
                <w:b/>
                <w:bCs/>
                <w:color w:val="000000" w:themeColor="text1"/>
                <w:sz w:val="24"/>
                <w:szCs w:val="24"/>
                <w:highlight w:val="none"/>
                <w:lang w:val="en-US" w:eastAsia="zh-CN"/>
                <w14:textFill>
                  <w14:solidFill>
                    <w14:schemeClr w14:val="tx1"/>
                  </w14:solidFill>
                </w14:textFill>
              </w:rPr>
              <w:t>预处理</w:t>
            </w:r>
            <w:r>
              <w:rPr>
                <w:rFonts w:hint="default" w:ascii="Times New Roman" w:hAnsi="Times New Roman" w:eastAsia="宋体" w:cs="Times New Roman"/>
                <w:color w:val="000000" w:themeColor="text1"/>
                <w:sz w:val="24"/>
                <w:szCs w:val="24"/>
                <w:highlight w:val="none"/>
                <w14:textFill>
                  <w14:solidFill>
                    <w14:schemeClr w14:val="tx1"/>
                  </w14:solidFill>
                </w14:textFill>
              </w:rPr>
              <w:t>。提供给本项目的</w:t>
            </w:r>
            <w:r>
              <w:rPr>
                <w:rFonts w:hint="default" w:ascii="Times New Roman" w:hAnsi="Times New Roman" w:cs="Times New Roman"/>
                <w:color w:val="000000" w:themeColor="text1"/>
                <w:sz w:val="24"/>
                <w:szCs w:val="24"/>
                <w:highlight w:val="none"/>
                <w:lang w:eastAsia="zh-CN"/>
                <w14:textFill>
                  <w14:solidFill>
                    <w14:schemeClr w14:val="tx1"/>
                  </w14:solidFill>
                </w14:textFill>
              </w:rPr>
              <w:t>原料粉</w:t>
            </w:r>
            <w:r>
              <w:rPr>
                <w:rFonts w:hint="default" w:ascii="Times New Roman" w:hAnsi="Times New Roman" w:eastAsia="宋体" w:cs="Times New Roman"/>
                <w:color w:val="000000" w:themeColor="text1"/>
                <w:sz w:val="24"/>
                <w:szCs w:val="24"/>
                <w:highlight w:val="none"/>
                <w14:textFill>
                  <w14:solidFill>
                    <w14:schemeClr w14:val="tx1"/>
                  </w14:solidFill>
                </w14:textFill>
              </w:rPr>
              <w:t>细度为325目筛余≤1%，水分≤1%。</w:t>
            </w:r>
            <w:r>
              <w:rPr>
                <w:rFonts w:hint="default" w:ascii="Times New Roman" w:hAnsi="Times New Roman" w:cs="Times New Roman"/>
                <w:color w:val="000000" w:themeColor="text1"/>
                <w:sz w:val="24"/>
                <w:szCs w:val="24"/>
                <w:highlight w:val="none"/>
                <w:lang w:eastAsia="zh-CN"/>
                <w14:textFill>
                  <w14:solidFill>
                    <w14:schemeClr w14:val="tx1"/>
                  </w14:solidFill>
                </w14:textFill>
              </w:rPr>
              <w:t>原料粉</w:t>
            </w:r>
            <w:r>
              <w:rPr>
                <w:rFonts w:hint="default" w:ascii="Times New Roman" w:hAnsi="Times New Roman" w:eastAsia="宋体" w:cs="Times New Roman"/>
                <w:color w:val="000000" w:themeColor="text1"/>
                <w:sz w:val="24"/>
                <w:szCs w:val="24"/>
                <w:highlight w:val="none"/>
                <w14:textFill>
                  <w14:solidFill>
                    <w14:schemeClr w14:val="tx1"/>
                  </w14:solidFill>
                </w14:textFill>
              </w:rPr>
              <w:t>数据如下：</w:t>
            </w:r>
          </w:p>
          <w:p w14:paraId="69C66827">
            <w:pPr>
              <w:adjustRightInd w:val="0"/>
              <w:snapToGrid w:val="0"/>
              <w:spacing w:line="240" w:lineRule="auto"/>
              <w:ind w:firstLine="2650" w:firstLineChars="1100"/>
              <w:rPr>
                <w:rFonts w:hint="default" w:ascii="Times New Roman" w:hAnsi="Times New Roman" w:eastAsia="宋体" w:cs="Times New Roman"/>
                <w:bCs/>
                <w:color w:val="000000" w:themeColor="text1"/>
                <w:sz w:val="24"/>
                <w:szCs w:val="24"/>
                <w:highlight w:val="none"/>
                <w:lang w:eastAsia="zh-CN"/>
                <w14:textFill>
                  <w14:solidFill>
                    <w14:schemeClr w14:val="tx1"/>
                  </w14:solidFill>
                </w14:textFill>
              </w:rPr>
            </w:pPr>
            <w:r>
              <w:rPr>
                <w:rFonts w:hint="default" w:ascii="Times New Roman" w:hAnsi="Times New Roman" w:eastAsia="宋体" w:cs="Times New Roman"/>
                <w:b/>
                <w:bCs w:val="0"/>
                <w:color w:val="000000" w:themeColor="text1"/>
                <w:sz w:val="24"/>
                <w:szCs w:val="24"/>
                <w:highlight w:val="none"/>
                <w14:textFill>
                  <w14:solidFill>
                    <w14:schemeClr w14:val="tx1"/>
                  </w14:solidFill>
                </w14:textFill>
              </w:rPr>
              <w:t>表</w:t>
            </w:r>
            <w:r>
              <w:rPr>
                <w:rFonts w:hint="default" w:ascii="Times New Roman" w:hAnsi="Times New Roman" w:eastAsia="宋体" w:cs="Times New Roman"/>
                <w:b/>
                <w:bCs w:val="0"/>
                <w:color w:val="000000" w:themeColor="text1"/>
                <w:sz w:val="24"/>
                <w:szCs w:val="24"/>
                <w:highlight w:val="none"/>
                <w:lang w:val="en-US" w:eastAsia="zh-CN"/>
                <w14:textFill>
                  <w14:solidFill>
                    <w14:schemeClr w14:val="tx1"/>
                  </w14:solidFill>
                </w14:textFill>
              </w:rPr>
              <w:t>2</w:t>
            </w:r>
            <w:r>
              <w:rPr>
                <w:rFonts w:hint="default" w:ascii="Times New Roman" w:hAnsi="Times New Roman" w:eastAsia="宋体" w:cs="Times New Roman"/>
                <w:b/>
                <w:bCs w:val="0"/>
                <w:color w:val="000000" w:themeColor="text1"/>
                <w:sz w:val="24"/>
                <w:szCs w:val="24"/>
                <w:highlight w:val="none"/>
                <w14:textFill>
                  <w14:solidFill>
                    <w14:schemeClr w14:val="tx1"/>
                  </w14:solidFill>
                </w14:textFill>
              </w:rPr>
              <w:t>-1</w:t>
            </w:r>
            <w:r>
              <w:rPr>
                <w:rFonts w:hint="default" w:ascii="Times New Roman" w:hAnsi="Times New Roman" w:eastAsia="宋体" w:cs="Times New Roman"/>
                <w:b/>
                <w:bCs w:val="0"/>
                <w:color w:val="000000" w:themeColor="text1"/>
                <w:sz w:val="24"/>
                <w:szCs w:val="24"/>
                <w:highlight w:val="none"/>
                <w:lang w:val="en-US" w:eastAsia="zh-CN"/>
                <w14:textFill>
                  <w14:solidFill>
                    <w14:schemeClr w14:val="tx1"/>
                  </w14:solidFill>
                </w14:textFill>
              </w:rPr>
              <w:t>7</w:t>
            </w:r>
            <w:r>
              <w:rPr>
                <w:rFonts w:hint="default" w:ascii="Times New Roman" w:hAnsi="Times New Roman" w:cs="Times New Roman"/>
                <w:b/>
                <w:bCs w:val="0"/>
                <w:color w:val="000000" w:themeColor="text1"/>
                <w:sz w:val="24"/>
                <w:szCs w:val="24"/>
                <w:highlight w:val="none"/>
                <w:lang w:eastAsia="zh-CN"/>
                <w14:textFill>
                  <w14:solidFill>
                    <w14:schemeClr w14:val="tx1"/>
                  </w14:solidFill>
                </w14:textFill>
              </w:rPr>
              <w:t>原料粉</w:t>
            </w:r>
            <w:r>
              <w:rPr>
                <w:rFonts w:hint="default" w:ascii="Times New Roman" w:hAnsi="Times New Roman" w:eastAsia="宋体" w:cs="Times New Roman"/>
                <w:b/>
                <w:bCs w:val="0"/>
                <w:color w:val="000000" w:themeColor="text1"/>
                <w:sz w:val="24"/>
                <w:szCs w:val="24"/>
                <w:highlight w:val="none"/>
                <w14:textFill>
                  <w14:solidFill>
                    <w14:schemeClr w14:val="tx1"/>
                  </w14:solidFill>
                </w14:textFill>
              </w:rPr>
              <w:t>化学成分（%）</w:t>
            </w:r>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5"/>
              <w:gridCol w:w="855"/>
              <w:gridCol w:w="803"/>
              <w:gridCol w:w="734"/>
              <w:gridCol w:w="995"/>
              <w:gridCol w:w="954"/>
              <w:gridCol w:w="724"/>
              <w:gridCol w:w="722"/>
              <w:gridCol w:w="819"/>
              <w:gridCol w:w="918"/>
            </w:tblGrid>
            <w:tr w14:paraId="2C8A6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0" w:type="pct"/>
                  <w:noWrap w:val="0"/>
                  <w:vAlign w:val="center"/>
                </w:tcPr>
                <w:p w14:paraId="4F9CA6C0">
                  <w:pPr>
                    <w:adjustRightInd w:val="0"/>
                    <w:snapToGrid w:val="0"/>
                    <w:spacing w:line="240" w:lineRule="auto"/>
                    <w:jc w:val="center"/>
                    <w:rPr>
                      <w:rFonts w:hint="default" w:ascii="Times New Roman" w:hAnsi="Times New Roman" w:eastAsia="宋体" w:cs="Times New Roman"/>
                      <w:bCs/>
                      <w:color w:val="000000" w:themeColor="text1"/>
                      <w:sz w:val="21"/>
                      <w:szCs w:val="24"/>
                      <w:highlight w:val="none"/>
                      <w14:textFill>
                        <w14:solidFill>
                          <w14:schemeClr w14:val="tx1"/>
                        </w14:solidFill>
                      </w14:textFill>
                    </w:rPr>
                  </w:pPr>
                  <w:r>
                    <w:rPr>
                      <w:rFonts w:hint="default" w:ascii="Times New Roman" w:hAnsi="Times New Roman" w:eastAsia="宋体" w:cs="Times New Roman"/>
                      <w:bCs/>
                      <w:color w:val="000000" w:themeColor="text1"/>
                      <w:sz w:val="21"/>
                      <w:szCs w:val="24"/>
                      <w:highlight w:val="none"/>
                      <w14:textFill>
                        <w14:solidFill>
                          <w14:schemeClr w14:val="tx1"/>
                        </w14:solidFill>
                      </w14:textFill>
                    </w:rPr>
                    <w:t>Loss</w:t>
                  </w:r>
                </w:p>
              </w:tc>
              <w:tc>
                <w:tcPr>
                  <w:tcW w:w="510" w:type="pct"/>
                  <w:noWrap w:val="0"/>
                  <w:vAlign w:val="center"/>
                </w:tcPr>
                <w:p w14:paraId="529A5A58">
                  <w:pPr>
                    <w:adjustRightInd w:val="0"/>
                    <w:snapToGrid w:val="0"/>
                    <w:spacing w:line="240" w:lineRule="auto"/>
                    <w:jc w:val="center"/>
                    <w:rPr>
                      <w:rFonts w:hint="default" w:ascii="Times New Roman" w:hAnsi="Times New Roman" w:eastAsia="宋体" w:cs="Times New Roman"/>
                      <w:bCs/>
                      <w:color w:val="000000" w:themeColor="text1"/>
                      <w:sz w:val="21"/>
                      <w:szCs w:val="24"/>
                      <w:highlight w:val="none"/>
                      <w14:textFill>
                        <w14:solidFill>
                          <w14:schemeClr w14:val="tx1"/>
                        </w14:solidFill>
                      </w14:textFill>
                    </w:rPr>
                  </w:pPr>
                  <w:r>
                    <w:rPr>
                      <w:rFonts w:hint="default" w:ascii="Times New Roman" w:hAnsi="Times New Roman" w:eastAsia="宋体" w:cs="Times New Roman"/>
                      <w:bCs/>
                      <w:color w:val="000000" w:themeColor="text1"/>
                      <w:sz w:val="21"/>
                      <w:szCs w:val="24"/>
                      <w:highlight w:val="none"/>
                      <w14:textFill>
                        <w14:solidFill>
                          <w14:schemeClr w14:val="tx1"/>
                        </w14:solidFill>
                      </w14:textFill>
                    </w:rPr>
                    <w:t>SiO</w:t>
                  </w:r>
                  <w:r>
                    <w:rPr>
                      <w:rFonts w:hint="default" w:ascii="Times New Roman" w:hAnsi="Times New Roman" w:eastAsia="宋体" w:cs="Times New Roman"/>
                      <w:bCs/>
                      <w:color w:val="000000" w:themeColor="text1"/>
                      <w:sz w:val="21"/>
                      <w:szCs w:val="24"/>
                      <w:highlight w:val="none"/>
                      <w:vertAlign w:val="subscript"/>
                      <w14:textFill>
                        <w14:solidFill>
                          <w14:schemeClr w14:val="tx1"/>
                        </w14:solidFill>
                      </w14:textFill>
                    </w:rPr>
                    <w:t>2</w:t>
                  </w:r>
                </w:p>
              </w:tc>
              <w:tc>
                <w:tcPr>
                  <w:tcW w:w="479" w:type="pct"/>
                  <w:noWrap w:val="0"/>
                  <w:vAlign w:val="center"/>
                </w:tcPr>
                <w:p w14:paraId="0569CE5F">
                  <w:pPr>
                    <w:adjustRightInd w:val="0"/>
                    <w:snapToGrid w:val="0"/>
                    <w:spacing w:line="240" w:lineRule="auto"/>
                    <w:jc w:val="center"/>
                    <w:rPr>
                      <w:rFonts w:hint="default" w:ascii="Times New Roman" w:hAnsi="Times New Roman" w:eastAsia="宋体" w:cs="Times New Roman"/>
                      <w:bCs/>
                      <w:color w:val="000000" w:themeColor="text1"/>
                      <w:sz w:val="21"/>
                      <w:szCs w:val="24"/>
                      <w:highlight w:val="none"/>
                      <w14:textFill>
                        <w14:solidFill>
                          <w14:schemeClr w14:val="tx1"/>
                        </w14:solidFill>
                      </w14:textFill>
                    </w:rPr>
                  </w:pPr>
                  <w:r>
                    <w:rPr>
                      <w:rFonts w:hint="default" w:ascii="Times New Roman" w:hAnsi="Times New Roman" w:eastAsia="宋体" w:cs="Times New Roman"/>
                      <w:bCs/>
                      <w:color w:val="000000" w:themeColor="text1"/>
                      <w:sz w:val="21"/>
                      <w:szCs w:val="24"/>
                      <w:highlight w:val="none"/>
                      <w14:textFill>
                        <w14:solidFill>
                          <w14:schemeClr w14:val="tx1"/>
                        </w14:solidFill>
                      </w14:textFill>
                    </w:rPr>
                    <w:t>Al</w:t>
                  </w:r>
                  <w:r>
                    <w:rPr>
                      <w:rFonts w:hint="default" w:ascii="Times New Roman" w:hAnsi="Times New Roman" w:eastAsia="宋体" w:cs="Times New Roman"/>
                      <w:bCs/>
                      <w:color w:val="000000" w:themeColor="text1"/>
                      <w:sz w:val="21"/>
                      <w:szCs w:val="24"/>
                      <w:highlight w:val="none"/>
                      <w:vertAlign w:val="subscript"/>
                      <w14:textFill>
                        <w14:solidFill>
                          <w14:schemeClr w14:val="tx1"/>
                        </w14:solidFill>
                      </w14:textFill>
                    </w:rPr>
                    <w:t>2</w:t>
                  </w:r>
                  <w:r>
                    <w:rPr>
                      <w:rFonts w:hint="default" w:ascii="Times New Roman" w:hAnsi="Times New Roman" w:eastAsia="宋体" w:cs="Times New Roman"/>
                      <w:bCs/>
                      <w:color w:val="000000" w:themeColor="text1"/>
                      <w:sz w:val="21"/>
                      <w:szCs w:val="24"/>
                      <w:highlight w:val="none"/>
                      <w14:textFill>
                        <w14:solidFill>
                          <w14:schemeClr w14:val="tx1"/>
                        </w14:solidFill>
                      </w14:textFill>
                    </w:rPr>
                    <w:t>O</w:t>
                  </w:r>
                  <w:r>
                    <w:rPr>
                      <w:rFonts w:hint="default" w:ascii="Times New Roman" w:hAnsi="Times New Roman" w:eastAsia="宋体" w:cs="Times New Roman"/>
                      <w:bCs/>
                      <w:color w:val="000000" w:themeColor="text1"/>
                      <w:sz w:val="21"/>
                      <w:szCs w:val="24"/>
                      <w:highlight w:val="none"/>
                      <w:vertAlign w:val="subscript"/>
                      <w14:textFill>
                        <w14:solidFill>
                          <w14:schemeClr w14:val="tx1"/>
                        </w14:solidFill>
                      </w14:textFill>
                    </w:rPr>
                    <w:t>3</w:t>
                  </w:r>
                </w:p>
              </w:tc>
              <w:tc>
                <w:tcPr>
                  <w:tcW w:w="438" w:type="pct"/>
                  <w:noWrap w:val="0"/>
                  <w:vAlign w:val="center"/>
                </w:tcPr>
                <w:p w14:paraId="7DA96D16">
                  <w:pPr>
                    <w:adjustRightInd w:val="0"/>
                    <w:snapToGrid w:val="0"/>
                    <w:spacing w:line="240" w:lineRule="auto"/>
                    <w:jc w:val="center"/>
                    <w:rPr>
                      <w:rFonts w:hint="default" w:ascii="Times New Roman" w:hAnsi="Times New Roman" w:eastAsia="宋体" w:cs="Times New Roman"/>
                      <w:bCs/>
                      <w:color w:val="000000" w:themeColor="text1"/>
                      <w:sz w:val="21"/>
                      <w:szCs w:val="24"/>
                      <w:highlight w:val="none"/>
                      <w14:textFill>
                        <w14:solidFill>
                          <w14:schemeClr w14:val="tx1"/>
                        </w14:solidFill>
                      </w14:textFill>
                    </w:rPr>
                  </w:pPr>
                  <w:r>
                    <w:rPr>
                      <w:rFonts w:hint="default" w:ascii="Times New Roman" w:hAnsi="Times New Roman" w:eastAsia="宋体" w:cs="Times New Roman"/>
                      <w:bCs/>
                      <w:color w:val="000000" w:themeColor="text1"/>
                      <w:sz w:val="21"/>
                      <w:szCs w:val="24"/>
                      <w:highlight w:val="none"/>
                      <w14:textFill>
                        <w14:solidFill>
                          <w14:schemeClr w14:val="tx1"/>
                        </w14:solidFill>
                      </w14:textFill>
                    </w:rPr>
                    <w:t>Fe</w:t>
                  </w:r>
                  <w:r>
                    <w:rPr>
                      <w:rFonts w:hint="default" w:ascii="Times New Roman" w:hAnsi="Times New Roman" w:eastAsia="宋体" w:cs="Times New Roman"/>
                      <w:bCs/>
                      <w:color w:val="000000" w:themeColor="text1"/>
                      <w:sz w:val="21"/>
                      <w:szCs w:val="24"/>
                      <w:highlight w:val="none"/>
                      <w:vertAlign w:val="subscript"/>
                      <w14:textFill>
                        <w14:solidFill>
                          <w14:schemeClr w14:val="tx1"/>
                        </w14:solidFill>
                      </w14:textFill>
                    </w:rPr>
                    <w:t>2</w:t>
                  </w:r>
                  <w:r>
                    <w:rPr>
                      <w:rFonts w:hint="default" w:ascii="Times New Roman" w:hAnsi="Times New Roman" w:eastAsia="宋体" w:cs="Times New Roman"/>
                      <w:bCs/>
                      <w:color w:val="000000" w:themeColor="text1"/>
                      <w:sz w:val="21"/>
                      <w:szCs w:val="24"/>
                      <w:highlight w:val="none"/>
                      <w14:textFill>
                        <w14:solidFill>
                          <w14:schemeClr w14:val="tx1"/>
                        </w14:solidFill>
                      </w14:textFill>
                    </w:rPr>
                    <w:t>O</w:t>
                  </w:r>
                  <w:r>
                    <w:rPr>
                      <w:rFonts w:hint="default" w:ascii="Times New Roman" w:hAnsi="Times New Roman" w:eastAsia="宋体" w:cs="Times New Roman"/>
                      <w:bCs/>
                      <w:color w:val="000000" w:themeColor="text1"/>
                      <w:sz w:val="21"/>
                      <w:szCs w:val="24"/>
                      <w:highlight w:val="none"/>
                      <w:vertAlign w:val="subscript"/>
                      <w14:textFill>
                        <w14:solidFill>
                          <w14:schemeClr w14:val="tx1"/>
                        </w14:solidFill>
                      </w14:textFill>
                    </w:rPr>
                    <w:t>3</w:t>
                  </w:r>
                </w:p>
              </w:tc>
              <w:tc>
                <w:tcPr>
                  <w:tcW w:w="594" w:type="pct"/>
                  <w:noWrap w:val="0"/>
                  <w:vAlign w:val="center"/>
                </w:tcPr>
                <w:p w14:paraId="03BD34F9">
                  <w:pPr>
                    <w:adjustRightInd w:val="0"/>
                    <w:snapToGrid w:val="0"/>
                    <w:spacing w:line="240" w:lineRule="auto"/>
                    <w:jc w:val="center"/>
                    <w:rPr>
                      <w:rFonts w:hint="default" w:ascii="Times New Roman" w:hAnsi="Times New Roman" w:eastAsia="宋体" w:cs="Times New Roman"/>
                      <w:bCs/>
                      <w:color w:val="000000" w:themeColor="text1"/>
                      <w:sz w:val="21"/>
                      <w:szCs w:val="24"/>
                      <w:highlight w:val="none"/>
                      <w14:textFill>
                        <w14:solidFill>
                          <w14:schemeClr w14:val="tx1"/>
                        </w14:solidFill>
                      </w14:textFill>
                    </w:rPr>
                  </w:pPr>
                  <w:r>
                    <w:rPr>
                      <w:rFonts w:hint="default" w:ascii="Times New Roman" w:hAnsi="Times New Roman" w:eastAsia="宋体" w:cs="Times New Roman"/>
                      <w:bCs/>
                      <w:color w:val="000000" w:themeColor="text1"/>
                      <w:sz w:val="21"/>
                      <w:szCs w:val="24"/>
                      <w:highlight w:val="none"/>
                      <w14:textFill>
                        <w14:solidFill>
                          <w14:schemeClr w14:val="tx1"/>
                        </w14:solidFill>
                      </w14:textFill>
                    </w:rPr>
                    <w:t>CaO</w:t>
                  </w:r>
                </w:p>
              </w:tc>
              <w:tc>
                <w:tcPr>
                  <w:tcW w:w="569" w:type="pct"/>
                  <w:noWrap w:val="0"/>
                  <w:vAlign w:val="center"/>
                </w:tcPr>
                <w:p w14:paraId="31928991">
                  <w:pPr>
                    <w:adjustRightInd w:val="0"/>
                    <w:snapToGrid w:val="0"/>
                    <w:spacing w:line="240" w:lineRule="auto"/>
                    <w:jc w:val="center"/>
                    <w:rPr>
                      <w:rFonts w:hint="default" w:ascii="Times New Roman" w:hAnsi="Times New Roman" w:eastAsia="宋体" w:cs="Times New Roman"/>
                      <w:bCs/>
                      <w:color w:val="000000" w:themeColor="text1"/>
                      <w:sz w:val="21"/>
                      <w:szCs w:val="24"/>
                      <w:highlight w:val="none"/>
                      <w14:textFill>
                        <w14:solidFill>
                          <w14:schemeClr w14:val="tx1"/>
                        </w14:solidFill>
                      </w14:textFill>
                    </w:rPr>
                  </w:pPr>
                  <w:r>
                    <w:rPr>
                      <w:rFonts w:hint="default" w:ascii="Times New Roman" w:hAnsi="Times New Roman" w:eastAsia="宋体" w:cs="Times New Roman"/>
                      <w:bCs/>
                      <w:color w:val="000000" w:themeColor="text1"/>
                      <w:sz w:val="21"/>
                      <w:szCs w:val="24"/>
                      <w:highlight w:val="none"/>
                      <w14:textFill>
                        <w14:solidFill>
                          <w14:schemeClr w14:val="tx1"/>
                        </w14:solidFill>
                      </w14:textFill>
                    </w:rPr>
                    <w:t>MgO</w:t>
                  </w:r>
                </w:p>
              </w:tc>
              <w:tc>
                <w:tcPr>
                  <w:tcW w:w="432" w:type="pct"/>
                  <w:noWrap w:val="0"/>
                  <w:vAlign w:val="center"/>
                </w:tcPr>
                <w:p w14:paraId="495D63B3">
                  <w:pPr>
                    <w:adjustRightInd w:val="0"/>
                    <w:snapToGrid w:val="0"/>
                    <w:spacing w:line="240" w:lineRule="auto"/>
                    <w:jc w:val="center"/>
                    <w:rPr>
                      <w:rFonts w:hint="default" w:ascii="Times New Roman" w:hAnsi="Times New Roman" w:eastAsia="宋体" w:cs="Times New Roman"/>
                      <w:bCs/>
                      <w:color w:val="000000" w:themeColor="text1"/>
                      <w:sz w:val="21"/>
                      <w:szCs w:val="24"/>
                      <w:highlight w:val="none"/>
                      <w14:textFill>
                        <w14:solidFill>
                          <w14:schemeClr w14:val="tx1"/>
                        </w14:solidFill>
                      </w14:textFill>
                    </w:rPr>
                  </w:pPr>
                  <w:r>
                    <w:rPr>
                      <w:rFonts w:hint="default" w:ascii="Times New Roman" w:hAnsi="Times New Roman" w:eastAsia="宋体" w:cs="Times New Roman"/>
                      <w:bCs/>
                      <w:color w:val="000000" w:themeColor="text1"/>
                      <w:sz w:val="21"/>
                      <w:szCs w:val="24"/>
                      <w:highlight w:val="none"/>
                      <w14:textFill>
                        <w14:solidFill>
                          <w14:schemeClr w14:val="tx1"/>
                        </w14:solidFill>
                      </w14:textFill>
                    </w:rPr>
                    <w:t>Na</w:t>
                  </w:r>
                  <w:r>
                    <w:rPr>
                      <w:rFonts w:hint="default" w:ascii="Times New Roman" w:hAnsi="Times New Roman" w:eastAsia="宋体" w:cs="Times New Roman"/>
                      <w:bCs/>
                      <w:color w:val="000000" w:themeColor="text1"/>
                      <w:sz w:val="21"/>
                      <w:szCs w:val="24"/>
                      <w:highlight w:val="none"/>
                      <w:vertAlign w:val="subscript"/>
                      <w14:textFill>
                        <w14:solidFill>
                          <w14:schemeClr w14:val="tx1"/>
                        </w14:solidFill>
                      </w14:textFill>
                    </w:rPr>
                    <w:t>2</w:t>
                  </w:r>
                  <w:r>
                    <w:rPr>
                      <w:rFonts w:hint="default" w:ascii="Times New Roman" w:hAnsi="Times New Roman" w:eastAsia="宋体" w:cs="Times New Roman"/>
                      <w:bCs/>
                      <w:color w:val="000000" w:themeColor="text1"/>
                      <w:sz w:val="21"/>
                      <w:szCs w:val="24"/>
                      <w:highlight w:val="none"/>
                      <w14:textFill>
                        <w14:solidFill>
                          <w14:schemeClr w14:val="tx1"/>
                        </w14:solidFill>
                      </w14:textFill>
                    </w:rPr>
                    <w:t>O</w:t>
                  </w:r>
                </w:p>
              </w:tc>
              <w:tc>
                <w:tcPr>
                  <w:tcW w:w="431" w:type="pct"/>
                  <w:noWrap w:val="0"/>
                  <w:vAlign w:val="center"/>
                </w:tcPr>
                <w:p w14:paraId="605A571A">
                  <w:pPr>
                    <w:adjustRightInd w:val="0"/>
                    <w:snapToGrid w:val="0"/>
                    <w:spacing w:line="240" w:lineRule="auto"/>
                    <w:jc w:val="center"/>
                    <w:rPr>
                      <w:rFonts w:hint="default" w:ascii="Times New Roman" w:hAnsi="Times New Roman" w:eastAsia="宋体" w:cs="Times New Roman"/>
                      <w:bCs/>
                      <w:color w:val="000000" w:themeColor="text1"/>
                      <w:sz w:val="21"/>
                      <w:szCs w:val="24"/>
                      <w:highlight w:val="none"/>
                      <w14:textFill>
                        <w14:solidFill>
                          <w14:schemeClr w14:val="tx1"/>
                        </w14:solidFill>
                      </w14:textFill>
                    </w:rPr>
                  </w:pPr>
                  <w:r>
                    <w:rPr>
                      <w:rFonts w:hint="default" w:ascii="Times New Roman" w:hAnsi="Times New Roman" w:eastAsia="宋体" w:cs="Times New Roman"/>
                      <w:bCs/>
                      <w:color w:val="000000" w:themeColor="text1"/>
                      <w:sz w:val="21"/>
                      <w:szCs w:val="24"/>
                      <w:highlight w:val="none"/>
                      <w14:textFill>
                        <w14:solidFill>
                          <w14:schemeClr w14:val="tx1"/>
                        </w14:solidFill>
                      </w14:textFill>
                    </w:rPr>
                    <w:t>K</w:t>
                  </w:r>
                  <w:r>
                    <w:rPr>
                      <w:rFonts w:hint="default" w:ascii="Times New Roman" w:hAnsi="Times New Roman" w:eastAsia="宋体" w:cs="Times New Roman"/>
                      <w:bCs/>
                      <w:color w:val="000000" w:themeColor="text1"/>
                      <w:sz w:val="21"/>
                      <w:szCs w:val="24"/>
                      <w:highlight w:val="none"/>
                      <w:vertAlign w:val="subscript"/>
                      <w14:textFill>
                        <w14:solidFill>
                          <w14:schemeClr w14:val="tx1"/>
                        </w14:solidFill>
                      </w14:textFill>
                    </w:rPr>
                    <w:t>2</w:t>
                  </w:r>
                  <w:r>
                    <w:rPr>
                      <w:rFonts w:hint="default" w:ascii="Times New Roman" w:hAnsi="Times New Roman" w:eastAsia="宋体" w:cs="Times New Roman"/>
                      <w:bCs/>
                      <w:color w:val="000000" w:themeColor="text1"/>
                      <w:sz w:val="21"/>
                      <w:szCs w:val="24"/>
                      <w:highlight w:val="none"/>
                      <w14:textFill>
                        <w14:solidFill>
                          <w14:schemeClr w14:val="tx1"/>
                        </w14:solidFill>
                      </w14:textFill>
                    </w:rPr>
                    <w:t>O</w:t>
                  </w:r>
                </w:p>
              </w:tc>
              <w:tc>
                <w:tcPr>
                  <w:tcW w:w="489" w:type="pct"/>
                  <w:noWrap w:val="0"/>
                  <w:vAlign w:val="center"/>
                </w:tcPr>
                <w:p w14:paraId="451A26C7">
                  <w:pPr>
                    <w:adjustRightInd w:val="0"/>
                    <w:snapToGrid w:val="0"/>
                    <w:spacing w:line="240" w:lineRule="auto"/>
                    <w:jc w:val="center"/>
                    <w:rPr>
                      <w:rFonts w:hint="default" w:ascii="Times New Roman" w:hAnsi="Times New Roman" w:eastAsia="宋体" w:cs="Times New Roman"/>
                      <w:bCs/>
                      <w:color w:val="000000" w:themeColor="text1"/>
                      <w:sz w:val="21"/>
                      <w:szCs w:val="24"/>
                      <w:highlight w:val="none"/>
                      <w14:textFill>
                        <w14:solidFill>
                          <w14:schemeClr w14:val="tx1"/>
                        </w14:solidFill>
                      </w14:textFill>
                    </w:rPr>
                  </w:pPr>
                  <w:r>
                    <w:rPr>
                      <w:rFonts w:hint="default" w:ascii="Times New Roman" w:hAnsi="Times New Roman" w:eastAsia="宋体" w:cs="Times New Roman"/>
                      <w:bCs/>
                      <w:color w:val="000000" w:themeColor="text1"/>
                      <w:sz w:val="21"/>
                      <w:szCs w:val="24"/>
                      <w:highlight w:val="none"/>
                      <w14:textFill>
                        <w14:solidFill>
                          <w14:schemeClr w14:val="tx1"/>
                        </w14:solidFill>
                      </w14:textFill>
                    </w:rPr>
                    <w:t>TiO</w:t>
                  </w:r>
                  <w:r>
                    <w:rPr>
                      <w:rFonts w:hint="default" w:ascii="Times New Roman" w:hAnsi="Times New Roman" w:eastAsia="宋体" w:cs="Times New Roman"/>
                      <w:bCs/>
                      <w:color w:val="000000" w:themeColor="text1"/>
                      <w:sz w:val="21"/>
                      <w:szCs w:val="24"/>
                      <w:highlight w:val="none"/>
                      <w:vertAlign w:val="subscript"/>
                      <w14:textFill>
                        <w14:solidFill>
                          <w14:schemeClr w14:val="tx1"/>
                        </w14:solidFill>
                      </w14:textFill>
                    </w:rPr>
                    <w:t>2</w:t>
                  </w:r>
                </w:p>
              </w:tc>
              <w:tc>
                <w:tcPr>
                  <w:tcW w:w="549" w:type="pct"/>
                  <w:noWrap w:val="0"/>
                  <w:vAlign w:val="center"/>
                </w:tcPr>
                <w:p w14:paraId="6BD0E727">
                  <w:pPr>
                    <w:adjustRightInd w:val="0"/>
                    <w:snapToGrid w:val="0"/>
                    <w:spacing w:line="240" w:lineRule="auto"/>
                    <w:jc w:val="center"/>
                    <w:rPr>
                      <w:rFonts w:hint="default" w:ascii="Times New Roman" w:hAnsi="Times New Roman" w:eastAsia="宋体" w:cs="Times New Roman"/>
                      <w:bCs/>
                      <w:color w:val="000000" w:themeColor="text1"/>
                      <w:sz w:val="21"/>
                      <w:szCs w:val="24"/>
                      <w:highlight w:val="none"/>
                      <w14:textFill>
                        <w14:solidFill>
                          <w14:schemeClr w14:val="tx1"/>
                        </w14:solidFill>
                      </w14:textFill>
                    </w:rPr>
                  </w:pPr>
                  <w:r>
                    <w:rPr>
                      <w:rFonts w:hint="default" w:ascii="Times New Roman" w:hAnsi="Times New Roman" w:eastAsia="宋体" w:cs="Times New Roman"/>
                      <w:bCs/>
                      <w:color w:val="000000" w:themeColor="text1"/>
                      <w:sz w:val="21"/>
                      <w:szCs w:val="24"/>
                      <w:highlight w:val="none"/>
                      <w14:textFill>
                        <w14:solidFill>
                          <w14:schemeClr w14:val="tx1"/>
                        </w14:solidFill>
                      </w14:textFill>
                    </w:rPr>
                    <w:t>Cl</w:t>
                  </w:r>
                  <w:r>
                    <w:rPr>
                      <w:rFonts w:hint="default" w:ascii="Times New Roman" w:hAnsi="Times New Roman" w:eastAsia="宋体" w:cs="Times New Roman"/>
                      <w:bCs/>
                      <w:color w:val="000000" w:themeColor="text1"/>
                      <w:sz w:val="21"/>
                      <w:szCs w:val="24"/>
                      <w:highlight w:val="none"/>
                      <w:vertAlign w:val="superscript"/>
                      <w14:textFill>
                        <w14:solidFill>
                          <w14:schemeClr w14:val="tx1"/>
                        </w14:solidFill>
                      </w14:textFill>
                    </w:rPr>
                    <w:t>-</w:t>
                  </w:r>
                </w:p>
              </w:tc>
            </w:tr>
            <w:tr w14:paraId="65F61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0" w:type="pct"/>
                  <w:noWrap w:val="0"/>
                  <w:vAlign w:val="center"/>
                </w:tcPr>
                <w:p w14:paraId="2B403DB8">
                  <w:pPr>
                    <w:adjustRightInd w:val="0"/>
                    <w:snapToGrid w:val="0"/>
                    <w:spacing w:line="240" w:lineRule="auto"/>
                    <w:jc w:val="center"/>
                    <w:rPr>
                      <w:rFonts w:hint="default" w:ascii="Times New Roman" w:hAnsi="Times New Roman" w:eastAsia="宋体" w:cs="Times New Roman"/>
                      <w:bCs/>
                      <w:color w:val="000000" w:themeColor="text1"/>
                      <w:sz w:val="21"/>
                      <w:szCs w:val="24"/>
                      <w:highlight w:val="none"/>
                      <w14:textFill>
                        <w14:solidFill>
                          <w14:schemeClr w14:val="tx1"/>
                        </w14:solidFill>
                      </w14:textFill>
                    </w:rPr>
                  </w:pPr>
                  <w:r>
                    <w:rPr>
                      <w:rFonts w:hint="default" w:ascii="Times New Roman" w:hAnsi="Times New Roman" w:eastAsia="宋体" w:cs="Times New Roman"/>
                      <w:bCs/>
                      <w:color w:val="000000" w:themeColor="text1"/>
                      <w:sz w:val="21"/>
                      <w:szCs w:val="24"/>
                      <w:highlight w:val="none"/>
                      <w14:textFill>
                        <w14:solidFill>
                          <w14:schemeClr w14:val="tx1"/>
                        </w14:solidFill>
                      </w14:textFill>
                    </w:rPr>
                    <w:t>17.7</w:t>
                  </w:r>
                </w:p>
              </w:tc>
              <w:tc>
                <w:tcPr>
                  <w:tcW w:w="510" w:type="pct"/>
                  <w:noWrap w:val="0"/>
                  <w:vAlign w:val="center"/>
                </w:tcPr>
                <w:p w14:paraId="2644B17C">
                  <w:pPr>
                    <w:adjustRightInd w:val="0"/>
                    <w:snapToGrid w:val="0"/>
                    <w:spacing w:line="240" w:lineRule="auto"/>
                    <w:jc w:val="center"/>
                    <w:rPr>
                      <w:rFonts w:hint="default" w:ascii="Times New Roman" w:hAnsi="Times New Roman" w:eastAsia="宋体" w:cs="Times New Roman"/>
                      <w:bCs/>
                      <w:color w:val="000000" w:themeColor="text1"/>
                      <w:sz w:val="21"/>
                      <w:szCs w:val="24"/>
                      <w:highlight w:val="none"/>
                      <w14:textFill>
                        <w14:solidFill>
                          <w14:schemeClr w14:val="tx1"/>
                        </w14:solidFill>
                      </w14:textFill>
                    </w:rPr>
                  </w:pPr>
                  <w:r>
                    <w:rPr>
                      <w:rFonts w:hint="default" w:ascii="Times New Roman" w:hAnsi="Times New Roman" w:eastAsia="宋体" w:cs="Times New Roman"/>
                      <w:bCs/>
                      <w:color w:val="000000" w:themeColor="text1"/>
                      <w:sz w:val="21"/>
                      <w:szCs w:val="24"/>
                      <w:highlight w:val="none"/>
                      <w14:textFill>
                        <w14:solidFill>
                          <w14:schemeClr w14:val="tx1"/>
                        </w14:solidFill>
                      </w14:textFill>
                    </w:rPr>
                    <w:t>43.72</w:t>
                  </w:r>
                </w:p>
              </w:tc>
              <w:tc>
                <w:tcPr>
                  <w:tcW w:w="479" w:type="pct"/>
                  <w:noWrap w:val="0"/>
                  <w:vAlign w:val="center"/>
                </w:tcPr>
                <w:p w14:paraId="43A32DE3">
                  <w:pPr>
                    <w:adjustRightInd w:val="0"/>
                    <w:snapToGrid w:val="0"/>
                    <w:spacing w:line="240" w:lineRule="auto"/>
                    <w:jc w:val="center"/>
                    <w:rPr>
                      <w:rFonts w:hint="default" w:ascii="Times New Roman" w:hAnsi="Times New Roman" w:eastAsia="宋体" w:cs="Times New Roman"/>
                      <w:bCs/>
                      <w:color w:val="000000" w:themeColor="text1"/>
                      <w:sz w:val="21"/>
                      <w:szCs w:val="24"/>
                      <w:highlight w:val="none"/>
                      <w14:textFill>
                        <w14:solidFill>
                          <w14:schemeClr w14:val="tx1"/>
                        </w14:solidFill>
                      </w14:textFill>
                    </w:rPr>
                  </w:pPr>
                  <w:r>
                    <w:rPr>
                      <w:rFonts w:hint="default" w:ascii="Times New Roman" w:hAnsi="Times New Roman" w:eastAsia="宋体" w:cs="Times New Roman"/>
                      <w:bCs/>
                      <w:color w:val="000000" w:themeColor="text1"/>
                      <w:sz w:val="21"/>
                      <w:szCs w:val="24"/>
                      <w:highlight w:val="none"/>
                      <w14:textFill>
                        <w14:solidFill>
                          <w14:schemeClr w14:val="tx1"/>
                        </w14:solidFill>
                      </w14:textFill>
                    </w:rPr>
                    <w:t>37.68</w:t>
                  </w:r>
                </w:p>
              </w:tc>
              <w:tc>
                <w:tcPr>
                  <w:tcW w:w="438" w:type="pct"/>
                  <w:noWrap w:val="0"/>
                  <w:vAlign w:val="center"/>
                </w:tcPr>
                <w:p w14:paraId="478D0BA4">
                  <w:pPr>
                    <w:adjustRightInd w:val="0"/>
                    <w:snapToGrid w:val="0"/>
                    <w:spacing w:line="240" w:lineRule="auto"/>
                    <w:jc w:val="center"/>
                    <w:rPr>
                      <w:rFonts w:hint="default" w:ascii="Times New Roman" w:hAnsi="Times New Roman" w:eastAsia="宋体" w:cs="Times New Roman"/>
                      <w:bCs/>
                      <w:color w:val="000000" w:themeColor="text1"/>
                      <w:sz w:val="21"/>
                      <w:szCs w:val="24"/>
                      <w:highlight w:val="none"/>
                      <w14:textFill>
                        <w14:solidFill>
                          <w14:schemeClr w14:val="tx1"/>
                        </w14:solidFill>
                      </w14:textFill>
                    </w:rPr>
                  </w:pPr>
                  <w:r>
                    <w:rPr>
                      <w:rFonts w:hint="default" w:ascii="Times New Roman" w:hAnsi="Times New Roman" w:eastAsia="宋体" w:cs="Times New Roman"/>
                      <w:bCs/>
                      <w:color w:val="000000" w:themeColor="text1"/>
                      <w:sz w:val="21"/>
                      <w:szCs w:val="24"/>
                      <w:highlight w:val="none"/>
                      <w14:textFill>
                        <w14:solidFill>
                          <w14:schemeClr w14:val="tx1"/>
                        </w14:solidFill>
                      </w14:textFill>
                    </w:rPr>
                    <w:t>0.39</w:t>
                  </w:r>
                </w:p>
              </w:tc>
              <w:tc>
                <w:tcPr>
                  <w:tcW w:w="594" w:type="pct"/>
                  <w:noWrap w:val="0"/>
                  <w:vAlign w:val="center"/>
                </w:tcPr>
                <w:p w14:paraId="7487B602">
                  <w:pPr>
                    <w:adjustRightInd w:val="0"/>
                    <w:snapToGrid w:val="0"/>
                    <w:spacing w:line="240" w:lineRule="auto"/>
                    <w:jc w:val="center"/>
                    <w:rPr>
                      <w:rFonts w:hint="default" w:ascii="Times New Roman" w:hAnsi="Times New Roman" w:eastAsia="宋体" w:cs="Times New Roman"/>
                      <w:bCs/>
                      <w:color w:val="000000" w:themeColor="text1"/>
                      <w:sz w:val="21"/>
                      <w:szCs w:val="24"/>
                      <w:highlight w:val="none"/>
                      <w14:textFill>
                        <w14:solidFill>
                          <w14:schemeClr w14:val="tx1"/>
                        </w14:solidFill>
                      </w14:textFill>
                    </w:rPr>
                  </w:pPr>
                  <w:r>
                    <w:rPr>
                      <w:rFonts w:hint="default" w:ascii="Times New Roman" w:hAnsi="Times New Roman" w:eastAsia="宋体" w:cs="Times New Roman"/>
                      <w:bCs/>
                      <w:color w:val="000000" w:themeColor="text1"/>
                      <w:sz w:val="21"/>
                      <w:szCs w:val="24"/>
                      <w:highlight w:val="none"/>
                      <w14:textFill>
                        <w14:solidFill>
                          <w14:schemeClr w14:val="tx1"/>
                        </w14:solidFill>
                      </w14:textFill>
                    </w:rPr>
                    <w:t>0.03</w:t>
                  </w:r>
                </w:p>
              </w:tc>
              <w:tc>
                <w:tcPr>
                  <w:tcW w:w="569" w:type="pct"/>
                  <w:noWrap w:val="0"/>
                  <w:vAlign w:val="center"/>
                </w:tcPr>
                <w:p w14:paraId="740F499F">
                  <w:pPr>
                    <w:adjustRightInd w:val="0"/>
                    <w:snapToGrid w:val="0"/>
                    <w:spacing w:line="240" w:lineRule="auto"/>
                    <w:jc w:val="center"/>
                    <w:rPr>
                      <w:rFonts w:hint="default" w:ascii="Times New Roman" w:hAnsi="Times New Roman" w:eastAsia="宋体" w:cs="Times New Roman"/>
                      <w:bCs/>
                      <w:color w:val="000000" w:themeColor="text1"/>
                      <w:sz w:val="21"/>
                      <w:szCs w:val="24"/>
                      <w:highlight w:val="none"/>
                      <w14:textFill>
                        <w14:solidFill>
                          <w14:schemeClr w14:val="tx1"/>
                        </w14:solidFill>
                      </w14:textFill>
                    </w:rPr>
                  </w:pPr>
                  <w:r>
                    <w:rPr>
                      <w:rFonts w:hint="default" w:ascii="Times New Roman" w:hAnsi="Times New Roman" w:eastAsia="宋体" w:cs="Times New Roman"/>
                      <w:bCs/>
                      <w:color w:val="000000" w:themeColor="text1"/>
                      <w:sz w:val="21"/>
                      <w:szCs w:val="24"/>
                      <w:highlight w:val="none"/>
                      <w14:textFill>
                        <w14:solidFill>
                          <w14:schemeClr w14:val="tx1"/>
                        </w14:solidFill>
                      </w14:textFill>
                    </w:rPr>
                    <w:t>0.03</w:t>
                  </w:r>
                </w:p>
              </w:tc>
              <w:tc>
                <w:tcPr>
                  <w:tcW w:w="432" w:type="pct"/>
                  <w:noWrap w:val="0"/>
                  <w:vAlign w:val="center"/>
                </w:tcPr>
                <w:p w14:paraId="2A8016D3">
                  <w:pPr>
                    <w:adjustRightInd w:val="0"/>
                    <w:snapToGrid w:val="0"/>
                    <w:spacing w:line="240" w:lineRule="auto"/>
                    <w:jc w:val="center"/>
                    <w:rPr>
                      <w:rFonts w:hint="default" w:ascii="Times New Roman" w:hAnsi="Times New Roman" w:eastAsia="宋体" w:cs="Times New Roman"/>
                      <w:bCs/>
                      <w:color w:val="000000" w:themeColor="text1"/>
                      <w:sz w:val="21"/>
                      <w:szCs w:val="24"/>
                      <w:highlight w:val="none"/>
                      <w14:textFill>
                        <w14:solidFill>
                          <w14:schemeClr w14:val="tx1"/>
                        </w14:solidFill>
                      </w14:textFill>
                    </w:rPr>
                  </w:pPr>
                  <w:r>
                    <w:rPr>
                      <w:rFonts w:hint="default" w:ascii="Times New Roman" w:hAnsi="Times New Roman" w:eastAsia="宋体" w:cs="Times New Roman"/>
                      <w:bCs/>
                      <w:color w:val="000000" w:themeColor="text1"/>
                      <w:sz w:val="21"/>
                      <w:szCs w:val="24"/>
                      <w:highlight w:val="none"/>
                      <w14:textFill>
                        <w14:solidFill>
                          <w14:schemeClr w14:val="tx1"/>
                        </w14:solidFill>
                      </w14:textFill>
                    </w:rPr>
                    <w:t>0.03</w:t>
                  </w:r>
                </w:p>
              </w:tc>
              <w:tc>
                <w:tcPr>
                  <w:tcW w:w="431" w:type="pct"/>
                  <w:noWrap w:val="0"/>
                  <w:vAlign w:val="center"/>
                </w:tcPr>
                <w:p w14:paraId="054D094F">
                  <w:pPr>
                    <w:adjustRightInd w:val="0"/>
                    <w:snapToGrid w:val="0"/>
                    <w:spacing w:line="240" w:lineRule="auto"/>
                    <w:jc w:val="center"/>
                    <w:rPr>
                      <w:rFonts w:hint="default" w:ascii="Times New Roman" w:hAnsi="Times New Roman" w:eastAsia="宋体" w:cs="Times New Roman"/>
                      <w:bCs/>
                      <w:color w:val="000000" w:themeColor="text1"/>
                      <w:sz w:val="21"/>
                      <w:szCs w:val="24"/>
                      <w:highlight w:val="none"/>
                      <w14:textFill>
                        <w14:solidFill>
                          <w14:schemeClr w14:val="tx1"/>
                        </w14:solidFill>
                      </w14:textFill>
                    </w:rPr>
                  </w:pPr>
                  <w:r>
                    <w:rPr>
                      <w:rFonts w:hint="default" w:ascii="Times New Roman" w:hAnsi="Times New Roman" w:eastAsia="宋体" w:cs="Times New Roman"/>
                      <w:bCs/>
                      <w:color w:val="000000" w:themeColor="text1"/>
                      <w:sz w:val="21"/>
                      <w:szCs w:val="24"/>
                      <w:highlight w:val="none"/>
                      <w14:textFill>
                        <w14:solidFill>
                          <w14:schemeClr w14:val="tx1"/>
                        </w14:solidFill>
                      </w14:textFill>
                    </w:rPr>
                    <w:t>0.04</w:t>
                  </w:r>
                </w:p>
              </w:tc>
              <w:tc>
                <w:tcPr>
                  <w:tcW w:w="489" w:type="pct"/>
                  <w:noWrap w:val="0"/>
                  <w:vAlign w:val="center"/>
                </w:tcPr>
                <w:p w14:paraId="110B78C1">
                  <w:pPr>
                    <w:adjustRightInd w:val="0"/>
                    <w:snapToGrid w:val="0"/>
                    <w:spacing w:line="240" w:lineRule="auto"/>
                    <w:jc w:val="center"/>
                    <w:rPr>
                      <w:rFonts w:hint="default" w:ascii="Times New Roman" w:hAnsi="Times New Roman" w:eastAsia="宋体" w:cs="Times New Roman"/>
                      <w:bCs/>
                      <w:color w:val="000000" w:themeColor="text1"/>
                      <w:sz w:val="21"/>
                      <w:szCs w:val="24"/>
                      <w:highlight w:val="none"/>
                      <w14:textFill>
                        <w14:solidFill>
                          <w14:schemeClr w14:val="tx1"/>
                        </w14:solidFill>
                      </w14:textFill>
                    </w:rPr>
                  </w:pPr>
                  <w:r>
                    <w:rPr>
                      <w:rFonts w:hint="default" w:ascii="Times New Roman" w:hAnsi="Times New Roman" w:eastAsia="宋体" w:cs="Times New Roman"/>
                      <w:bCs/>
                      <w:color w:val="000000" w:themeColor="text1"/>
                      <w:sz w:val="21"/>
                      <w:szCs w:val="24"/>
                      <w:highlight w:val="none"/>
                      <w14:textFill>
                        <w14:solidFill>
                          <w14:schemeClr w14:val="tx1"/>
                        </w14:solidFill>
                      </w14:textFill>
                    </w:rPr>
                    <w:t>0.38</w:t>
                  </w:r>
                </w:p>
              </w:tc>
              <w:tc>
                <w:tcPr>
                  <w:tcW w:w="549" w:type="pct"/>
                  <w:noWrap w:val="0"/>
                  <w:vAlign w:val="center"/>
                </w:tcPr>
                <w:p w14:paraId="31E9FF7A">
                  <w:pPr>
                    <w:adjustRightInd w:val="0"/>
                    <w:snapToGrid w:val="0"/>
                    <w:spacing w:line="240" w:lineRule="auto"/>
                    <w:jc w:val="center"/>
                    <w:rPr>
                      <w:rFonts w:hint="default" w:ascii="Times New Roman" w:hAnsi="Times New Roman" w:eastAsia="宋体" w:cs="Times New Roman"/>
                      <w:bCs/>
                      <w:color w:val="000000" w:themeColor="text1"/>
                      <w:sz w:val="21"/>
                      <w:szCs w:val="24"/>
                      <w:highlight w:val="none"/>
                      <w14:textFill>
                        <w14:solidFill>
                          <w14:schemeClr w14:val="tx1"/>
                        </w14:solidFill>
                      </w14:textFill>
                    </w:rPr>
                  </w:pPr>
                  <w:r>
                    <w:rPr>
                      <w:rFonts w:hint="default" w:ascii="Times New Roman" w:hAnsi="Times New Roman" w:eastAsia="宋体" w:cs="Times New Roman"/>
                      <w:bCs/>
                      <w:color w:val="000000" w:themeColor="text1"/>
                      <w:sz w:val="21"/>
                      <w:szCs w:val="24"/>
                      <w:highlight w:val="none"/>
                      <w14:textFill>
                        <w14:solidFill>
                          <w14:schemeClr w14:val="tx1"/>
                        </w14:solidFill>
                      </w14:textFill>
                    </w:rPr>
                    <w:t>0.0004</w:t>
                  </w:r>
                </w:p>
              </w:tc>
            </w:tr>
          </w:tbl>
          <w:p w14:paraId="276FE0A9">
            <w:pPr>
              <w:adjustRightInd w:val="0"/>
              <w:snapToGrid w:val="0"/>
              <w:spacing w:line="240" w:lineRule="auto"/>
              <w:ind w:firstLine="2650" w:firstLineChars="1100"/>
              <w:rPr>
                <w:rFonts w:hint="default" w:ascii="Times New Roman" w:hAnsi="Times New Roman" w:eastAsia="宋体" w:cs="Times New Roman"/>
                <w:bCs/>
                <w:color w:val="000000" w:themeColor="text1"/>
                <w:sz w:val="24"/>
                <w:szCs w:val="24"/>
                <w:highlight w:val="none"/>
                <w:lang w:eastAsia="zh-CN"/>
                <w14:textFill>
                  <w14:solidFill>
                    <w14:schemeClr w14:val="tx1"/>
                  </w14:solidFill>
                </w14:textFill>
              </w:rPr>
            </w:pPr>
            <w:r>
              <w:rPr>
                <w:rFonts w:hint="default" w:ascii="Times New Roman" w:hAnsi="Times New Roman" w:eastAsia="宋体" w:cs="Times New Roman"/>
                <w:b/>
                <w:bCs w:val="0"/>
                <w:color w:val="000000" w:themeColor="text1"/>
                <w:sz w:val="24"/>
                <w:szCs w:val="24"/>
                <w:highlight w:val="none"/>
                <w14:textFill>
                  <w14:solidFill>
                    <w14:schemeClr w14:val="tx1"/>
                  </w14:solidFill>
                </w14:textFill>
              </w:rPr>
              <w:t>表</w:t>
            </w:r>
            <w:r>
              <w:rPr>
                <w:rFonts w:hint="default" w:ascii="Times New Roman" w:hAnsi="Times New Roman" w:eastAsia="宋体" w:cs="Times New Roman"/>
                <w:b/>
                <w:bCs w:val="0"/>
                <w:color w:val="000000" w:themeColor="text1"/>
                <w:sz w:val="24"/>
                <w:szCs w:val="24"/>
                <w:highlight w:val="none"/>
                <w:lang w:val="en-US" w:eastAsia="zh-CN"/>
                <w14:textFill>
                  <w14:solidFill>
                    <w14:schemeClr w14:val="tx1"/>
                  </w14:solidFill>
                </w14:textFill>
              </w:rPr>
              <w:t>2-18</w:t>
            </w:r>
            <w:r>
              <w:rPr>
                <w:rFonts w:hint="default" w:ascii="Times New Roman" w:hAnsi="Times New Roman" w:cs="Times New Roman"/>
                <w:b/>
                <w:bCs w:val="0"/>
                <w:color w:val="000000" w:themeColor="text1"/>
                <w:sz w:val="24"/>
                <w:szCs w:val="24"/>
                <w:highlight w:val="none"/>
                <w:lang w:eastAsia="zh-CN"/>
                <w14:textFill>
                  <w14:solidFill>
                    <w14:schemeClr w14:val="tx1"/>
                  </w14:solidFill>
                </w14:textFill>
              </w:rPr>
              <w:t>原料粉</w:t>
            </w:r>
            <w:r>
              <w:rPr>
                <w:rFonts w:hint="default" w:ascii="Times New Roman" w:hAnsi="Times New Roman" w:eastAsia="宋体" w:cs="Times New Roman"/>
                <w:b/>
                <w:bCs w:val="0"/>
                <w:color w:val="000000" w:themeColor="text1"/>
                <w:sz w:val="24"/>
                <w:szCs w:val="24"/>
                <w:highlight w:val="none"/>
                <w14:textFill>
                  <w14:solidFill>
                    <w14:schemeClr w14:val="tx1"/>
                  </w14:solidFill>
                </w14:textFill>
              </w:rPr>
              <w:t>的工业分析（%）</w:t>
            </w:r>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1326"/>
              <w:gridCol w:w="1326"/>
              <w:gridCol w:w="1129"/>
              <w:gridCol w:w="3469"/>
            </w:tblGrid>
            <w:tr w14:paraId="02989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4" w:type="pct"/>
                  <w:noWrap w:val="0"/>
                  <w:vAlign w:val="center"/>
                </w:tcPr>
                <w:p w14:paraId="1B6A017E">
                  <w:pPr>
                    <w:adjustRightInd w:val="0"/>
                    <w:snapToGrid w:val="0"/>
                    <w:spacing w:line="240" w:lineRule="auto"/>
                    <w:jc w:val="center"/>
                    <w:rPr>
                      <w:rFonts w:hint="default" w:ascii="Times New Roman" w:hAnsi="Times New Roman" w:eastAsia="宋体" w:cs="Times New Roman"/>
                      <w:bCs/>
                      <w:color w:val="000000" w:themeColor="text1"/>
                      <w:sz w:val="21"/>
                      <w:szCs w:val="24"/>
                      <w:highlight w:val="none"/>
                      <w14:textFill>
                        <w14:solidFill>
                          <w14:schemeClr w14:val="tx1"/>
                        </w14:solidFill>
                      </w14:textFill>
                    </w:rPr>
                  </w:pPr>
                  <w:r>
                    <w:rPr>
                      <w:rFonts w:hint="default" w:ascii="Times New Roman" w:hAnsi="Times New Roman" w:eastAsia="宋体" w:cs="Times New Roman"/>
                      <w:bCs/>
                      <w:color w:val="000000" w:themeColor="text1"/>
                      <w:sz w:val="21"/>
                      <w:szCs w:val="24"/>
                      <w:highlight w:val="none"/>
                      <w14:textFill>
                        <w14:solidFill>
                          <w14:schemeClr w14:val="tx1"/>
                        </w14:solidFill>
                      </w14:textFill>
                    </w:rPr>
                    <w:t>Mad</w:t>
                  </w:r>
                </w:p>
              </w:tc>
              <w:tc>
                <w:tcPr>
                  <w:tcW w:w="791" w:type="pct"/>
                  <w:noWrap w:val="0"/>
                  <w:vAlign w:val="center"/>
                </w:tcPr>
                <w:p w14:paraId="33033F76">
                  <w:pPr>
                    <w:adjustRightInd w:val="0"/>
                    <w:snapToGrid w:val="0"/>
                    <w:spacing w:line="240" w:lineRule="auto"/>
                    <w:jc w:val="center"/>
                    <w:rPr>
                      <w:rFonts w:hint="default" w:ascii="Times New Roman" w:hAnsi="Times New Roman" w:eastAsia="宋体" w:cs="Times New Roman"/>
                      <w:bCs/>
                      <w:color w:val="000000" w:themeColor="text1"/>
                      <w:sz w:val="21"/>
                      <w:szCs w:val="24"/>
                      <w:highlight w:val="none"/>
                      <w14:textFill>
                        <w14:solidFill>
                          <w14:schemeClr w14:val="tx1"/>
                        </w14:solidFill>
                      </w14:textFill>
                    </w:rPr>
                  </w:pPr>
                  <w:r>
                    <w:rPr>
                      <w:rFonts w:hint="default" w:ascii="Times New Roman" w:hAnsi="Times New Roman" w:eastAsia="宋体" w:cs="Times New Roman"/>
                      <w:bCs/>
                      <w:color w:val="000000" w:themeColor="text1"/>
                      <w:sz w:val="21"/>
                      <w:szCs w:val="24"/>
                      <w:highlight w:val="none"/>
                      <w14:textFill>
                        <w14:solidFill>
                          <w14:schemeClr w14:val="tx1"/>
                        </w14:solidFill>
                      </w14:textFill>
                    </w:rPr>
                    <w:t>Vad</w:t>
                  </w:r>
                </w:p>
              </w:tc>
              <w:tc>
                <w:tcPr>
                  <w:tcW w:w="791" w:type="pct"/>
                  <w:noWrap w:val="0"/>
                  <w:vAlign w:val="center"/>
                </w:tcPr>
                <w:p w14:paraId="524402C1">
                  <w:pPr>
                    <w:adjustRightInd w:val="0"/>
                    <w:snapToGrid w:val="0"/>
                    <w:spacing w:line="240" w:lineRule="auto"/>
                    <w:jc w:val="center"/>
                    <w:rPr>
                      <w:rFonts w:hint="default" w:ascii="Times New Roman" w:hAnsi="Times New Roman" w:eastAsia="宋体" w:cs="Times New Roman"/>
                      <w:bCs/>
                      <w:color w:val="000000" w:themeColor="text1"/>
                      <w:sz w:val="21"/>
                      <w:szCs w:val="24"/>
                      <w:highlight w:val="none"/>
                      <w14:textFill>
                        <w14:solidFill>
                          <w14:schemeClr w14:val="tx1"/>
                        </w14:solidFill>
                      </w14:textFill>
                    </w:rPr>
                  </w:pPr>
                  <w:r>
                    <w:rPr>
                      <w:rFonts w:hint="default" w:ascii="Times New Roman" w:hAnsi="Times New Roman" w:eastAsia="宋体" w:cs="Times New Roman"/>
                      <w:bCs/>
                      <w:color w:val="000000" w:themeColor="text1"/>
                      <w:sz w:val="21"/>
                      <w:szCs w:val="24"/>
                      <w:highlight w:val="none"/>
                      <w14:textFill>
                        <w14:solidFill>
                          <w14:schemeClr w14:val="tx1"/>
                        </w14:solidFill>
                      </w14:textFill>
                    </w:rPr>
                    <w:t>Aad</w:t>
                  </w:r>
                </w:p>
              </w:tc>
              <w:tc>
                <w:tcPr>
                  <w:tcW w:w="674" w:type="pct"/>
                  <w:noWrap w:val="0"/>
                  <w:vAlign w:val="center"/>
                </w:tcPr>
                <w:p w14:paraId="645DDF31">
                  <w:pPr>
                    <w:adjustRightInd w:val="0"/>
                    <w:snapToGrid w:val="0"/>
                    <w:spacing w:line="240" w:lineRule="auto"/>
                    <w:jc w:val="center"/>
                    <w:rPr>
                      <w:rFonts w:hint="default" w:ascii="Times New Roman" w:hAnsi="Times New Roman" w:eastAsia="宋体" w:cs="Times New Roman"/>
                      <w:bCs/>
                      <w:color w:val="000000" w:themeColor="text1"/>
                      <w:sz w:val="21"/>
                      <w:szCs w:val="24"/>
                      <w:highlight w:val="none"/>
                      <w14:textFill>
                        <w14:solidFill>
                          <w14:schemeClr w14:val="tx1"/>
                        </w14:solidFill>
                      </w14:textFill>
                    </w:rPr>
                  </w:pPr>
                  <w:r>
                    <w:rPr>
                      <w:rFonts w:hint="default" w:ascii="Times New Roman" w:hAnsi="Times New Roman" w:eastAsia="宋体" w:cs="Times New Roman"/>
                      <w:bCs/>
                      <w:color w:val="000000" w:themeColor="text1"/>
                      <w:sz w:val="21"/>
                      <w:szCs w:val="24"/>
                      <w:highlight w:val="none"/>
                      <w14:textFill>
                        <w14:solidFill>
                          <w14:schemeClr w14:val="tx1"/>
                        </w14:solidFill>
                      </w14:textFill>
                    </w:rPr>
                    <w:t>FCad</w:t>
                  </w:r>
                </w:p>
              </w:tc>
              <w:tc>
                <w:tcPr>
                  <w:tcW w:w="2070" w:type="pct"/>
                  <w:noWrap w:val="0"/>
                  <w:vAlign w:val="center"/>
                </w:tcPr>
                <w:p w14:paraId="7088FFE6">
                  <w:pPr>
                    <w:adjustRightInd w:val="0"/>
                    <w:snapToGrid w:val="0"/>
                    <w:spacing w:line="240" w:lineRule="auto"/>
                    <w:jc w:val="center"/>
                    <w:rPr>
                      <w:rFonts w:hint="default" w:ascii="Times New Roman" w:hAnsi="Times New Roman" w:eastAsia="宋体" w:cs="Times New Roman"/>
                      <w:bCs/>
                      <w:color w:val="000000" w:themeColor="text1"/>
                      <w:sz w:val="21"/>
                      <w:szCs w:val="24"/>
                      <w:highlight w:val="none"/>
                      <w:lang w:eastAsia="zh-CN"/>
                      <w14:textFill>
                        <w14:solidFill>
                          <w14:schemeClr w14:val="tx1"/>
                        </w14:solidFill>
                      </w14:textFill>
                    </w:rPr>
                  </w:pPr>
                  <w:r>
                    <w:rPr>
                      <w:rFonts w:hint="default" w:ascii="Times New Roman" w:hAnsi="Times New Roman" w:eastAsia="宋体" w:cs="Times New Roman"/>
                      <w:bCs/>
                      <w:color w:val="000000" w:themeColor="text1"/>
                      <w:sz w:val="21"/>
                      <w:szCs w:val="24"/>
                      <w:highlight w:val="none"/>
                      <w14:textFill>
                        <w14:solidFill>
                          <w14:schemeClr w14:val="tx1"/>
                        </w14:solidFill>
                      </w14:textFill>
                    </w:rPr>
                    <w:t>Q</w:t>
                  </w:r>
                  <w:r>
                    <w:rPr>
                      <w:rFonts w:hint="default" w:ascii="Times New Roman" w:hAnsi="Times New Roman" w:eastAsia="宋体" w:cs="Times New Roman"/>
                      <w:bCs/>
                      <w:color w:val="000000" w:themeColor="text1"/>
                      <w:sz w:val="21"/>
                      <w:szCs w:val="24"/>
                      <w:highlight w:val="none"/>
                      <w:vertAlign w:val="subscript"/>
                      <w14:textFill>
                        <w14:solidFill>
                          <w14:schemeClr w14:val="tx1"/>
                        </w14:solidFill>
                      </w14:textFill>
                    </w:rPr>
                    <w:t>DW</w:t>
                  </w:r>
                  <w:r>
                    <w:rPr>
                      <w:rFonts w:hint="default" w:ascii="Times New Roman" w:hAnsi="Times New Roman" w:cs="Times New Roman"/>
                      <w:bCs/>
                      <w:color w:val="000000" w:themeColor="text1"/>
                      <w:sz w:val="21"/>
                      <w:szCs w:val="24"/>
                      <w:highlight w:val="none"/>
                      <w:vertAlign w:val="subscript"/>
                      <w:lang w:eastAsia="zh-CN"/>
                      <w14:textFill>
                        <w14:solidFill>
                          <w14:schemeClr w14:val="tx1"/>
                        </w14:solidFill>
                      </w14:textFill>
                    </w:rPr>
                    <w:t>，</w:t>
                  </w:r>
                  <w:r>
                    <w:rPr>
                      <w:rFonts w:hint="default" w:ascii="Times New Roman" w:hAnsi="Times New Roman" w:eastAsia="宋体" w:cs="Times New Roman"/>
                      <w:bCs/>
                      <w:color w:val="000000" w:themeColor="text1"/>
                      <w:sz w:val="21"/>
                      <w:szCs w:val="24"/>
                      <w:highlight w:val="none"/>
                      <w14:textFill>
                        <w14:solidFill>
                          <w14:schemeClr w14:val="tx1"/>
                        </w14:solidFill>
                      </w14:textFill>
                    </w:rPr>
                    <w:t>ad</w:t>
                  </w:r>
                  <w:r>
                    <w:rPr>
                      <w:rFonts w:hint="default" w:ascii="Times New Roman" w:hAnsi="Times New Roman" w:cs="Times New Roman"/>
                      <w:bCs/>
                      <w:color w:val="000000" w:themeColor="text1"/>
                      <w:sz w:val="21"/>
                      <w:szCs w:val="24"/>
                      <w:highlight w:val="none"/>
                      <w:lang w:eastAsia="zh-CN"/>
                      <w14:textFill>
                        <w14:solidFill>
                          <w14:schemeClr w14:val="tx1"/>
                        </w14:solidFill>
                      </w14:textFill>
                    </w:rPr>
                    <w:t>(</w:t>
                  </w:r>
                  <w:r>
                    <w:rPr>
                      <w:rFonts w:hint="default" w:ascii="Times New Roman" w:hAnsi="Times New Roman" w:eastAsia="宋体" w:cs="Times New Roman"/>
                      <w:bCs/>
                      <w:color w:val="000000" w:themeColor="text1"/>
                      <w:sz w:val="21"/>
                      <w:szCs w:val="24"/>
                      <w:highlight w:val="none"/>
                      <w14:textFill>
                        <w14:solidFill>
                          <w14:schemeClr w14:val="tx1"/>
                        </w14:solidFill>
                      </w14:textFill>
                    </w:rPr>
                    <w:t>kCal/kg</w:t>
                  </w:r>
                  <w:r>
                    <w:rPr>
                      <w:rFonts w:hint="default" w:ascii="Times New Roman" w:hAnsi="Times New Roman" w:cs="Times New Roman"/>
                      <w:bCs/>
                      <w:color w:val="000000" w:themeColor="text1"/>
                      <w:sz w:val="21"/>
                      <w:szCs w:val="24"/>
                      <w:highlight w:val="none"/>
                      <w:lang w:eastAsia="zh-CN"/>
                      <w14:textFill>
                        <w14:solidFill>
                          <w14:schemeClr w14:val="tx1"/>
                        </w14:solidFill>
                      </w14:textFill>
                    </w:rPr>
                    <w:t>)</w:t>
                  </w:r>
                </w:p>
              </w:tc>
            </w:tr>
            <w:tr w14:paraId="5172E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4" w:type="pct"/>
                  <w:noWrap w:val="0"/>
                  <w:vAlign w:val="center"/>
                </w:tcPr>
                <w:p w14:paraId="6342FBB6">
                  <w:pPr>
                    <w:adjustRightInd w:val="0"/>
                    <w:snapToGrid w:val="0"/>
                    <w:spacing w:line="240" w:lineRule="auto"/>
                    <w:jc w:val="center"/>
                    <w:rPr>
                      <w:rFonts w:hint="default" w:ascii="Times New Roman" w:hAnsi="Times New Roman" w:eastAsia="宋体" w:cs="Times New Roman"/>
                      <w:bCs/>
                      <w:color w:val="000000" w:themeColor="text1"/>
                      <w:sz w:val="21"/>
                      <w:szCs w:val="24"/>
                      <w:highlight w:val="none"/>
                      <w14:textFill>
                        <w14:solidFill>
                          <w14:schemeClr w14:val="tx1"/>
                        </w14:solidFill>
                      </w14:textFill>
                    </w:rPr>
                  </w:pPr>
                  <w:r>
                    <w:rPr>
                      <w:rFonts w:hint="default" w:ascii="Times New Roman" w:hAnsi="Times New Roman" w:eastAsia="宋体" w:cs="Times New Roman"/>
                      <w:bCs/>
                      <w:color w:val="000000" w:themeColor="text1"/>
                      <w:sz w:val="21"/>
                      <w:szCs w:val="24"/>
                      <w:highlight w:val="none"/>
                      <w14:textFill>
                        <w14:solidFill>
                          <w14:schemeClr w14:val="tx1"/>
                        </w14:solidFill>
                      </w14:textFill>
                    </w:rPr>
                    <w:t>0.05</w:t>
                  </w:r>
                </w:p>
              </w:tc>
              <w:tc>
                <w:tcPr>
                  <w:tcW w:w="791" w:type="pct"/>
                  <w:noWrap w:val="0"/>
                  <w:vAlign w:val="center"/>
                </w:tcPr>
                <w:p w14:paraId="25C502C1">
                  <w:pPr>
                    <w:adjustRightInd w:val="0"/>
                    <w:snapToGrid w:val="0"/>
                    <w:spacing w:line="240" w:lineRule="auto"/>
                    <w:jc w:val="center"/>
                    <w:rPr>
                      <w:rFonts w:hint="default" w:ascii="Times New Roman" w:hAnsi="Times New Roman" w:eastAsia="宋体" w:cs="Times New Roman"/>
                      <w:bCs/>
                      <w:color w:val="000000" w:themeColor="text1"/>
                      <w:sz w:val="21"/>
                      <w:szCs w:val="24"/>
                      <w:highlight w:val="none"/>
                      <w:lang w:eastAsia="zh-CN"/>
                      <w14:textFill>
                        <w14:solidFill>
                          <w14:schemeClr w14:val="tx1"/>
                        </w14:solidFill>
                      </w14:textFill>
                    </w:rPr>
                  </w:pPr>
                  <w:r>
                    <w:rPr>
                      <w:rFonts w:hint="default" w:ascii="Times New Roman" w:hAnsi="Times New Roman" w:eastAsia="宋体" w:cs="Times New Roman"/>
                      <w:bCs/>
                      <w:color w:val="000000" w:themeColor="text1"/>
                      <w:sz w:val="21"/>
                      <w:szCs w:val="24"/>
                      <w:highlight w:val="none"/>
                      <w14:textFill>
                        <w14:solidFill>
                          <w14:schemeClr w14:val="tx1"/>
                        </w14:solidFill>
                      </w14:textFill>
                    </w:rPr>
                    <w:t>1</w:t>
                  </w:r>
                  <w:r>
                    <w:rPr>
                      <w:rFonts w:hint="default" w:ascii="Times New Roman" w:hAnsi="Times New Roman" w:cs="Times New Roman"/>
                      <w:bCs/>
                      <w:color w:val="000000" w:themeColor="text1"/>
                      <w:sz w:val="21"/>
                      <w:szCs w:val="24"/>
                      <w:highlight w:val="none"/>
                      <w:lang w:eastAsia="zh-CN"/>
                      <w14:textFill>
                        <w14:solidFill>
                          <w14:schemeClr w14:val="tx1"/>
                        </w14:solidFill>
                      </w14:textFill>
                    </w:rPr>
                    <w:t>4.11</w:t>
                  </w:r>
                </w:p>
              </w:tc>
              <w:tc>
                <w:tcPr>
                  <w:tcW w:w="791" w:type="pct"/>
                  <w:noWrap w:val="0"/>
                  <w:vAlign w:val="center"/>
                </w:tcPr>
                <w:p w14:paraId="53B3FE2C">
                  <w:pPr>
                    <w:adjustRightInd w:val="0"/>
                    <w:snapToGrid w:val="0"/>
                    <w:spacing w:line="240" w:lineRule="auto"/>
                    <w:jc w:val="center"/>
                    <w:rPr>
                      <w:rFonts w:hint="default" w:ascii="Times New Roman" w:hAnsi="Times New Roman" w:eastAsia="宋体" w:cs="Times New Roman"/>
                      <w:bCs/>
                      <w:color w:val="000000" w:themeColor="text1"/>
                      <w:sz w:val="21"/>
                      <w:szCs w:val="24"/>
                      <w:highlight w:val="none"/>
                      <w14:textFill>
                        <w14:solidFill>
                          <w14:schemeClr w14:val="tx1"/>
                        </w14:solidFill>
                      </w14:textFill>
                    </w:rPr>
                  </w:pPr>
                  <w:r>
                    <w:rPr>
                      <w:rFonts w:hint="default" w:ascii="Times New Roman" w:hAnsi="Times New Roman" w:eastAsia="宋体" w:cs="Times New Roman"/>
                      <w:bCs/>
                      <w:color w:val="000000" w:themeColor="text1"/>
                      <w:sz w:val="21"/>
                      <w:szCs w:val="24"/>
                      <w:highlight w:val="none"/>
                      <w14:textFill>
                        <w14:solidFill>
                          <w14:schemeClr w14:val="tx1"/>
                        </w14:solidFill>
                      </w14:textFill>
                    </w:rPr>
                    <w:t>84.84</w:t>
                  </w:r>
                </w:p>
              </w:tc>
              <w:tc>
                <w:tcPr>
                  <w:tcW w:w="674" w:type="pct"/>
                  <w:noWrap w:val="0"/>
                  <w:vAlign w:val="center"/>
                </w:tcPr>
                <w:p w14:paraId="01604F67">
                  <w:pPr>
                    <w:adjustRightInd w:val="0"/>
                    <w:snapToGrid w:val="0"/>
                    <w:spacing w:line="240" w:lineRule="auto"/>
                    <w:jc w:val="center"/>
                    <w:rPr>
                      <w:rFonts w:hint="default" w:ascii="Times New Roman" w:hAnsi="Times New Roman" w:eastAsia="宋体" w:cs="Times New Roman"/>
                      <w:bCs/>
                      <w:color w:val="000000" w:themeColor="text1"/>
                      <w:sz w:val="21"/>
                      <w:szCs w:val="24"/>
                      <w:highlight w:val="none"/>
                      <w14:textFill>
                        <w14:solidFill>
                          <w14:schemeClr w14:val="tx1"/>
                        </w14:solidFill>
                      </w14:textFill>
                    </w:rPr>
                  </w:pPr>
                  <w:r>
                    <w:rPr>
                      <w:rFonts w:hint="default" w:ascii="Times New Roman" w:hAnsi="Times New Roman" w:eastAsia="宋体" w:cs="Times New Roman"/>
                      <w:bCs/>
                      <w:color w:val="000000" w:themeColor="text1"/>
                      <w:sz w:val="21"/>
                      <w:szCs w:val="24"/>
                      <w:highlight w:val="none"/>
                      <w14:textFill>
                        <w14:solidFill>
                          <w14:schemeClr w14:val="tx1"/>
                        </w14:solidFill>
                      </w14:textFill>
                    </w:rPr>
                    <w:t>0.58</w:t>
                  </w:r>
                </w:p>
              </w:tc>
              <w:tc>
                <w:tcPr>
                  <w:tcW w:w="2070" w:type="pct"/>
                  <w:noWrap w:val="0"/>
                  <w:vAlign w:val="center"/>
                </w:tcPr>
                <w:p w14:paraId="23301562">
                  <w:pPr>
                    <w:adjustRightInd w:val="0"/>
                    <w:snapToGrid w:val="0"/>
                    <w:spacing w:line="240" w:lineRule="auto"/>
                    <w:jc w:val="center"/>
                    <w:rPr>
                      <w:rFonts w:hint="default" w:ascii="Times New Roman" w:hAnsi="Times New Roman" w:eastAsia="宋体" w:cs="Times New Roman"/>
                      <w:bCs/>
                      <w:color w:val="000000" w:themeColor="text1"/>
                      <w:sz w:val="21"/>
                      <w:szCs w:val="24"/>
                      <w:highlight w:val="none"/>
                      <w14:textFill>
                        <w14:solidFill>
                          <w14:schemeClr w14:val="tx1"/>
                        </w14:solidFill>
                      </w14:textFill>
                    </w:rPr>
                  </w:pPr>
                  <w:r>
                    <w:rPr>
                      <w:rFonts w:hint="default" w:ascii="Times New Roman" w:hAnsi="Times New Roman" w:eastAsia="宋体" w:cs="Times New Roman"/>
                      <w:bCs/>
                      <w:color w:val="000000" w:themeColor="text1"/>
                      <w:sz w:val="21"/>
                      <w:szCs w:val="24"/>
                      <w:highlight w:val="none"/>
                      <w14:textFill>
                        <w14:solidFill>
                          <w14:schemeClr w14:val="tx1"/>
                        </w14:solidFill>
                      </w14:textFill>
                    </w:rPr>
                    <w:t>600</w:t>
                  </w:r>
                </w:p>
              </w:tc>
            </w:tr>
          </w:tbl>
          <w:p w14:paraId="6A9C355A">
            <w:pPr>
              <w:adjustRightInd w:val="0"/>
              <w:snapToGrid w:val="0"/>
              <w:spacing w:line="240" w:lineRule="auto"/>
              <w:ind w:firstLine="2650" w:firstLineChars="1100"/>
              <w:rPr>
                <w:rFonts w:hint="default" w:ascii="Times New Roman" w:hAnsi="Times New Roman" w:eastAsia="宋体" w:cs="Times New Roman"/>
                <w:bCs/>
                <w:color w:val="000000" w:themeColor="text1"/>
                <w:sz w:val="24"/>
                <w:szCs w:val="24"/>
                <w:highlight w:val="none"/>
                <w:lang w:eastAsia="zh-CN"/>
                <w14:textFill>
                  <w14:solidFill>
                    <w14:schemeClr w14:val="tx1"/>
                  </w14:solidFill>
                </w14:textFill>
              </w:rPr>
            </w:pPr>
            <w:r>
              <w:rPr>
                <w:rFonts w:hint="default" w:ascii="Times New Roman" w:hAnsi="Times New Roman" w:eastAsia="宋体" w:cs="Times New Roman"/>
                <w:b/>
                <w:bCs w:val="0"/>
                <w:color w:val="000000" w:themeColor="text1"/>
                <w:sz w:val="24"/>
                <w:szCs w:val="24"/>
                <w:highlight w:val="none"/>
                <w14:textFill>
                  <w14:solidFill>
                    <w14:schemeClr w14:val="tx1"/>
                  </w14:solidFill>
                </w14:textFill>
              </w:rPr>
              <w:t>表</w:t>
            </w:r>
            <w:r>
              <w:rPr>
                <w:rFonts w:hint="default" w:ascii="Times New Roman" w:hAnsi="Times New Roman" w:eastAsia="宋体" w:cs="Times New Roman"/>
                <w:b/>
                <w:bCs w:val="0"/>
                <w:color w:val="000000" w:themeColor="text1"/>
                <w:sz w:val="24"/>
                <w:szCs w:val="24"/>
                <w:highlight w:val="none"/>
                <w:lang w:val="en-US" w:eastAsia="zh-CN"/>
                <w14:textFill>
                  <w14:solidFill>
                    <w14:schemeClr w14:val="tx1"/>
                  </w14:solidFill>
                </w14:textFill>
              </w:rPr>
              <w:t>2</w:t>
            </w:r>
            <w:r>
              <w:rPr>
                <w:rFonts w:hint="default" w:ascii="Times New Roman" w:hAnsi="Times New Roman" w:eastAsia="宋体" w:cs="Times New Roman"/>
                <w:b/>
                <w:bCs w:val="0"/>
                <w:color w:val="000000" w:themeColor="text1"/>
                <w:sz w:val="24"/>
                <w:szCs w:val="24"/>
                <w:highlight w:val="none"/>
                <w14:textFill>
                  <w14:solidFill>
                    <w14:schemeClr w14:val="tx1"/>
                  </w14:solidFill>
                </w14:textFill>
              </w:rPr>
              <w:t>-</w:t>
            </w:r>
            <w:r>
              <w:rPr>
                <w:rFonts w:hint="default" w:ascii="Times New Roman" w:hAnsi="Times New Roman" w:eastAsia="宋体" w:cs="Times New Roman"/>
                <w:b/>
                <w:bCs w:val="0"/>
                <w:color w:val="000000" w:themeColor="text1"/>
                <w:sz w:val="24"/>
                <w:szCs w:val="24"/>
                <w:highlight w:val="none"/>
                <w:lang w:val="en-US" w:eastAsia="zh-CN"/>
                <w14:textFill>
                  <w14:solidFill>
                    <w14:schemeClr w14:val="tx1"/>
                  </w14:solidFill>
                </w14:textFill>
              </w:rPr>
              <w:t>19</w:t>
            </w:r>
            <w:r>
              <w:rPr>
                <w:rFonts w:hint="default" w:ascii="Times New Roman" w:hAnsi="Times New Roman" w:cs="Times New Roman"/>
                <w:b/>
                <w:bCs w:val="0"/>
                <w:color w:val="000000" w:themeColor="text1"/>
                <w:sz w:val="24"/>
                <w:szCs w:val="24"/>
                <w:highlight w:val="none"/>
                <w:lang w:eastAsia="zh-CN"/>
                <w14:textFill>
                  <w14:solidFill>
                    <w14:schemeClr w14:val="tx1"/>
                  </w14:solidFill>
                </w14:textFill>
              </w:rPr>
              <w:t>原料粉</w:t>
            </w:r>
            <w:r>
              <w:rPr>
                <w:rFonts w:hint="default" w:ascii="Times New Roman" w:hAnsi="Times New Roman" w:eastAsia="宋体" w:cs="Times New Roman"/>
                <w:b/>
                <w:bCs w:val="0"/>
                <w:color w:val="000000" w:themeColor="text1"/>
                <w:sz w:val="24"/>
                <w:szCs w:val="24"/>
                <w:highlight w:val="none"/>
                <w14:textFill>
                  <w14:solidFill>
                    <w14:schemeClr w14:val="tx1"/>
                  </w14:solidFill>
                </w14:textFill>
              </w:rPr>
              <w:t>的元素分析（%）</w:t>
            </w:r>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620"/>
              <w:gridCol w:w="1899"/>
              <w:gridCol w:w="1620"/>
              <w:gridCol w:w="1620"/>
            </w:tblGrid>
            <w:tr w14:paraId="0F1BE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7" w:type="pct"/>
                  <w:noWrap w:val="0"/>
                  <w:vAlign w:val="center"/>
                </w:tcPr>
                <w:p w14:paraId="213F209E">
                  <w:pPr>
                    <w:adjustRightInd w:val="0"/>
                    <w:snapToGrid w:val="0"/>
                    <w:spacing w:line="240" w:lineRule="auto"/>
                    <w:jc w:val="center"/>
                    <w:rPr>
                      <w:rFonts w:hint="default" w:ascii="Times New Roman" w:hAnsi="Times New Roman" w:eastAsia="宋体" w:cs="Times New Roman"/>
                      <w:bCs/>
                      <w:color w:val="000000" w:themeColor="text1"/>
                      <w:sz w:val="21"/>
                      <w:szCs w:val="24"/>
                      <w:highlight w:val="none"/>
                      <w14:textFill>
                        <w14:solidFill>
                          <w14:schemeClr w14:val="tx1"/>
                        </w14:solidFill>
                      </w14:textFill>
                    </w:rPr>
                  </w:pPr>
                  <w:r>
                    <w:rPr>
                      <w:rFonts w:hint="default" w:ascii="Times New Roman" w:hAnsi="Times New Roman" w:eastAsia="宋体" w:cs="Times New Roman"/>
                      <w:bCs/>
                      <w:color w:val="000000" w:themeColor="text1"/>
                      <w:sz w:val="21"/>
                      <w:szCs w:val="24"/>
                      <w:highlight w:val="none"/>
                      <w14:textFill>
                        <w14:solidFill>
                          <w14:schemeClr w14:val="tx1"/>
                        </w14:solidFill>
                      </w14:textFill>
                    </w:rPr>
                    <w:t>Cad</w:t>
                  </w:r>
                </w:p>
              </w:tc>
              <w:tc>
                <w:tcPr>
                  <w:tcW w:w="967" w:type="pct"/>
                  <w:noWrap w:val="0"/>
                  <w:vAlign w:val="center"/>
                </w:tcPr>
                <w:p w14:paraId="204C6A09">
                  <w:pPr>
                    <w:adjustRightInd w:val="0"/>
                    <w:snapToGrid w:val="0"/>
                    <w:spacing w:line="240" w:lineRule="auto"/>
                    <w:jc w:val="center"/>
                    <w:rPr>
                      <w:rFonts w:hint="default" w:ascii="Times New Roman" w:hAnsi="Times New Roman" w:eastAsia="宋体" w:cs="Times New Roman"/>
                      <w:bCs/>
                      <w:color w:val="000000" w:themeColor="text1"/>
                      <w:sz w:val="21"/>
                      <w:szCs w:val="24"/>
                      <w:highlight w:val="none"/>
                      <w14:textFill>
                        <w14:solidFill>
                          <w14:schemeClr w14:val="tx1"/>
                        </w14:solidFill>
                      </w14:textFill>
                    </w:rPr>
                  </w:pPr>
                  <w:r>
                    <w:rPr>
                      <w:rFonts w:hint="default" w:ascii="Times New Roman" w:hAnsi="Times New Roman" w:eastAsia="宋体" w:cs="Times New Roman"/>
                      <w:bCs/>
                      <w:color w:val="000000" w:themeColor="text1"/>
                      <w:sz w:val="21"/>
                      <w:szCs w:val="24"/>
                      <w:highlight w:val="none"/>
                      <w14:textFill>
                        <w14:solidFill>
                          <w14:schemeClr w14:val="tx1"/>
                        </w14:solidFill>
                      </w14:textFill>
                    </w:rPr>
                    <w:t>Had</w:t>
                  </w:r>
                </w:p>
              </w:tc>
              <w:tc>
                <w:tcPr>
                  <w:tcW w:w="1133" w:type="pct"/>
                  <w:noWrap w:val="0"/>
                  <w:vAlign w:val="center"/>
                </w:tcPr>
                <w:p w14:paraId="2C619F41">
                  <w:pPr>
                    <w:adjustRightInd w:val="0"/>
                    <w:snapToGrid w:val="0"/>
                    <w:spacing w:line="240" w:lineRule="auto"/>
                    <w:jc w:val="center"/>
                    <w:rPr>
                      <w:rFonts w:hint="default" w:ascii="Times New Roman" w:hAnsi="Times New Roman" w:eastAsia="宋体" w:cs="Times New Roman"/>
                      <w:bCs/>
                      <w:color w:val="000000" w:themeColor="text1"/>
                      <w:sz w:val="21"/>
                      <w:szCs w:val="24"/>
                      <w:highlight w:val="none"/>
                      <w14:textFill>
                        <w14:solidFill>
                          <w14:schemeClr w14:val="tx1"/>
                        </w14:solidFill>
                      </w14:textFill>
                    </w:rPr>
                  </w:pPr>
                  <w:r>
                    <w:rPr>
                      <w:rFonts w:hint="default" w:ascii="Times New Roman" w:hAnsi="Times New Roman" w:eastAsia="宋体" w:cs="Times New Roman"/>
                      <w:bCs/>
                      <w:color w:val="000000" w:themeColor="text1"/>
                      <w:sz w:val="21"/>
                      <w:szCs w:val="24"/>
                      <w:highlight w:val="none"/>
                      <w14:textFill>
                        <w14:solidFill>
                          <w14:schemeClr w14:val="tx1"/>
                        </w14:solidFill>
                      </w14:textFill>
                    </w:rPr>
                    <w:t>Oad</w:t>
                  </w:r>
                </w:p>
              </w:tc>
              <w:tc>
                <w:tcPr>
                  <w:tcW w:w="967" w:type="pct"/>
                  <w:noWrap w:val="0"/>
                  <w:vAlign w:val="center"/>
                </w:tcPr>
                <w:p w14:paraId="59B86E2D">
                  <w:pPr>
                    <w:adjustRightInd w:val="0"/>
                    <w:snapToGrid w:val="0"/>
                    <w:spacing w:line="240" w:lineRule="auto"/>
                    <w:jc w:val="center"/>
                    <w:rPr>
                      <w:rFonts w:hint="default" w:ascii="Times New Roman" w:hAnsi="Times New Roman" w:eastAsia="宋体" w:cs="Times New Roman"/>
                      <w:bCs/>
                      <w:color w:val="000000" w:themeColor="text1"/>
                      <w:sz w:val="21"/>
                      <w:szCs w:val="24"/>
                      <w:highlight w:val="none"/>
                      <w14:textFill>
                        <w14:solidFill>
                          <w14:schemeClr w14:val="tx1"/>
                        </w14:solidFill>
                      </w14:textFill>
                    </w:rPr>
                  </w:pPr>
                  <w:r>
                    <w:rPr>
                      <w:rFonts w:hint="default" w:ascii="Times New Roman" w:hAnsi="Times New Roman" w:eastAsia="宋体" w:cs="Times New Roman"/>
                      <w:bCs/>
                      <w:color w:val="000000" w:themeColor="text1"/>
                      <w:sz w:val="21"/>
                      <w:szCs w:val="24"/>
                      <w:highlight w:val="none"/>
                      <w14:textFill>
                        <w14:solidFill>
                          <w14:schemeClr w14:val="tx1"/>
                        </w14:solidFill>
                      </w14:textFill>
                    </w:rPr>
                    <w:t>Nad</w:t>
                  </w:r>
                </w:p>
              </w:tc>
              <w:tc>
                <w:tcPr>
                  <w:tcW w:w="967" w:type="pct"/>
                  <w:noWrap w:val="0"/>
                  <w:vAlign w:val="center"/>
                </w:tcPr>
                <w:p w14:paraId="43541DB9">
                  <w:pPr>
                    <w:adjustRightInd w:val="0"/>
                    <w:snapToGrid w:val="0"/>
                    <w:spacing w:line="240" w:lineRule="auto"/>
                    <w:jc w:val="center"/>
                    <w:rPr>
                      <w:rFonts w:hint="default" w:ascii="Times New Roman" w:hAnsi="Times New Roman" w:eastAsia="宋体" w:cs="Times New Roman"/>
                      <w:bCs/>
                      <w:color w:val="000000" w:themeColor="text1"/>
                      <w:sz w:val="21"/>
                      <w:szCs w:val="24"/>
                      <w:highlight w:val="none"/>
                      <w14:textFill>
                        <w14:solidFill>
                          <w14:schemeClr w14:val="tx1"/>
                        </w14:solidFill>
                      </w14:textFill>
                    </w:rPr>
                  </w:pPr>
                  <w:r>
                    <w:rPr>
                      <w:rFonts w:hint="default" w:ascii="Times New Roman" w:hAnsi="Times New Roman" w:eastAsia="宋体" w:cs="Times New Roman"/>
                      <w:bCs/>
                      <w:color w:val="000000" w:themeColor="text1"/>
                      <w:sz w:val="21"/>
                      <w:szCs w:val="24"/>
                      <w:highlight w:val="none"/>
                      <w14:textFill>
                        <w14:solidFill>
                          <w14:schemeClr w14:val="tx1"/>
                        </w14:solidFill>
                      </w14:textFill>
                    </w:rPr>
                    <w:t>Sad</w:t>
                  </w:r>
                </w:p>
              </w:tc>
            </w:tr>
            <w:tr w14:paraId="7F6B2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7" w:type="pct"/>
                  <w:noWrap w:val="0"/>
                  <w:vAlign w:val="center"/>
                </w:tcPr>
                <w:p w14:paraId="49A70303">
                  <w:pPr>
                    <w:adjustRightInd w:val="0"/>
                    <w:snapToGrid w:val="0"/>
                    <w:spacing w:line="240" w:lineRule="auto"/>
                    <w:jc w:val="center"/>
                    <w:rPr>
                      <w:rFonts w:hint="default" w:ascii="Times New Roman" w:hAnsi="Times New Roman" w:eastAsia="宋体" w:cs="Times New Roman"/>
                      <w:bCs/>
                      <w:color w:val="000000" w:themeColor="text1"/>
                      <w:sz w:val="21"/>
                      <w:szCs w:val="24"/>
                      <w:highlight w:val="none"/>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4"/>
                      <w:highlight w:val="none"/>
                      <w14:textFill>
                        <w14:solidFill>
                          <w14:schemeClr w14:val="tx1"/>
                        </w14:solidFill>
                      </w14:textFill>
                    </w:rPr>
                    <w:t>8.</w:t>
                  </w:r>
                  <w:r>
                    <w:rPr>
                      <w:rFonts w:hint="default" w:ascii="Times New Roman" w:hAnsi="Times New Roman" w:eastAsia="宋体" w:cs="Times New Roman"/>
                      <w:bCs/>
                      <w:color w:val="000000" w:themeColor="text1"/>
                      <w:sz w:val="21"/>
                      <w:szCs w:val="24"/>
                      <w:highlight w:val="none"/>
                      <w:lang w:val="en-US" w:eastAsia="zh-CN"/>
                      <w14:textFill>
                        <w14:solidFill>
                          <w14:schemeClr w14:val="tx1"/>
                        </w14:solidFill>
                      </w14:textFill>
                    </w:rPr>
                    <w:t>00</w:t>
                  </w:r>
                </w:p>
              </w:tc>
              <w:tc>
                <w:tcPr>
                  <w:tcW w:w="967" w:type="pct"/>
                  <w:noWrap w:val="0"/>
                  <w:vAlign w:val="center"/>
                </w:tcPr>
                <w:p w14:paraId="0D2B924A">
                  <w:pPr>
                    <w:adjustRightInd w:val="0"/>
                    <w:snapToGrid w:val="0"/>
                    <w:spacing w:line="240" w:lineRule="auto"/>
                    <w:jc w:val="center"/>
                    <w:rPr>
                      <w:rFonts w:hint="default" w:ascii="Times New Roman" w:hAnsi="Times New Roman" w:eastAsia="宋体" w:cs="Times New Roman"/>
                      <w:bCs/>
                      <w:color w:val="000000" w:themeColor="text1"/>
                      <w:sz w:val="21"/>
                      <w:szCs w:val="24"/>
                      <w:highlight w:val="none"/>
                      <w:lang w:eastAsia="zh-CN"/>
                      <w14:textFill>
                        <w14:solidFill>
                          <w14:schemeClr w14:val="tx1"/>
                        </w14:solidFill>
                      </w14:textFill>
                    </w:rPr>
                  </w:pPr>
                  <w:r>
                    <w:rPr>
                      <w:rFonts w:hint="default" w:ascii="Times New Roman" w:hAnsi="Times New Roman" w:eastAsia="宋体" w:cs="Times New Roman"/>
                      <w:bCs/>
                      <w:color w:val="000000" w:themeColor="text1"/>
                      <w:sz w:val="21"/>
                      <w:szCs w:val="24"/>
                      <w:highlight w:val="none"/>
                      <w14:textFill>
                        <w14:solidFill>
                          <w14:schemeClr w14:val="tx1"/>
                        </w14:solidFill>
                      </w14:textFill>
                    </w:rPr>
                    <w:t>1.8</w:t>
                  </w:r>
                  <w:r>
                    <w:rPr>
                      <w:rFonts w:hint="default" w:ascii="Times New Roman" w:hAnsi="Times New Roman" w:eastAsia="宋体" w:cs="Times New Roman"/>
                      <w:bCs/>
                      <w:color w:val="000000" w:themeColor="text1"/>
                      <w:sz w:val="21"/>
                      <w:szCs w:val="24"/>
                      <w:highlight w:val="none"/>
                      <w:lang w:val="en-US" w:eastAsia="zh-CN"/>
                      <w14:textFill>
                        <w14:solidFill>
                          <w14:schemeClr w14:val="tx1"/>
                        </w14:solidFill>
                      </w14:textFill>
                    </w:rPr>
                    <w:t>0</w:t>
                  </w:r>
                </w:p>
              </w:tc>
              <w:tc>
                <w:tcPr>
                  <w:tcW w:w="1133" w:type="pct"/>
                  <w:noWrap w:val="0"/>
                  <w:vAlign w:val="center"/>
                </w:tcPr>
                <w:p w14:paraId="19949A36">
                  <w:pPr>
                    <w:adjustRightInd w:val="0"/>
                    <w:snapToGrid w:val="0"/>
                    <w:spacing w:line="240" w:lineRule="auto"/>
                    <w:jc w:val="center"/>
                    <w:rPr>
                      <w:rFonts w:hint="default" w:ascii="Times New Roman" w:hAnsi="Times New Roman" w:eastAsia="宋体" w:cs="Times New Roman"/>
                      <w:bCs/>
                      <w:color w:val="000000" w:themeColor="text1"/>
                      <w:sz w:val="21"/>
                      <w:szCs w:val="24"/>
                      <w:highlight w:val="none"/>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4"/>
                      <w:highlight w:val="none"/>
                      <w14:textFill>
                        <w14:solidFill>
                          <w14:schemeClr w14:val="tx1"/>
                        </w14:solidFill>
                      </w14:textFill>
                    </w:rPr>
                    <w:t>1</w:t>
                  </w:r>
                  <w:r>
                    <w:rPr>
                      <w:rFonts w:hint="default" w:ascii="Times New Roman" w:hAnsi="Times New Roman" w:eastAsia="宋体" w:cs="Times New Roman"/>
                      <w:bCs/>
                      <w:color w:val="000000" w:themeColor="text1"/>
                      <w:sz w:val="21"/>
                      <w:szCs w:val="24"/>
                      <w:highlight w:val="none"/>
                      <w:lang w:val="en-US" w:eastAsia="zh-CN"/>
                      <w14:textFill>
                        <w14:solidFill>
                          <w14:schemeClr w14:val="tx1"/>
                        </w14:solidFill>
                      </w14:textFill>
                    </w:rPr>
                    <w:t>0.00</w:t>
                  </w:r>
                </w:p>
              </w:tc>
              <w:tc>
                <w:tcPr>
                  <w:tcW w:w="967" w:type="pct"/>
                  <w:noWrap w:val="0"/>
                  <w:vAlign w:val="center"/>
                </w:tcPr>
                <w:p w14:paraId="0F6B6FE8">
                  <w:pPr>
                    <w:adjustRightInd w:val="0"/>
                    <w:snapToGrid w:val="0"/>
                    <w:spacing w:line="240" w:lineRule="auto"/>
                    <w:jc w:val="center"/>
                    <w:rPr>
                      <w:rFonts w:hint="default" w:ascii="Times New Roman" w:hAnsi="Times New Roman" w:eastAsia="宋体" w:cs="Times New Roman"/>
                      <w:bCs/>
                      <w:color w:val="000000" w:themeColor="text1"/>
                      <w:sz w:val="21"/>
                      <w:szCs w:val="24"/>
                      <w:highlight w:val="none"/>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4"/>
                      <w:highlight w:val="none"/>
                      <w14:textFill>
                        <w14:solidFill>
                          <w14:schemeClr w14:val="tx1"/>
                        </w14:solidFill>
                      </w14:textFill>
                    </w:rPr>
                    <w:t>0.</w:t>
                  </w:r>
                  <w:r>
                    <w:rPr>
                      <w:rFonts w:hint="default" w:ascii="Times New Roman" w:hAnsi="Times New Roman" w:eastAsia="宋体" w:cs="Times New Roman"/>
                      <w:bCs/>
                      <w:color w:val="000000" w:themeColor="text1"/>
                      <w:sz w:val="21"/>
                      <w:szCs w:val="24"/>
                      <w:highlight w:val="none"/>
                      <w:lang w:val="en-US" w:eastAsia="zh-CN"/>
                      <w14:textFill>
                        <w14:solidFill>
                          <w14:schemeClr w14:val="tx1"/>
                        </w14:solidFill>
                      </w14:textFill>
                    </w:rPr>
                    <w:t>08</w:t>
                  </w:r>
                </w:p>
              </w:tc>
              <w:tc>
                <w:tcPr>
                  <w:tcW w:w="967" w:type="pct"/>
                  <w:noWrap w:val="0"/>
                  <w:vAlign w:val="center"/>
                </w:tcPr>
                <w:p w14:paraId="58BE4BF1">
                  <w:pPr>
                    <w:adjustRightInd w:val="0"/>
                    <w:snapToGrid w:val="0"/>
                    <w:spacing w:line="240" w:lineRule="auto"/>
                    <w:jc w:val="center"/>
                    <w:rPr>
                      <w:rFonts w:hint="default" w:ascii="Times New Roman" w:hAnsi="Times New Roman" w:eastAsia="宋体" w:cs="Times New Roman"/>
                      <w:bCs/>
                      <w:color w:val="000000" w:themeColor="text1"/>
                      <w:sz w:val="21"/>
                      <w:szCs w:val="24"/>
                      <w:highlight w:val="none"/>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4"/>
                      <w:highlight w:val="none"/>
                      <w14:textFill>
                        <w14:solidFill>
                          <w14:schemeClr w14:val="tx1"/>
                        </w14:solidFill>
                      </w14:textFill>
                    </w:rPr>
                    <w:t>0.</w:t>
                  </w:r>
                  <w:r>
                    <w:rPr>
                      <w:rFonts w:hint="default" w:ascii="Times New Roman" w:hAnsi="Times New Roman" w:cs="Times New Roman"/>
                      <w:bCs/>
                      <w:color w:val="000000" w:themeColor="text1"/>
                      <w:sz w:val="21"/>
                      <w:szCs w:val="24"/>
                      <w:highlight w:val="none"/>
                      <w:lang w:val="en-US" w:eastAsia="zh-CN"/>
                      <w14:textFill>
                        <w14:solidFill>
                          <w14:schemeClr w14:val="tx1"/>
                        </w14:solidFill>
                      </w14:textFill>
                    </w:rPr>
                    <w:t>08</w:t>
                  </w:r>
                </w:p>
              </w:tc>
            </w:tr>
          </w:tbl>
          <w:p w14:paraId="31A291AC">
            <w:pPr>
              <w:pStyle w:val="13"/>
              <w:keepNext w:val="0"/>
              <w:keepLines w:val="0"/>
              <w:pageBreakBefore w:val="0"/>
              <w:widowControl w:val="0"/>
              <w:kinsoku/>
              <w:wordWrap/>
              <w:overflowPunct/>
              <w:topLinePunct w:val="0"/>
              <w:autoSpaceDE/>
              <w:autoSpaceDN/>
              <w:bidi w:val="0"/>
              <w:adjustRightInd/>
              <w:snapToGrid w:val="0"/>
              <w:spacing w:before="0" w:after="0" w:line="360" w:lineRule="auto"/>
              <w:ind w:right="0" w:firstLine="480" w:firstLineChars="20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根据业主要求，本项目燃料为</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精脱硫后的</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煤气</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根据</w:t>
            </w:r>
            <w:r>
              <w:rPr>
                <w:rFonts w:hint="default" w:ascii="Times New Roman" w:hAnsi="Times New Roman" w:cs="Times New Roman"/>
                <w:color w:val="000000" w:themeColor="text1"/>
                <w:sz w:val="24"/>
                <w:szCs w:val="24"/>
                <w:highlight w:val="none"/>
                <w:lang w:eastAsia="zh-CN"/>
                <w14:textFill>
                  <w14:solidFill>
                    <w14:schemeClr w14:val="tx1"/>
                  </w14:solidFill>
                </w14:textFill>
              </w:rPr>
              <w:t>《</w:t>
            </w:r>
            <w:r>
              <w:rPr>
                <w:rFonts w:hint="default" w:ascii="Times New Roman" w:hAnsi="Times New Roman" w:cs="Times New Roman"/>
                <w:color w:val="000000" w:themeColor="text1"/>
                <w:sz w:val="24"/>
                <w:szCs w:val="24"/>
                <w:highlight w:val="none"/>
                <w14:textFill>
                  <w14:solidFill>
                    <w14:schemeClr w14:val="tx1"/>
                  </w14:solidFill>
                </w14:textFill>
              </w:rPr>
              <w:t>内蒙古伊东集团东方能源化工有限责任</w:t>
            </w:r>
            <w:r>
              <w:rPr>
                <w:rFonts w:hint="default" w:ascii="Times New Roman" w:hAnsi="Times New Roman" w:eastAsia="宋体" w:cs="Times New Roman"/>
                <w:color w:val="000000" w:themeColor="text1"/>
                <w:sz w:val="24"/>
                <w:szCs w:val="24"/>
                <w:highlight w:val="none"/>
                <w14:textFill>
                  <w14:solidFill>
                    <w14:schemeClr w14:val="tx1"/>
                  </w14:solidFill>
                </w14:textFill>
              </w:rPr>
              <w:t>公司</w:t>
            </w:r>
            <w:r>
              <w:rPr>
                <w:rFonts w:hint="default" w:ascii="Times New Roman" w:hAnsi="Times New Roman" w:cs="Times New Roman"/>
                <w:color w:val="000000" w:themeColor="text1"/>
                <w:sz w:val="24"/>
                <w:szCs w:val="24"/>
                <w:highlight w:val="none"/>
                <w14:textFill>
                  <w14:solidFill>
                    <w14:schemeClr w14:val="tx1"/>
                  </w14:solidFill>
                </w14:textFill>
              </w:rPr>
              <w:t>直立炉绿色转型节能技改项目环境影响报告书</w:t>
            </w:r>
            <w:r>
              <w:rPr>
                <w:rFonts w:hint="default" w:ascii="Times New Roman" w:hAnsi="Times New Roman" w:cs="Times New Roman"/>
                <w:color w:val="000000" w:themeColor="text1"/>
                <w:sz w:val="24"/>
                <w:szCs w:val="24"/>
                <w:highlight w:val="none"/>
                <w:lang w:eastAsia="zh-CN"/>
                <w14:textFill>
                  <w14:solidFill>
                    <w14:schemeClr w14:val="tx1"/>
                  </w14:solidFill>
                </w14:textFill>
              </w:rPr>
              <w:t>》</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中净化后的</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煤气</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成分</w:t>
            </w:r>
            <w:r>
              <w:rPr>
                <w:rFonts w:hint="default" w:ascii="Times New Roman" w:hAnsi="Times New Roman" w:eastAsia="宋体" w:cs="Times New Roman"/>
                <w:color w:val="000000" w:themeColor="text1"/>
                <w:sz w:val="24"/>
                <w:szCs w:val="24"/>
                <w:highlight w:val="none"/>
                <w14:textFill>
                  <w14:solidFill>
                    <w14:schemeClr w14:val="tx1"/>
                  </w14:solidFill>
                </w14:textFill>
              </w:rPr>
              <w:t>数据如下：</w:t>
            </w:r>
          </w:p>
          <w:p w14:paraId="061A2E8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val="0"/>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bCs w:val="0"/>
                <w:color w:val="000000" w:themeColor="text1"/>
                <w:sz w:val="24"/>
                <w:szCs w:val="24"/>
                <w:highlight w:val="none"/>
                <w:lang w:val="en-US" w:eastAsia="zh-CN"/>
                <w14:textFill>
                  <w14:solidFill>
                    <w14:schemeClr w14:val="tx1"/>
                  </w14:solidFill>
                </w14:textFill>
              </w:rPr>
              <w:t>表2-20</w:t>
            </w:r>
            <w:r>
              <w:rPr>
                <w:rFonts w:hint="default" w:ascii="Times New Roman" w:hAnsi="Times New Roman" w:cs="Times New Roman"/>
                <w:b/>
                <w:bCs w:val="0"/>
                <w:color w:val="000000" w:themeColor="text1"/>
                <w:sz w:val="24"/>
                <w:szCs w:val="24"/>
                <w:highlight w:val="none"/>
                <w:lang w:val="en-US" w:eastAsia="zh-CN"/>
                <w14:textFill>
                  <w14:solidFill>
                    <w14:schemeClr w14:val="tx1"/>
                  </w14:solidFill>
                </w14:textFill>
              </w:rPr>
              <w:t>精脱硫后的</w:t>
            </w:r>
            <w:r>
              <w:rPr>
                <w:rFonts w:hint="default" w:ascii="Times New Roman" w:hAnsi="Times New Roman" w:eastAsia="宋体" w:cs="Times New Roman"/>
                <w:b/>
                <w:bCs w:val="0"/>
                <w:color w:val="000000" w:themeColor="text1"/>
                <w:sz w:val="24"/>
                <w:szCs w:val="24"/>
                <w:highlight w:val="none"/>
                <w:lang w:val="en-US" w:eastAsia="zh-CN"/>
                <w14:textFill>
                  <w14:solidFill>
                    <w14:schemeClr w14:val="tx1"/>
                  </w14:solidFill>
                </w14:textFill>
              </w:rPr>
              <w:t>煤气的组分分析（体积%）</w:t>
            </w:r>
          </w:p>
          <w:tbl>
            <w:tblPr>
              <w:tblStyle w:val="24"/>
              <w:tblpPr w:leftFromText="180" w:rightFromText="180" w:vertAnchor="text" w:tblpXSpec="center" w:tblpY="1"/>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0"/>
              <w:gridCol w:w="986"/>
              <w:gridCol w:w="986"/>
              <w:gridCol w:w="986"/>
              <w:gridCol w:w="986"/>
              <w:gridCol w:w="843"/>
              <w:gridCol w:w="882"/>
              <w:gridCol w:w="775"/>
              <w:gridCol w:w="775"/>
            </w:tblGrid>
            <w:tr w14:paraId="55C67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pct"/>
                  <w:noWrap w:val="0"/>
                  <w:vAlign w:val="center"/>
                </w:tcPr>
                <w:p w14:paraId="11159F59">
                  <w:pPr>
                    <w:adjustRightInd w:val="0"/>
                    <w:snapToGrid w:val="0"/>
                    <w:spacing w:line="240" w:lineRule="auto"/>
                    <w:jc w:val="center"/>
                    <w:rPr>
                      <w:rFonts w:hint="default" w:ascii="Times New Roman" w:hAnsi="Times New Roman" w:eastAsia="宋体" w:cs="Times New Roman"/>
                      <w:bCs/>
                      <w:color w:val="000000" w:themeColor="text1"/>
                      <w:sz w:val="21"/>
                      <w:szCs w:val="24"/>
                      <w:highlight w:val="none"/>
                      <w14:textFill>
                        <w14:solidFill>
                          <w14:schemeClr w14:val="tx1"/>
                        </w14:solidFill>
                      </w14:textFill>
                    </w:rPr>
                  </w:pPr>
                  <w:r>
                    <w:rPr>
                      <w:rFonts w:hint="default" w:ascii="Times New Roman" w:hAnsi="Times New Roman" w:eastAsia="宋体" w:cs="Times New Roman"/>
                      <w:bCs/>
                      <w:color w:val="000000" w:themeColor="text1"/>
                      <w:sz w:val="21"/>
                      <w:szCs w:val="24"/>
                      <w:highlight w:val="none"/>
                      <w14:textFill>
                        <w14:solidFill>
                          <w14:schemeClr w14:val="tx1"/>
                        </w14:solidFill>
                      </w14:textFill>
                    </w:rPr>
                    <w:t>H</w:t>
                  </w:r>
                  <w:r>
                    <w:rPr>
                      <w:rFonts w:hint="default" w:ascii="Times New Roman" w:hAnsi="Times New Roman" w:eastAsia="宋体" w:cs="Times New Roman"/>
                      <w:bCs/>
                      <w:color w:val="000000" w:themeColor="text1"/>
                      <w:sz w:val="21"/>
                      <w:szCs w:val="24"/>
                      <w:highlight w:val="none"/>
                      <w:vertAlign w:val="subscript"/>
                      <w14:textFill>
                        <w14:solidFill>
                          <w14:schemeClr w14:val="tx1"/>
                        </w14:solidFill>
                      </w14:textFill>
                    </w:rPr>
                    <w:t>2</w:t>
                  </w:r>
                  <w:r>
                    <w:rPr>
                      <w:rFonts w:hint="default" w:ascii="Times New Roman" w:hAnsi="Times New Roman" w:eastAsia="宋体" w:cs="Times New Roman"/>
                      <w:bCs/>
                      <w:color w:val="000000" w:themeColor="text1"/>
                      <w:sz w:val="21"/>
                      <w:szCs w:val="24"/>
                      <w:highlight w:val="none"/>
                      <w14:textFill>
                        <w14:solidFill>
                          <w14:schemeClr w14:val="tx1"/>
                        </w14:solidFill>
                      </w14:textFill>
                    </w:rPr>
                    <w:t>O</w:t>
                  </w:r>
                </w:p>
              </w:tc>
              <w:tc>
                <w:tcPr>
                  <w:tcW w:w="588" w:type="pct"/>
                  <w:noWrap w:val="0"/>
                  <w:vAlign w:val="center"/>
                </w:tcPr>
                <w:p w14:paraId="52F9E6F5">
                  <w:pPr>
                    <w:adjustRightInd w:val="0"/>
                    <w:snapToGrid w:val="0"/>
                    <w:spacing w:line="240" w:lineRule="auto"/>
                    <w:jc w:val="center"/>
                    <w:rPr>
                      <w:rFonts w:hint="default" w:ascii="Times New Roman" w:hAnsi="Times New Roman" w:eastAsia="宋体" w:cs="Times New Roman"/>
                      <w:bCs/>
                      <w:color w:val="000000" w:themeColor="text1"/>
                      <w:sz w:val="21"/>
                      <w:szCs w:val="24"/>
                      <w:highlight w:val="none"/>
                      <w14:textFill>
                        <w14:solidFill>
                          <w14:schemeClr w14:val="tx1"/>
                        </w14:solidFill>
                      </w14:textFill>
                    </w:rPr>
                  </w:pPr>
                  <w:r>
                    <w:rPr>
                      <w:rFonts w:hint="default" w:ascii="Times New Roman" w:hAnsi="Times New Roman" w:eastAsia="宋体" w:cs="Times New Roman"/>
                      <w:bCs/>
                      <w:color w:val="000000" w:themeColor="text1"/>
                      <w:sz w:val="21"/>
                      <w:szCs w:val="24"/>
                      <w:highlight w:val="none"/>
                      <w14:textFill>
                        <w14:solidFill>
                          <w14:schemeClr w14:val="tx1"/>
                        </w14:solidFill>
                      </w14:textFill>
                    </w:rPr>
                    <w:t>CH</w:t>
                  </w:r>
                  <w:r>
                    <w:rPr>
                      <w:rFonts w:hint="default" w:ascii="Times New Roman" w:hAnsi="Times New Roman" w:eastAsia="宋体" w:cs="Times New Roman"/>
                      <w:bCs/>
                      <w:color w:val="000000" w:themeColor="text1"/>
                      <w:sz w:val="21"/>
                      <w:szCs w:val="24"/>
                      <w:highlight w:val="none"/>
                      <w:vertAlign w:val="subscript"/>
                      <w14:textFill>
                        <w14:solidFill>
                          <w14:schemeClr w14:val="tx1"/>
                        </w14:solidFill>
                      </w14:textFill>
                    </w:rPr>
                    <w:t>4</w:t>
                  </w:r>
                </w:p>
              </w:tc>
              <w:tc>
                <w:tcPr>
                  <w:tcW w:w="588" w:type="pct"/>
                  <w:noWrap w:val="0"/>
                  <w:vAlign w:val="center"/>
                </w:tcPr>
                <w:p w14:paraId="2BAD0EF6">
                  <w:pPr>
                    <w:adjustRightInd w:val="0"/>
                    <w:snapToGrid w:val="0"/>
                    <w:spacing w:line="240" w:lineRule="auto"/>
                    <w:jc w:val="center"/>
                    <w:rPr>
                      <w:rFonts w:hint="default" w:ascii="Times New Roman" w:hAnsi="Times New Roman" w:eastAsia="宋体" w:cs="Times New Roman"/>
                      <w:bCs/>
                      <w:color w:val="000000" w:themeColor="text1"/>
                      <w:sz w:val="21"/>
                      <w:szCs w:val="24"/>
                      <w:highlight w:val="none"/>
                      <w14:textFill>
                        <w14:solidFill>
                          <w14:schemeClr w14:val="tx1"/>
                        </w14:solidFill>
                      </w14:textFill>
                    </w:rPr>
                  </w:pPr>
                  <w:r>
                    <w:rPr>
                      <w:rFonts w:hint="default" w:ascii="Times New Roman" w:hAnsi="Times New Roman" w:eastAsia="宋体" w:cs="Times New Roman"/>
                      <w:bCs/>
                      <w:color w:val="000000" w:themeColor="text1"/>
                      <w:sz w:val="21"/>
                      <w:szCs w:val="24"/>
                      <w:highlight w:val="none"/>
                      <w14:textFill>
                        <w14:solidFill>
                          <w14:schemeClr w14:val="tx1"/>
                        </w14:solidFill>
                      </w14:textFill>
                    </w:rPr>
                    <w:t>C</w:t>
                  </w:r>
                  <w:r>
                    <w:rPr>
                      <w:rFonts w:hint="default" w:ascii="Times New Roman" w:hAnsi="Times New Roman" w:eastAsia="宋体" w:cs="Times New Roman"/>
                      <w:bCs/>
                      <w:color w:val="000000" w:themeColor="text1"/>
                      <w:sz w:val="21"/>
                      <w:szCs w:val="24"/>
                      <w:highlight w:val="none"/>
                      <w:vertAlign w:val="subscript"/>
                      <w14:textFill>
                        <w14:solidFill>
                          <w14:schemeClr w14:val="tx1"/>
                        </w14:solidFill>
                      </w14:textFill>
                    </w:rPr>
                    <w:t>2</w:t>
                  </w:r>
                  <w:r>
                    <w:rPr>
                      <w:rFonts w:hint="default" w:ascii="Times New Roman" w:hAnsi="Times New Roman" w:eastAsia="宋体" w:cs="Times New Roman"/>
                      <w:bCs/>
                      <w:color w:val="000000" w:themeColor="text1"/>
                      <w:sz w:val="21"/>
                      <w:szCs w:val="24"/>
                      <w:highlight w:val="none"/>
                      <w14:textFill>
                        <w14:solidFill>
                          <w14:schemeClr w14:val="tx1"/>
                        </w14:solidFill>
                      </w14:textFill>
                    </w:rPr>
                    <w:t>H</w:t>
                  </w:r>
                  <w:r>
                    <w:rPr>
                      <w:rFonts w:hint="default" w:ascii="Times New Roman" w:hAnsi="Times New Roman" w:eastAsia="宋体" w:cs="Times New Roman"/>
                      <w:bCs/>
                      <w:color w:val="000000" w:themeColor="text1"/>
                      <w:sz w:val="21"/>
                      <w:szCs w:val="24"/>
                      <w:highlight w:val="none"/>
                      <w:vertAlign w:val="subscript"/>
                      <w14:textFill>
                        <w14:solidFill>
                          <w14:schemeClr w14:val="tx1"/>
                        </w14:solidFill>
                      </w14:textFill>
                    </w:rPr>
                    <w:t>4</w:t>
                  </w:r>
                </w:p>
              </w:tc>
              <w:tc>
                <w:tcPr>
                  <w:tcW w:w="588" w:type="pct"/>
                  <w:noWrap w:val="0"/>
                  <w:vAlign w:val="center"/>
                </w:tcPr>
                <w:p w14:paraId="172BAF33">
                  <w:pPr>
                    <w:adjustRightInd w:val="0"/>
                    <w:snapToGrid w:val="0"/>
                    <w:spacing w:line="240" w:lineRule="auto"/>
                    <w:jc w:val="center"/>
                    <w:rPr>
                      <w:rFonts w:hint="default" w:ascii="Times New Roman" w:hAnsi="Times New Roman" w:eastAsia="宋体" w:cs="Times New Roman"/>
                      <w:bCs/>
                      <w:color w:val="000000" w:themeColor="text1"/>
                      <w:sz w:val="21"/>
                      <w:szCs w:val="24"/>
                      <w:highlight w:val="none"/>
                      <w14:textFill>
                        <w14:solidFill>
                          <w14:schemeClr w14:val="tx1"/>
                        </w14:solidFill>
                      </w14:textFill>
                    </w:rPr>
                  </w:pPr>
                  <w:r>
                    <w:rPr>
                      <w:rFonts w:hint="default" w:ascii="Times New Roman" w:hAnsi="Times New Roman" w:eastAsia="宋体" w:cs="Times New Roman"/>
                      <w:bCs/>
                      <w:color w:val="000000" w:themeColor="text1"/>
                      <w:sz w:val="21"/>
                      <w:szCs w:val="24"/>
                      <w:highlight w:val="none"/>
                      <w14:textFill>
                        <w14:solidFill>
                          <w14:schemeClr w14:val="tx1"/>
                        </w14:solidFill>
                      </w14:textFill>
                    </w:rPr>
                    <w:t>C</w:t>
                  </w:r>
                  <w:r>
                    <w:rPr>
                      <w:rFonts w:hint="default" w:ascii="Times New Roman" w:hAnsi="Times New Roman" w:eastAsia="宋体" w:cs="Times New Roman"/>
                      <w:bCs/>
                      <w:color w:val="000000" w:themeColor="text1"/>
                      <w:sz w:val="21"/>
                      <w:szCs w:val="24"/>
                      <w:highlight w:val="none"/>
                      <w:vertAlign w:val="subscript"/>
                      <w14:textFill>
                        <w14:solidFill>
                          <w14:schemeClr w14:val="tx1"/>
                        </w14:solidFill>
                      </w14:textFill>
                    </w:rPr>
                    <w:t>2</w:t>
                  </w:r>
                  <w:r>
                    <w:rPr>
                      <w:rFonts w:hint="default" w:ascii="Times New Roman" w:hAnsi="Times New Roman" w:eastAsia="宋体" w:cs="Times New Roman"/>
                      <w:bCs/>
                      <w:color w:val="000000" w:themeColor="text1"/>
                      <w:sz w:val="21"/>
                      <w:szCs w:val="24"/>
                      <w:highlight w:val="none"/>
                      <w14:textFill>
                        <w14:solidFill>
                          <w14:schemeClr w14:val="tx1"/>
                        </w14:solidFill>
                      </w14:textFill>
                    </w:rPr>
                    <w:t>H</w:t>
                  </w:r>
                  <w:r>
                    <w:rPr>
                      <w:rFonts w:hint="default" w:ascii="Times New Roman" w:hAnsi="Times New Roman" w:eastAsia="宋体" w:cs="Times New Roman"/>
                      <w:bCs/>
                      <w:color w:val="000000" w:themeColor="text1"/>
                      <w:sz w:val="21"/>
                      <w:szCs w:val="24"/>
                      <w:highlight w:val="none"/>
                      <w:vertAlign w:val="subscript"/>
                      <w14:textFill>
                        <w14:solidFill>
                          <w14:schemeClr w14:val="tx1"/>
                        </w14:solidFill>
                      </w14:textFill>
                    </w:rPr>
                    <w:t>6</w:t>
                  </w:r>
                </w:p>
              </w:tc>
              <w:tc>
                <w:tcPr>
                  <w:tcW w:w="588" w:type="pct"/>
                  <w:noWrap w:val="0"/>
                  <w:vAlign w:val="center"/>
                </w:tcPr>
                <w:p w14:paraId="37CA2920">
                  <w:pPr>
                    <w:adjustRightInd w:val="0"/>
                    <w:snapToGrid w:val="0"/>
                    <w:spacing w:line="240" w:lineRule="auto"/>
                    <w:jc w:val="center"/>
                    <w:rPr>
                      <w:rFonts w:hint="default" w:ascii="Times New Roman" w:hAnsi="Times New Roman" w:eastAsia="宋体" w:cs="Times New Roman"/>
                      <w:bCs/>
                      <w:color w:val="000000" w:themeColor="text1"/>
                      <w:sz w:val="21"/>
                      <w:szCs w:val="24"/>
                      <w:highlight w:val="none"/>
                      <w14:textFill>
                        <w14:solidFill>
                          <w14:schemeClr w14:val="tx1"/>
                        </w14:solidFill>
                      </w14:textFill>
                    </w:rPr>
                  </w:pPr>
                  <w:r>
                    <w:rPr>
                      <w:rFonts w:hint="default" w:ascii="Times New Roman" w:hAnsi="Times New Roman" w:eastAsia="宋体" w:cs="Times New Roman"/>
                      <w:bCs/>
                      <w:color w:val="000000" w:themeColor="text1"/>
                      <w:sz w:val="21"/>
                      <w:szCs w:val="24"/>
                      <w:highlight w:val="none"/>
                      <w14:textFill>
                        <w14:solidFill>
                          <w14:schemeClr w14:val="tx1"/>
                        </w14:solidFill>
                      </w14:textFill>
                    </w:rPr>
                    <w:t>C</w:t>
                  </w:r>
                  <w:r>
                    <w:rPr>
                      <w:rFonts w:hint="default" w:ascii="Times New Roman" w:hAnsi="Times New Roman" w:eastAsia="宋体" w:cs="Times New Roman"/>
                      <w:bCs/>
                      <w:color w:val="000000" w:themeColor="text1"/>
                      <w:sz w:val="21"/>
                      <w:szCs w:val="24"/>
                      <w:highlight w:val="none"/>
                      <w:vertAlign w:val="subscript"/>
                      <w14:textFill>
                        <w14:solidFill>
                          <w14:schemeClr w14:val="tx1"/>
                        </w14:solidFill>
                      </w14:textFill>
                    </w:rPr>
                    <w:t>3</w:t>
                  </w:r>
                  <w:r>
                    <w:rPr>
                      <w:rFonts w:hint="default" w:ascii="Times New Roman" w:hAnsi="Times New Roman" w:eastAsia="宋体" w:cs="Times New Roman"/>
                      <w:bCs/>
                      <w:color w:val="000000" w:themeColor="text1"/>
                      <w:sz w:val="21"/>
                      <w:szCs w:val="24"/>
                      <w:highlight w:val="none"/>
                      <w14:textFill>
                        <w14:solidFill>
                          <w14:schemeClr w14:val="tx1"/>
                        </w14:solidFill>
                      </w14:textFill>
                    </w:rPr>
                    <w:t>H</w:t>
                  </w:r>
                  <w:r>
                    <w:rPr>
                      <w:rFonts w:hint="default" w:ascii="Times New Roman" w:hAnsi="Times New Roman" w:eastAsia="宋体" w:cs="Times New Roman"/>
                      <w:bCs/>
                      <w:color w:val="000000" w:themeColor="text1"/>
                      <w:sz w:val="21"/>
                      <w:szCs w:val="24"/>
                      <w:highlight w:val="none"/>
                      <w:vertAlign w:val="subscript"/>
                      <w14:textFill>
                        <w14:solidFill>
                          <w14:schemeClr w14:val="tx1"/>
                        </w14:solidFill>
                      </w14:textFill>
                    </w:rPr>
                    <w:t>6</w:t>
                  </w:r>
                </w:p>
              </w:tc>
              <w:tc>
                <w:tcPr>
                  <w:tcW w:w="503" w:type="pct"/>
                  <w:noWrap w:val="0"/>
                  <w:vAlign w:val="center"/>
                </w:tcPr>
                <w:p w14:paraId="0DAD319C">
                  <w:pPr>
                    <w:adjustRightInd w:val="0"/>
                    <w:snapToGrid w:val="0"/>
                    <w:spacing w:line="240" w:lineRule="auto"/>
                    <w:jc w:val="center"/>
                    <w:rPr>
                      <w:rFonts w:hint="default" w:ascii="Times New Roman" w:hAnsi="Times New Roman" w:eastAsia="宋体" w:cs="Times New Roman"/>
                      <w:bCs/>
                      <w:color w:val="000000" w:themeColor="text1"/>
                      <w:sz w:val="21"/>
                      <w:szCs w:val="24"/>
                      <w:highlight w:val="none"/>
                      <w14:textFill>
                        <w14:solidFill>
                          <w14:schemeClr w14:val="tx1"/>
                        </w14:solidFill>
                      </w14:textFill>
                    </w:rPr>
                  </w:pPr>
                  <w:r>
                    <w:rPr>
                      <w:rFonts w:hint="default" w:ascii="Times New Roman" w:hAnsi="Times New Roman" w:eastAsia="宋体" w:cs="Times New Roman"/>
                      <w:bCs/>
                      <w:color w:val="000000" w:themeColor="text1"/>
                      <w:sz w:val="21"/>
                      <w:szCs w:val="24"/>
                      <w:highlight w:val="none"/>
                      <w14:textFill>
                        <w14:solidFill>
                          <w14:schemeClr w14:val="tx1"/>
                        </w14:solidFill>
                      </w14:textFill>
                    </w:rPr>
                    <w:t>C</w:t>
                  </w:r>
                  <w:r>
                    <w:rPr>
                      <w:rFonts w:hint="default" w:ascii="Times New Roman" w:hAnsi="Times New Roman" w:eastAsia="宋体" w:cs="Times New Roman"/>
                      <w:bCs/>
                      <w:color w:val="000000" w:themeColor="text1"/>
                      <w:sz w:val="21"/>
                      <w:szCs w:val="24"/>
                      <w:highlight w:val="none"/>
                      <w:vertAlign w:val="subscript"/>
                      <w14:textFill>
                        <w14:solidFill>
                          <w14:schemeClr w14:val="tx1"/>
                        </w14:solidFill>
                      </w14:textFill>
                    </w:rPr>
                    <w:t>3</w:t>
                  </w:r>
                  <w:r>
                    <w:rPr>
                      <w:rFonts w:hint="default" w:ascii="Times New Roman" w:hAnsi="Times New Roman" w:eastAsia="宋体" w:cs="Times New Roman"/>
                      <w:bCs/>
                      <w:color w:val="000000" w:themeColor="text1"/>
                      <w:sz w:val="21"/>
                      <w:szCs w:val="24"/>
                      <w:highlight w:val="none"/>
                      <w14:textFill>
                        <w14:solidFill>
                          <w14:schemeClr w14:val="tx1"/>
                        </w14:solidFill>
                      </w14:textFill>
                    </w:rPr>
                    <w:t>H</w:t>
                  </w:r>
                  <w:r>
                    <w:rPr>
                      <w:rFonts w:hint="default" w:ascii="Times New Roman" w:hAnsi="Times New Roman" w:eastAsia="宋体" w:cs="Times New Roman"/>
                      <w:bCs/>
                      <w:color w:val="000000" w:themeColor="text1"/>
                      <w:sz w:val="21"/>
                      <w:szCs w:val="24"/>
                      <w:highlight w:val="none"/>
                      <w:vertAlign w:val="subscript"/>
                      <w14:textFill>
                        <w14:solidFill>
                          <w14:schemeClr w14:val="tx1"/>
                        </w14:solidFill>
                      </w14:textFill>
                    </w:rPr>
                    <w:t>8</w:t>
                  </w:r>
                </w:p>
              </w:tc>
              <w:tc>
                <w:tcPr>
                  <w:tcW w:w="526" w:type="pct"/>
                  <w:noWrap w:val="0"/>
                  <w:vAlign w:val="center"/>
                </w:tcPr>
                <w:p w14:paraId="7DA8C732">
                  <w:pPr>
                    <w:adjustRightInd w:val="0"/>
                    <w:snapToGrid w:val="0"/>
                    <w:spacing w:line="240" w:lineRule="auto"/>
                    <w:jc w:val="center"/>
                    <w:rPr>
                      <w:rFonts w:hint="default" w:ascii="Times New Roman" w:hAnsi="Times New Roman" w:eastAsia="宋体" w:cs="Times New Roman"/>
                      <w:bCs/>
                      <w:color w:val="000000" w:themeColor="text1"/>
                      <w:sz w:val="21"/>
                      <w:szCs w:val="24"/>
                      <w:highlight w:val="none"/>
                      <w14:textFill>
                        <w14:solidFill>
                          <w14:schemeClr w14:val="tx1"/>
                        </w14:solidFill>
                      </w14:textFill>
                    </w:rPr>
                  </w:pPr>
                  <w:r>
                    <w:rPr>
                      <w:rFonts w:hint="default" w:ascii="Times New Roman" w:hAnsi="Times New Roman" w:eastAsia="宋体" w:cs="Times New Roman"/>
                      <w:bCs/>
                      <w:color w:val="000000" w:themeColor="text1"/>
                      <w:sz w:val="21"/>
                      <w:szCs w:val="24"/>
                      <w:highlight w:val="none"/>
                      <w14:textFill>
                        <w14:solidFill>
                          <w14:schemeClr w14:val="tx1"/>
                        </w14:solidFill>
                      </w14:textFill>
                    </w:rPr>
                    <w:t>C</w:t>
                  </w:r>
                  <w:r>
                    <w:rPr>
                      <w:rFonts w:hint="default" w:ascii="Times New Roman" w:hAnsi="Times New Roman" w:eastAsia="宋体" w:cs="Times New Roman"/>
                      <w:bCs/>
                      <w:color w:val="000000" w:themeColor="text1"/>
                      <w:sz w:val="21"/>
                      <w:szCs w:val="24"/>
                      <w:highlight w:val="none"/>
                      <w:vertAlign w:val="subscript"/>
                      <w14:textFill>
                        <w14:solidFill>
                          <w14:schemeClr w14:val="tx1"/>
                        </w14:solidFill>
                      </w14:textFill>
                    </w:rPr>
                    <w:t>4</w:t>
                  </w:r>
                  <w:r>
                    <w:rPr>
                      <w:rFonts w:hint="default" w:ascii="Times New Roman" w:hAnsi="Times New Roman" w:eastAsia="宋体" w:cs="Times New Roman"/>
                      <w:bCs/>
                      <w:color w:val="000000" w:themeColor="text1"/>
                      <w:sz w:val="21"/>
                      <w:szCs w:val="24"/>
                      <w:highlight w:val="none"/>
                      <w14:textFill>
                        <w14:solidFill>
                          <w14:schemeClr w14:val="tx1"/>
                        </w14:solidFill>
                      </w14:textFill>
                    </w:rPr>
                    <w:t>H</w:t>
                  </w:r>
                  <w:r>
                    <w:rPr>
                      <w:rFonts w:hint="default" w:ascii="Times New Roman" w:hAnsi="Times New Roman" w:eastAsia="宋体" w:cs="Times New Roman"/>
                      <w:bCs/>
                      <w:color w:val="000000" w:themeColor="text1"/>
                      <w:sz w:val="21"/>
                      <w:szCs w:val="24"/>
                      <w:highlight w:val="none"/>
                      <w:vertAlign w:val="subscript"/>
                      <w14:textFill>
                        <w14:solidFill>
                          <w14:schemeClr w14:val="tx1"/>
                        </w14:solidFill>
                      </w14:textFill>
                    </w:rPr>
                    <w:t>8</w:t>
                  </w:r>
                </w:p>
              </w:tc>
              <w:tc>
                <w:tcPr>
                  <w:tcW w:w="775" w:type="dxa"/>
                  <w:noWrap w:val="0"/>
                  <w:vAlign w:val="center"/>
                </w:tcPr>
                <w:p w14:paraId="08962247">
                  <w:pPr>
                    <w:adjustRightInd w:val="0"/>
                    <w:snapToGrid w:val="0"/>
                    <w:spacing w:line="240" w:lineRule="auto"/>
                    <w:jc w:val="center"/>
                    <w:rPr>
                      <w:rFonts w:hint="default" w:ascii="Times New Roman" w:hAnsi="Times New Roman" w:eastAsia="宋体" w:cs="Times New Roman"/>
                      <w:bCs/>
                      <w:color w:val="000000" w:themeColor="text1"/>
                      <w:sz w:val="21"/>
                      <w:szCs w:val="24"/>
                      <w:highlight w:val="none"/>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4"/>
                      <w:highlight w:val="none"/>
                      <w:lang w:val="en-US" w:eastAsia="zh-CN"/>
                      <w14:textFill>
                        <w14:solidFill>
                          <w14:schemeClr w14:val="tx1"/>
                        </w14:solidFill>
                      </w14:textFill>
                    </w:rPr>
                    <w:t>有机硫mg/Nm</w:t>
                  </w:r>
                  <w:r>
                    <w:rPr>
                      <w:rFonts w:hint="default" w:ascii="Times New Roman" w:hAnsi="Times New Roman" w:eastAsia="宋体" w:cs="Times New Roman"/>
                      <w:bCs/>
                      <w:color w:val="000000" w:themeColor="text1"/>
                      <w:sz w:val="21"/>
                      <w:szCs w:val="24"/>
                      <w:highlight w:val="none"/>
                      <w:vertAlign w:val="superscript"/>
                      <w:lang w:val="en-US" w:eastAsia="zh-CN"/>
                      <w14:textFill>
                        <w14:solidFill>
                          <w14:schemeClr w14:val="tx1"/>
                        </w14:solidFill>
                      </w14:textFill>
                    </w:rPr>
                    <w:t>3</w:t>
                  </w:r>
                </w:p>
              </w:tc>
              <w:tc>
                <w:tcPr>
                  <w:tcW w:w="776" w:type="dxa"/>
                  <w:noWrap w:val="0"/>
                  <w:vAlign w:val="center"/>
                </w:tcPr>
                <w:p w14:paraId="741D810A">
                  <w:pPr>
                    <w:adjustRightInd w:val="0"/>
                    <w:snapToGrid w:val="0"/>
                    <w:spacing w:line="240" w:lineRule="auto"/>
                    <w:jc w:val="center"/>
                    <w:rPr>
                      <w:rFonts w:hint="default" w:ascii="Times New Roman" w:hAnsi="Times New Roman" w:eastAsia="宋体" w:cs="Times New Roman"/>
                      <w:bCs/>
                      <w:color w:val="000000" w:themeColor="text1"/>
                      <w:sz w:val="21"/>
                      <w:szCs w:val="24"/>
                      <w:highlight w:val="none"/>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4"/>
                      <w:highlight w:val="none"/>
                      <w:lang w:val="en-US" w:eastAsia="zh-CN"/>
                      <w14:textFill>
                        <w14:solidFill>
                          <w14:schemeClr w14:val="tx1"/>
                        </w14:solidFill>
                      </w14:textFill>
                    </w:rPr>
                    <w:t>硫化氢mg/Nm</w:t>
                  </w:r>
                  <w:r>
                    <w:rPr>
                      <w:rFonts w:hint="default" w:ascii="Times New Roman" w:hAnsi="Times New Roman" w:eastAsia="宋体" w:cs="Times New Roman"/>
                      <w:bCs/>
                      <w:color w:val="000000" w:themeColor="text1"/>
                      <w:sz w:val="21"/>
                      <w:szCs w:val="24"/>
                      <w:highlight w:val="none"/>
                      <w:vertAlign w:val="superscript"/>
                      <w:lang w:val="en-US" w:eastAsia="zh-CN"/>
                      <w14:textFill>
                        <w14:solidFill>
                          <w14:schemeClr w14:val="tx1"/>
                        </w14:solidFill>
                      </w14:textFill>
                    </w:rPr>
                    <w:t>3</w:t>
                  </w:r>
                </w:p>
              </w:tc>
            </w:tr>
            <w:tr w14:paraId="21C90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pct"/>
                  <w:noWrap w:val="0"/>
                  <w:vAlign w:val="center"/>
                </w:tcPr>
                <w:p w14:paraId="43B55E3F">
                  <w:pPr>
                    <w:adjustRightInd w:val="0"/>
                    <w:snapToGrid w:val="0"/>
                    <w:spacing w:line="240" w:lineRule="auto"/>
                    <w:jc w:val="center"/>
                    <w:rPr>
                      <w:rFonts w:hint="default" w:ascii="Times New Roman" w:hAnsi="Times New Roman" w:eastAsia="宋体" w:cs="Times New Roman"/>
                      <w:bCs/>
                      <w:color w:val="000000" w:themeColor="text1"/>
                      <w:sz w:val="21"/>
                      <w:szCs w:val="24"/>
                      <w:highlight w:val="none"/>
                      <w14:textFill>
                        <w14:solidFill>
                          <w14:schemeClr w14:val="tx1"/>
                        </w14:solidFill>
                      </w14:textFill>
                    </w:rPr>
                  </w:pPr>
                  <w:r>
                    <w:rPr>
                      <w:rFonts w:hint="default" w:ascii="Times New Roman" w:hAnsi="Times New Roman" w:eastAsia="宋体" w:cs="Times New Roman"/>
                      <w:bCs/>
                      <w:color w:val="000000" w:themeColor="text1"/>
                      <w:sz w:val="21"/>
                      <w:szCs w:val="24"/>
                      <w:highlight w:val="none"/>
                      <w14:textFill>
                        <w14:solidFill>
                          <w14:schemeClr w14:val="tx1"/>
                        </w14:solidFill>
                      </w14:textFill>
                    </w:rPr>
                    <w:t>0.44</w:t>
                  </w:r>
                </w:p>
              </w:tc>
              <w:tc>
                <w:tcPr>
                  <w:tcW w:w="588" w:type="pct"/>
                  <w:noWrap w:val="0"/>
                  <w:vAlign w:val="center"/>
                </w:tcPr>
                <w:p w14:paraId="31BEB658">
                  <w:pPr>
                    <w:adjustRightInd w:val="0"/>
                    <w:snapToGrid w:val="0"/>
                    <w:spacing w:line="240" w:lineRule="auto"/>
                    <w:jc w:val="center"/>
                    <w:rPr>
                      <w:rFonts w:hint="default" w:ascii="Times New Roman" w:hAnsi="Times New Roman" w:eastAsia="宋体" w:cs="Times New Roman"/>
                      <w:bCs/>
                      <w:color w:val="000000" w:themeColor="text1"/>
                      <w:sz w:val="21"/>
                      <w:szCs w:val="24"/>
                      <w:highlight w:val="none"/>
                      <w14:textFill>
                        <w14:solidFill>
                          <w14:schemeClr w14:val="tx1"/>
                        </w14:solidFill>
                      </w14:textFill>
                    </w:rPr>
                  </w:pPr>
                  <w:r>
                    <w:rPr>
                      <w:rFonts w:hint="default" w:ascii="Times New Roman" w:hAnsi="Times New Roman" w:eastAsia="宋体" w:cs="Times New Roman"/>
                      <w:bCs/>
                      <w:color w:val="000000" w:themeColor="text1"/>
                      <w:sz w:val="21"/>
                      <w:szCs w:val="24"/>
                      <w:highlight w:val="none"/>
                      <w14:textFill>
                        <w14:solidFill>
                          <w14:schemeClr w14:val="tx1"/>
                        </w14:solidFill>
                      </w14:textFill>
                    </w:rPr>
                    <w:t>6.37</w:t>
                  </w:r>
                </w:p>
              </w:tc>
              <w:tc>
                <w:tcPr>
                  <w:tcW w:w="588" w:type="pct"/>
                  <w:noWrap w:val="0"/>
                  <w:vAlign w:val="center"/>
                </w:tcPr>
                <w:p w14:paraId="52E15072">
                  <w:pPr>
                    <w:adjustRightInd w:val="0"/>
                    <w:snapToGrid w:val="0"/>
                    <w:spacing w:line="240" w:lineRule="auto"/>
                    <w:jc w:val="center"/>
                    <w:rPr>
                      <w:rFonts w:hint="default" w:ascii="Times New Roman" w:hAnsi="Times New Roman" w:eastAsia="宋体" w:cs="Times New Roman"/>
                      <w:bCs/>
                      <w:color w:val="000000" w:themeColor="text1"/>
                      <w:sz w:val="21"/>
                      <w:szCs w:val="24"/>
                      <w:highlight w:val="none"/>
                      <w14:textFill>
                        <w14:solidFill>
                          <w14:schemeClr w14:val="tx1"/>
                        </w14:solidFill>
                      </w14:textFill>
                    </w:rPr>
                  </w:pPr>
                  <w:r>
                    <w:rPr>
                      <w:rFonts w:hint="default" w:ascii="Times New Roman" w:hAnsi="Times New Roman" w:eastAsia="宋体" w:cs="Times New Roman"/>
                      <w:bCs/>
                      <w:color w:val="000000" w:themeColor="text1"/>
                      <w:sz w:val="21"/>
                      <w:szCs w:val="24"/>
                      <w:highlight w:val="none"/>
                      <w14:textFill>
                        <w14:solidFill>
                          <w14:schemeClr w14:val="tx1"/>
                        </w14:solidFill>
                      </w14:textFill>
                    </w:rPr>
                    <w:t>0.16</w:t>
                  </w:r>
                </w:p>
              </w:tc>
              <w:tc>
                <w:tcPr>
                  <w:tcW w:w="588" w:type="pct"/>
                  <w:noWrap w:val="0"/>
                  <w:vAlign w:val="center"/>
                </w:tcPr>
                <w:p w14:paraId="31AA524F">
                  <w:pPr>
                    <w:adjustRightInd w:val="0"/>
                    <w:snapToGrid w:val="0"/>
                    <w:spacing w:line="240" w:lineRule="auto"/>
                    <w:jc w:val="center"/>
                    <w:rPr>
                      <w:rFonts w:hint="default" w:ascii="Times New Roman" w:hAnsi="Times New Roman" w:eastAsia="宋体" w:cs="Times New Roman"/>
                      <w:bCs/>
                      <w:color w:val="000000" w:themeColor="text1"/>
                      <w:sz w:val="21"/>
                      <w:szCs w:val="24"/>
                      <w:highlight w:val="none"/>
                      <w14:textFill>
                        <w14:solidFill>
                          <w14:schemeClr w14:val="tx1"/>
                        </w14:solidFill>
                      </w14:textFill>
                    </w:rPr>
                  </w:pPr>
                  <w:r>
                    <w:rPr>
                      <w:rFonts w:hint="default" w:ascii="Times New Roman" w:hAnsi="Times New Roman" w:eastAsia="宋体" w:cs="Times New Roman"/>
                      <w:bCs/>
                      <w:color w:val="000000" w:themeColor="text1"/>
                      <w:sz w:val="21"/>
                      <w:szCs w:val="24"/>
                      <w:highlight w:val="none"/>
                      <w14:textFill>
                        <w14:solidFill>
                          <w14:schemeClr w14:val="tx1"/>
                        </w14:solidFill>
                      </w14:textFill>
                    </w:rPr>
                    <w:t>0.34</w:t>
                  </w:r>
                </w:p>
              </w:tc>
              <w:tc>
                <w:tcPr>
                  <w:tcW w:w="588" w:type="pct"/>
                  <w:noWrap w:val="0"/>
                  <w:vAlign w:val="center"/>
                </w:tcPr>
                <w:p w14:paraId="3C922536">
                  <w:pPr>
                    <w:adjustRightInd w:val="0"/>
                    <w:snapToGrid w:val="0"/>
                    <w:spacing w:line="240" w:lineRule="auto"/>
                    <w:jc w:val="center"/>
                    <w:rPr>
                      <w:rFonts w:hint="default" w:ascii="Times New Roman" w:hAnsi="Times New Roman" w:eastAsia="宋体" w:cs="Times New Roman"/>
                      <w:bCs/>
                      <w:color w:val="000000" w:themeColor="text1"/>
                      <w:sz w:val="21"/>
                      <w:szCs w:val="24"/>
                      <w:highlight w:val="none"/>
                      <w14:textFill>
                        <w14:solidFill>
                          <w14:schemeClr w14:val="tx1"/>
                        </w14:solidFill>
                      </w14:textFill>
                    </w:rPr>
                  </w:pPr>
                  <w:r>
                    <w:rPr>
                      <w:rFonts w:hint="default" w:ascii="Times New Roman" w:hAnsi="Times New Roman" w:eastAsia="宋体" w:cs="Times New Roman"/>
                      <w:bCs/>
                      <w:color w:val="000000" w:themeColor="text1"/>
                      <w:sz w:val="21"/>
                      <w:szCs w:val="24"/>
                      <w:highlight w:val="none"/>
                      <w14:textFill>
                        <w14:solidFill>
                          <w14:schemeClr w14:val="tx1"/>
                        </w14:solidFill>
                      </w14:textFill>
                    </w:rPr>
                    <w:t>0.05</w:t>
                  </w:r>
                </w:p>
              </w:tc>
              <w:tc>
                <w:tcPr>
                  <w:tcW w:w="503" w:type="pct"/>
                  <w:noWrap w:val="0"/>
                  <w:vAlign w:val="center"/>
                </w:tcPr>
                <w:p w14:paraId="4AB132DC">
                  <w:pPr>
                    <w:adjustRightInd w:val="0"/>
                    <w:snapToGrid w:val="0"/>
                    <w:spacing w:line="240" w:lineRule="auto"/>
                    <w:jc w:val="center"/>
                    <w:rPr>
                      <w:rFonts w:hint="default" w:ascii="Times New Roman" w:hAnsi="Times New Roman" w:eastAsia="宋体" w:cs="Times New Roman"/>
                      <w:bCs/>
                      <w:color w:val="000000" w:themeColor="text1"/>
                      <w:sz w:val="21"/>
                      <w:szCs w:val="24"/>
                      <w:highlight w:val="none"/>
                      <w14:textFill>
                        <w14:solidFill>
                          <w14:schemeClr w14:val="tx1"/>
                        </w14:solidFill>
                      </w14:textFill>
                    </w:rPr>
                  </w:pPr>
                  <w:r>
                    <w:rPr>
                      <w:rFonts w:hint="default" w:ascii="Times New Roman" w:hAnsi="Times New Roman" w:eastAsia="宋体" w:cs="Times New Roman"/>
                      <w:bCs/>
                      <w:color w:val="000000" w:themeColor="text1"/>
                      <w:sz w:val="21"/>
                      <w:szCs w:val="24"/>
                      <w:highlight w:val="none"/>
                      <w14:textFill>
                        <w14:solidFill>
                          <w14:schemeClr w14:val="tx1"/>
                        </w14:solidFill>
                      </w14:textFill>
                    </w:rPr>
                    <w:t>0.09</w:t>
                  </w:r>
                </w:p>
              </w:tc>
              <w:tc>
                <w:tcPr>
                  <w:tcW w:w="526" w:type="pct"/>
                  <w:noWrap w:val="0"/>
                  <w:vAlign w:val="center"/>
                </w:tcPr>
                <w:p w14:paraId="66A5F5D4">
                  <w:pPr>
                    <w:adjustRightInd w:val="0"/>
                    <w:snapToGrid w:val="0"/>
                    <w:spacing w:line="240" w:lineRule="auto"/>
                    <w:jc w:val="center"/>
                    <w:rPr>
                      <w:rFonts w:hint="default" w:ascii="Times New Roman" w:hAnsi="Times New Roman" w:eastAsia="宋体" w:cs="Times New Roman"/>
                      <w:bCs/>
                      <w:color w:val="000000" w:themeColor="text1"/>
                      <w:sz w:val="21"/>
                      <w:szCs w:val="24"/>
                      <w:highlight w:val="none"/>
                      <w14:textFill>
                        <w14:solidFill>
                          <w14:schemeClr w14:val="tx1"/>
                        </w14:solidFill>
                      </w14:textFill>
                    </w:rPr>
                  </w:pPr>
                  <w:r>
                    <w:rPr>
                      <w:rFonts w:hint="default" w:ascii="Times New Roman" w:hAnsi="Times New Roman" w:eastAsia="宋体" w:cs="Times New Roman"/>
                      <w:bCs/>
                      <w:color w:val="000000" w:themeColor="text1"/>
                      <w:sz w:val="21"/>
                      <w:szCs w:val="24"/>
                      <w:highlight w:val="none"/>
                      <w14:textFill>
                        <w14:solidFill>
                          <w14:schemeClr w14:val="tx1"/>
                        </w14:solidFill>
                      </w14:textFill>
                    </w:rPr>
                    <w:t>0.04</w:t>
                  </w:r>
                </w:p>
              </w:tc>
              <w:tc>
                <w:tcPr>
                  <w:tcW w:w="775" w:type="dxa"/>
                  <w:noWrap w:val="0"/>
                  <w:vAlign w:val="center"/>
                </w:tcPr>
                <w:p w14:paraId="372D276D">
                  <w:pPr>
                    <w:adjustRightInd w:val="0"/>
                    <w:snapToGrid w:val="0"/>
                    <w:spacing w:line="240" w:lineRule="auto"/>
                    <w:jc w:val="center"/>
                    <w:rPr>
                      <w:rFonts w:hint="default" w:ascii="Times New Roman" w:hAnsi="Times New Roman" w:eastAsia="宋体" w:cs="Times New Roman"/>
                      <w:bCs/>
                      <w:color w:val="000000" w:themeColor="text1"/>
                      <w:sz w:val="21"/>
                      <w:szCs w:val="24"/>
                      <w:highlight w:val="none"/>
                      <w14:textFill>
                        <w14:solidFill>
                          <w14:schemeClr w14:val="tx1"/>
                        </w14:solidFill>
                      </w14:textFill>
                    </w:rPr>
                  </w:pPr>
                  <w:r>
                    <w:rPr>
                      <w:rFonts w:hint="default" w:ascii="Times New Roman" w:hAnsi="Times New Roman" w:eastAsia="宋体" w:cs="Times New Roman"/>
                      <w:bCs/>
                      <w:color w:val="000000" w:themeColor="text1"/>
                      <w:sz w:val="21"/>
                      <w:szCs w:val="24"/>
                      <w:highlight w:val="none"/>
                      <w:lang w:val="en-US" w:eastAsia="zh-CN"/>
                      <w14:textFill>
                        <w14:solidFill>
                          <w14:schemeClr w14:val="tx1"/>
                        </w14:solidFill>
                      </w14:textFill>
                    </w:rPr>
                    <w:t>≤30</w:t>
                  </w:r>
                </w:p>
              </w:tc>
              <w:tc>
                <w:tcPr>
                  <w:tcW w:w="776" w:type="dxa"/>
                  <w:noWrap w:val="0"/>
                  <w:vAlign w:val="center"/>
                </w:tcPr>
                <w:p w14:paraId="0FD9C5C0">
                  <w:pPr>
                    <w:adjustRightInd w:val="0"/>
                    <w:snapToGrid w:val="0"/>
                    <w:spacing w:line="240" w:lineRule="auto"/>
                    <w:jc w:val="center"/>
                    <w:rPr>
                      <w:rFonts w:hint="default" w:ascii="Times New Roman" w:hAnsi="Times New Roman" w:eastAsia="宋体" w:cs="Times New Roman"/>
                      <w:bCs/>
                      <w:color w:val="000000" w:themeColor="text1"/>
                      <w:sz w:val="21"/>
                      <w:szCs w:val="24"/>
                      <w:highlight w:val="none"/>
                      <w14:textFill>
                        <w14:solidFill>
                          <w14:schemeClr w14:val="tx1"/>
                        </w14:solidFill>
                      </w14:textFill>
                    </w:rPr>
                  </w:pPr>
                  <w:r>
                    <w:rPr>
                      <w:rFonts w:hint="default" w:ascii="Times New Roman" w:hAnsi="Times New Roman" w:eastAsia="宋体" w:cs="Times New Roman"/>
                      <w:bCs/>
                      <w:color w:val="000000" w:themeColor="text1"/>
                      <w:sz w:val="21"/>
                      <w:szCs w:val="24"/>
                      <w:highlight w:val="none"/>
                      <w:lang w:val="en-US" w:eastAsia="zh-CN"/>
                      <w14:textFill>
                        <w14:solidFill>
                          <w14:schemeClr w14:val="tx1"/>
                        </w14:solidFill>
                      </w14:textFill>
                    </w:rPr>
                    <w:t>≤20</w:t>
                  </w:r>
                </w:p>
              </w:tc>
            </w:tr>
            <w:tr w14:paraId="0A667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pct"/>
                  <w:noWrap w:val="0"/>
                  <w:vAlign w:val="center"/>
                </w:tcPr>
                <w:p w14:paraId="5E184B97">
                  <w:pPr>
                    <w:adjustRightInd w:val="0"/>
                    <w:snapToGrid w:val="0"/>
                    <w:spacing w:line="240" w:lineRule="auto"/>
                    <w:jc w:val="center"/>
                    <w:rPr>
                      <w:rFonts w:hint="default" w:ascii="Times New Roman" w:hAnsi="Times New Roman" w:eastAsia="宋体" w:cs="Times New Roman"/>
                      <w:bCs/>
                      <w:color w:val="000000" w:themeColor="text1"/>
                      <w:sz w:val="21"/>
                      <w:szCs w:val="24"/>
                      <w:highlight w:val="none"/>
                      <w14:textFill>
                        <w14:solidFill>
                          <w14:schemeClr w14:val="tx1"/>
                        </w14:solidFill>
                      </w14:textFill>
                    </w:rPr>
                  </w:pPr>
                  <w:r>
                    <w:rPr>
                      <w:rFonts w:hint="default" w:ascii="Times New Roman" w:hAnsi="Times New Roman" w:eastAsia="宋体" w:cs="Times New Roman"/>
                      <w:bCs/>
                      <w:color w:val="000000" w:themeColor="text1"/>
                      <w:sz w:val="21"/>
                      <w:szCs w:val="24"/>
                      <w:highlight w:val="none"/>
                      <w14:textFill>
                        <w14:solidFill>
                          <w14:schemeClr w14:val="tx1"/>
                        </w14:solidFill>
                      </w14:textFill>
                    </w:rPr>
                    <w:t>O</w:t>
                  </w:r>
                  <w:r>
                    <w:rPr>
                      <w:rFonts w:hint="default" w:ascii="Times New Roman" w:hAnsi="Times New Roman" w:eastAsia="宋体" w:cs="Times New Roman"/>
                      <w:bCs/>
                      <w:color w:val="000000" w:themeColor="text1"/>
                      <w:sz w:val="21"/>
                      <w:szCs w:val="24"/>
                      <w:highlight w:val="none"/>
                      <w:vertAlign w:val="subscript"/>
                      <w14:textFill>
                        <w14:solidFill>
                          <w14:schemeClr w14:val="tx1"/>
                        </w14:solidFill>
                      </w14:textFill>
                    </w:rPr>
                    <w:t>2</w:t>
                  </w:r>
                </w:p>
              </w:tc>
              <w:tc>
                <w:tcPr>
                  <w:tcW w:w="588" w:type="pct"/>
                  <w:noWrap w:val="0"/>
                  <w:vAlign w:val="center"/>
                </w:tcPr>
                <w:p w14:paraId="3D7F46EE">
                  <w:pPr>
                    <w:adjustRightInd w:val="0"/>
                    <w:snapToGrid w:val="0"/>
                    <w:spacing w:line="240" w:lineRule="auto"/>
                    <w:jc w:val="center"/>
                    <w:rPr>
                      <w:rFonts w:hint="default" w:ascii="Times New Roman" w:hAnsi="Times New Roman" w:eastAsia="宋体" w:cs="Times New Roman"/>
                      <w:bCs/>
                      <w:color w:val="000000" w:themeColor="text1"/>
                      <w:sz w:val="21"/>
                      <w:szCs w:val="24"/>
                      <w:highlight w:val="none"/>
                      <w14:textFill>
                        <w14:solidFill>
                          <w14:schemeClr w14:val="tx1"/>
                        </w14:solidFill>
                      </w14:textFill>
                    </w:rPr>
                  </w:pPr>
                  <w:r>
                    <w:rPr>
                      <w:rFonts w:hint="default" w:ascii="Times New Roman" w:hAnsi="Times New Roman" w:eastAsia="宋体" w:cs="Times New Roman"/>
                      <w:bCs/>
                      <w:color w:val="000000" w:themeColor="text1"/>
                      <w:sz w:val="21"/>
                      <w:szCs w:val="24"/>
                      <w:highlight w:val="none"/>
                      <w14:textFill>
                        <w14:solidFill>
                          <w14:schemeClr w14:val="tx1"/>
                        </w14:solidFill>
                      </w14:textFill>
                    </w:rPr>
                    <w:t>H</w:t>
                  </w:r>
                  <w:r>
                    <w:rPr>
                      <w:rFonts w:hint="default" w:ascii="Times New Roman" w:hAnsi="Times New Roman" w:eastAsia="宋体" w:cs="Times New Roman"/>
                      <w:bCs/>
                      <w:color w:val="000000" w:themeColor="text1"/>
                      <w:sz w:val="21"/>
                      <w:szCs w:val="24"/>
                      <w:highlight w:val="none"/>
                      <w:vertAlign w:val="subscript"/>
                      <w14:textFill>
                        <w14:solidFill>
                          <w14:schemeClr w14:val="tx1"/>
                        </w14:solidFill>
                      </w14:textFill>
                    </w:rPr>
                    <w:t>2</w:t>
                  </w:r>
                </w:p>
              </w:tc>
              <w:tc>
                <w:tcPr>
                  <w:tcW w:w="588" w:type="pct"/>
                  <w:noWrap w:val="0"/>
                  <w:vAlign w:val="center"/>
                </w:tcPr>
                <w:p w14:paraId="167BC1E5">
                  <w:pPr>
                    <w:adjustRightInd w:val="0"/>
                    <w:snapToGrid w:val="0"/>
                    <w:spacing w:line="240" w:lineRule="auto"/>
                    <w:jc w:val="center"/>
                    <w:rPr>
                      <w:rFonts w:hint="default" w:ascii="Times New Roman" w:hAnsi="Times New Roman" w:eastAsia="宋体" w:cs="Times New Roman"/>
                      <w:bCs/>
                      <w:color w:val="000000" w:themeColor="text1"/>
                      <w:sz w:val="21"/>
                      <w:szCs w:val="24"/>
                      <w:highlight w:val="none"/>
                      <w14:textFill>
                        <w14:solidFill>
                          <w14:schemeClr w14:val="tx1"/>
                        </w14:solidFill>
                      </w14:textFill>
                    </w:rPr>
                  </w:pPr>
                  <w:r>
                    <w:rPr>
                      <w:rFonts w:hint="default" w:ascii="Times New Roman" w:hAnsi="Times New Roman" w:eastAsia="宋体" w:cs="Times New Roman"/>
                      <w:bCs/>
                      <w:color w:val="000000" w:themeColor="text1"/>
                      <w:sz w:val="21"/>
                      <w:szCs w:val="24"/>
                      <w:highlight w:val="none"/>
                      <w14:textFill>
                        <w14:solidFill>
                          <w14:schemeClr w14:val="tx1"/>
                        </w14:solidFill>
                      </w14:textFill>
                    </w:rPr>
                    <w:t>N</w:t>
                  </w:r>
                  <w:r>
                    <w:rPr>
                      <w:rFonts w:hint="default" w:ascii="Times New Roman" w:hAnsi="Times New Roman" w:eastAsia="宋体" w:cs="Times New Roman"/>
                      <w:bCs/>
                      <w:color w:val="000000" w:themeColor="text1"/>
                      <w:sz w:val="21"/>
                      <w:szCs w:val="24"/>
                      <w:highlight w:val="none"/>
                      <w:vertAlign w:val="subscript"/>
                      <w14:textFill>
                        <w14:solidFill>
                          <w14:schemeClr w14:val="tx1"/>
                        </w14:solidFill>
                      </w14:textFill>
                    </w:rPr>
                    <w:t>2</w:t>
                  </w:r>
                </w:p>
              </w:tc>
              <w:tc>
                <w:tcPr>
                  <w:tcW w:w="588" w:type="pct"/>
                  <w:noWrap w:val="0"/>
                  <w:vAlign w:val="center"/>
                </w:tcPr>
                <w:p w14:paraId="63B1124B">
                  <w:pPr>
                    <w:adjustRightInd w:val="0"/>
                    <w:snapToGrid w:val="0"/>
                    <w:spacing w:line="240" w:lineRule="auto"/>
                    <w:jc w:val="center"/>
                    <w:rPr>
                      <w:rFonts w:hint="default" w:ascii="Times New Roman" w:hAnsi="Times New Roman" w:eastAsia="宋体" w:cs="Times New Roman"/>
                      <w:bCs/>
                      <w:color w:val="000000" w:themeColor="text1"/>
                      <w:sz w:val="21"/>
                      <w:szCs w:val="24"/>
                      <w:highlight w:val="none"/>
                      <w14:textFill>
                        <w14:solidFill>
                          <w14:schemeClr w14:val="tx1"/>
                        </w14:solidFill>
                      </w14:textFill>
                    </w:rPr>
                  </w:pPr>
                  <w:r>
                    <w:rPr>
                      <w:rFonts w:hint="default" w:ascii="Times New Roman" w:hAnsi="Times New Roman" w:eastAsia="宋体" w:cs="Times New Roman"/>
                      <w:bCs/>
                      <w:color w:val="000000" w:themeColor="text1"/>
                      <w:sz w:val="21"/>
                      <w:szCs w:val="24"/>
                      <w:highlight w:val="none"/>
                      <w14:textFill>
                        <w14:solidFill>
                          <w14:schemeClr w14:val="tx1"/>
                        </w14:solidFill>
                      </w14:textFill>
                    </w:rPr>
                    <w:t>CO</w:t>
                  </w:r>
                </w:p>
              </w:tc>
              <w:tc>
                <w:tcPr>
                  <w:tcW w:w="588" w:type="pct"/>
                  <w:noWrap w:val="0"/>
                  <w:vAlign w:val="center"/>
                </w:tcPr>
                <w:p w14:paraId="088DA7F8">
                  <w:pPr>
                    <w:adjustRightInd w:val="0"/>
                    <w:snapToGrid w:val="0"/>
                    <w:spacing w:line="240" w:lineRule="auto"/>
                    <w:jc w:val="center"/>
                    <w:rPr>
                      <w:rFonts w:hint="default" w:ascii="Times New Roman" w:hAnsi="Times New Roman" w:eastAsia="宋体" w:cs="Times New Roman"/>
                      <w:bCs/>
                      <w:color w:val="000000" w:themeColor="text1"/>
                      <w:sz w:val="21"/>
                      <w:szCs w:val="24"/>
                      <w:highlight w:val="none"/>
                      <w14:textFill>
                        <w14:solidFill>
                          <w14:schemeClr w14:val="tx1"/>
                        </w14:solidFill>
                      </w14:textFill>
                    </w:rPr>
                  </w:pPr>
                  <w:r>
                    <w:rPr>
                      <w:rFonts w:hint="default" w:ascii="Times New Roman" w:hAnsi="Times New Roman" w:eastAsia="宋体" w:cs="Times New Roman"/>
                      <w:bCs/>
                      <w:color w:val="000000" w:themeColor="text1"/>
                      <w:sz w:val="21"/>
                      <w:szCs w:val="24"/>
                      <w:highlight w:val="none"/>
                      <w14:textFill>
                        <w14:solidFill>
                          <w14:schemeClr w14:val="tx1"/>
                        </w14:solidFill>
                      </w14:textFill>
                    </w:rPr>
                    <w:t>CO</w:t>
                  </w:r>
                  <w:r>
                    <w:rPr>
                      <w:rFonts w:hint="default" w:ascii="Times New Roman" w:hAnsi="Times New Roman" w:eastAsia="宋体" w:cs="Times New Roman"/>
                      <w:bCs/>
                      <w:color w:val="000000" w:themeColor="text1"/>
                      <w:sz w:val="21"/>
                      <w:szCs w:val="24"/>
                      <w:highlight w:val="none"/>
                      <w:vertAlign w:val="subscript"/>
                      <w14:textFill>
                        <w14:solidFill>
                          <w14:schemeClr w14:val="tx1"/>
                        </w14:solidFill>
                      </w14:textFill>
                    </w:rPr>
                    <w:t>2</w:t>
                  </w:r>
                </w:p>
              </w:tc>
              <w:tc>
                <w:tcPr>
                  <w:tcW w:w="1029" w:type="pct"/>
                  <w:gridSpan w:val="2"/>
                  <w:noWrap w:val="0"/>
                  <w:vAlign w:val="center"/>
                </w:tcPr>
                <w:p w14:paraId="3D4CE500">
                  <w:pPr>
                    <w:adjustRightInd w:val="0"/>
                    <w:snapToGrid w:val="0"/>
                    <w:spacing w:line="240" w:lineRule="auto"/>
                    <w:jc w:val="center"/>
                    <w:rPr>
                      <w:rFonts w:hint="default" w:ascii="Times New Roman" w:hAnsi="Times New Roman" w:eastAsia="宋体" w:cs="Times New Roman"/>
                      <w:bCs/>
                      <w:color w:val="000000" w:themeColor="text1"/>
                      <w:sz w:val="21"/>
                      <w:szCs w:val="24"/>
                      <w:highlight w:val="none"/>
                      <w:lang w:eastAsia="zh-CN"/>
                      <w14:textFill>
                        <w14:solidFill>
                          <w14:schemeClr w14:val="tx1"/>
                        </w14:solidFill>
                      </w14:textFill>
                    </w:rPr>
                  </w:pPr>
                  <w:r>
                    <w:rPr>
                      <w:rFonts w:hint="default" w:ascii="Times New Roman" w:hAnsi="Times New Roman" w:eastAsia="宋体" w:cs="Times New Roman"/>
                      <w:bCs/>
                      <w:color w:val="000000" w:themeColor="text1"/>
                      <w:sz w:val="21"/>
                      <w:szCs w:val="24"/>
                      <w:highlight w:val="none"/>
                      <w14:textFill>
                        <w14:solidFill>
                          <w14:schemeClr w14:val="tx1"/>
                        </w14:solidFill>
                      </w14:textFill>
                    </w:rPr>
                    <w:t>Q</w:t>
                  </w:r>
                  <w:r>
                    <w:rPr>
                      <w:rFonts w:hint="default" w:ascii="Times New Roman" w:hAnsi="Times New Roman" w:eastAsia="宋体" w:cs="Times New Roman"/>
                      <w:bCs/>
                      <w:color w:val="000000" w:themeColor="text1"/>
                      <w:sz w:val="21"/>
                      <w:szCs w:val="24"/>
                      <w:highlight w:val="none"/>
                      <w:vertAlign w:val="subscript"/>
                      <w14:textFill>
                        <w14:solidFill>
                          <w14:schemeClr w14:val="tx1"/>
                        </w14:solidFill>
                      </w14:textFill>
                    </w:rPr>
                    <w:t>DW</w:t>
                  </w:r>
                  <w:r>
                    <w:rPr>
                      <w:rFonts w:hint="default" w:ascii="Times New Roman" w:hAnsi="Times New Roman" w:cs="Times New Roman"/>
                      <w:bCs/>
                      <w:color w:val="000000" w:themeColor="text1"/>
                      <w:sz w:val="21"/>
                      <w:szCs w:val="24"/>
                      <w:highlight w:val="none"/>
                      <w:vertAlign w:val="subscript"/>
                      <w:lang w:eastAsia="zh-CN"/>
                      <w14:textFill>
                        <w14:solidFill>
                          <w14:schemeClr w14:val="tx1"/>
                        </w14:solidFill>
                      </w14:textFill>
                    </w:rPr>
                    <w:t>(</w:t>
                  </w:r>
                  <w:r>
                    <w:rPr>
                      <w:rFonts w:hint="default" w:ascii="Times New Roman" w:hAnsi="Times New Roman" w:eastAsia="宋体" w:cs="Times New Roman"/>
                      <w:bCs/>
                      <w:color w:val="000000" w:themeColor="text1"/>
                      <w:sz w:val="21"/>
                      <w:szCs w:val="24"/>
                      <w:highlight w:val="none"/>
                      <w14:textFill>
                        <w14:solidFill>
                          <w14:schemeClr w14:val="tx1"/>
                        </w14:solidFill>
                      </w14:textFill>
                    </w:rPr>
                    <w:t>kCal/Nm</w:t>
                  </w:r>
                  <w:r>
                    <w:rPr>
                      <w:rFonts w:hint="default" w:ascii="Times New Roman" w:hAnsi="Times New Roman" w:eastAsia="宋体" w:cs="Times New Roman"/>
                      <w:bCs/>
                      <w:color w:val="000000" w:themeColor="text1"/>
                      <w:sz w:val="21"/>
                      <w:szCs w:val="24"/>
                      <w:highlight w:val="none"/>
                      <w:vertAlign w:val="superscript"/>
                      <w14:textFill>
                        <w14:solidFill>
                          <w14:schemeClr w14:val="tx1"/>
                        </w14:solidFill>
                      </w14:textFill>
                    </w:rPr>
                    <w:t>3</w:t>
                  </w:r>
                  <w:r>
                    <w:rPr>
                      <w:rFonts w:hint="default" w:ascii="Times New Roman" w:hAnsi="Times New Roman" w:cs="Times New Roman"/>
                      <w:bCs/>
                      <w:color w:val="000000" w:themeColor="text1"/>
                      <w:sz w:val="21"/>
                      <w:szCs w:val="24"/>
                      <w:highlight w:val="none"/>
                      <w:vertAlign w:val="superscript"/>
                      <w:lang w:eastAsia="zh-CN"/>
                      <w14:textFill>
                        <w14:solidFill>
                          <w14:schemeClr w14:val="tx1"/>
                        </w14:solidFill>
                      </w14:textFill>
                    </w:rPr>
                    <w:t>)</w:t>
                  </w:r>
                </w:p>
              </w:tc>
              <w:tc>
                <w:tcPr>
                  <w:tcW w:w="924" w:type="pct"/>
                  <w:gridSpan w:val="2"/>
                  <w:noWrap w:val="0"/>
                  <w:vAlign w:val="center"/>
                </w:tcPr>
                <w:p w14:paraId="45600D4C">
                  <w:pPr>
                    <w:adjustRightInd w:val="0"/>
                    <w:snapToGrid w:val="0"/>
                    <w:spacing w:line="240" w:lineRule="auto"/>
                    <w:jc w:val="center"/>
                    <w:rPr>
                      <w:rFonts w:hint="default" w:ascii="Times New Roman" w:hAnsi="Times New Roman" w:eastAsia="宋体" w:cs="Times New Roman"/>
                      <w:bCs/>
                      <w:color w:val="000000" w:themeColor="text1"/>
                      <w:sz w:val="21"/>
                      <w:szCs w:val="24"/>
                      <w:highlight w:val="none"/>
                      <w14:textFill>
                        <w14:solidFill>
                          <w14:schemeClr w14:val="tx1"/>
                        </w14:solidFill>
                      </w14:textFill>
                    </w:rPr>
                  </w:pPr>
                  <w:r>
                    <w:rPr>
                      <w:rFonts w:hint="default" w:ascii="Times New Roman" w:hAnsi="Times New Roman" w:eastAsia="宋体" w:cs="Times New Roman"/>
                      <w:bCs/>
                      <w:color w:val="000000" w:themeColor="text1"/>
                      <w:sz w:val="21"/>
                      <w:szCs w:val="24"/>
                      <w:highlight w:val="none"/>
                      <w14:textFill>
                        <w14:solidFill>
                          <w14:schemeClr w14:val="tx1"/>
                        </w14:solidFill>
                      </w14:textFill>
                    </w:rPr>
                    <w:t>容重kg/Nm</w:t>
                  </w:r>
                  <w:r>
                    <w:rPr>
                      <w:rFonts w:hint="default" w:ascii="Times New Roman" w:hAnsi="Times New Roman" w:eastAsia="宋体" w:cs="Times New Roman"/>
                      <w:bCs/>
                      <w:color w:val="000000" w:themeColor="text1"/>
                      <w:sz w:val="21"/>
                      <w:szCs w:val="24"/>
                      <w:highlight w:val="none"/>
                      <w:vertAlign w:val="superscript"/>
                      <w14:textFill>
                        <w14:solidFill>
                          <w14:schemeClr w14:val="tx1"/>
                        </w14:solidFill>
                      </w14:textFill>
                    </w:rPr>
                    <w:t>3</w:t>
                  </w:r>
                </w:p>
              </w:tc>
            </w:tr>
            <w:tr w14:paraId="1CE3E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pct"/>
                  <w:noWrap w:val="0"/>
                  <w:vAlign w:val="center"/>
                </w:tcPr>
                <w:p w14:paraId="4EB80F69">
                  <w:pPr>
                    <w:adjustRightInd w:val="0"/>
                    <w:snapToGrid w:val="0"/>
                    <w:spacing w:line="240" w:lineRule="auto"/>
                    <w:jc w:val="center"/>
                    <w:rPr>
                      <w:rFonts w:hint="default" w:ascii="Times New Roman" w:hAnsi="Times New Roman" w:eastAsia="宋体" w:cs="Times New Roman"/>
                      <w:bCs/>
                      <w:color w:val="000000" w:themeColor="text1"/>
                      <w:sz w:val="21"/>
                      <w:szCs w:val="24"/>
                      <w:highlight w:val="none"/>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4"/>
                      <w:highlight w:val="none"/>
                      <w14:textFill>
                        <w14:solidFill>
                          <w14:schemeClr w14:val="tx1"/>
                        </w14:solidFill>
                      </w14:textFill>
                    </w:rPr>
                    <w:t>0.</w:t>
                  </w:r>
                  <w:r>
                    <w:rPr>
                      <w:rFonts w:hint="default" w:ascii="Times New Roman" w:hAnsi="Times New Roman" w:cs="Times New Roman"/>
                      <w:bCs/>
                      <w:color w:val="000000" w:themeColor="text1"/>
                      <w:sz w:val="21"/>
                      <w:szCs w:val="24"/>
                      <w:highlight w:val="none"/>
                      <w:lang w:val="en-US" w:eastAsia="zh-CN"/>
                      <w14:textFill>
                        <w14:solidFill>
                          <w14:schemeClr w14:val="tx1"/>
                        </w14:solidFill>
                      </w14:textFill>
                    </w:rPr>
                    <w:t>5~0.8</w:t>
                  </w:r>
                </w:p>
              </w:tc>
              <w:tc>
                <w:tcPr>
                  <w:tcW w:w="588" w:type="pct"/>
                  <w:noWrap w:val="0"/>
                  <w:vAlign w:val="center"/>
                </w:tcPr>
                <w:p w14:paraId="362483B6">
                  <w:pPr>
                    <w:adjustRightInd w:val="0"/>
                    <w:snapToGrid w:val="0"/>
                    <w:spacing w:line="240" w:lineRule="auto"/>
                    <w:jc w:val="center"/>
                    <w:rPr>
                      <w:rFonts w:hint="default" w:ascii="Times New Roman" w:hAnsi="Times New Roman" w:eastAsia="宋体" w:cs="Times New Roman"/>
                      <w:bCs/>
                      <w:color w:val="000000" w:themeColor="text1"/>
                      <w:sz w:val="21"/>
                      <w:szCs w:val="24"/>
                      <w:highlight w:val="none"/>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4"/>
                      <w:highlight w:val="none"/>
                      <w14:textFill>
                        <w14:solidFill>
                          <w14:schemeClr w14:val="tx1"/>
                        </w14:solidFill>
                      </w14:textFill>
                    </w:rPr>
                    <w:t>2</w:t>
                  </w:r>
                  <w:r>
                    <w:rPr>
                      <w:rFonts w:hint="default" w:ascii="Times New Roman" w:hAnsi="Times New Roman" w:cs="Times New Roman"/>
                      <w:bCs/>
                      <w:color w:val="000000" w:themeColor="text1"/>
                      <w:sz w:val="21"/>
                      <w:szCs w:val="24"/>
                      <w:highlight w:val="none"/>
                      <w:lang w:val="en-US" w:eastAsia="zh-CN"/>
                      <w14:textFill>
                        <w14:solidFill>
                          <w14:schemeClr w14:val="tx1"/>
                        </w14:solidFill>
                      </w14:textFill>
                    </w:rPr>
                    <w:t>4.13</w:t>
                  </w:r>
                </w:p>
              </w:tc>
              <w:tc>
                <w:tcPr>
                  <w:tcW w:w="588" w:type="pct"/>
                  <w:noWrap w:val="0"/>
                  <w:vAlign w:val="center"/>
                </w:tcPr>
                <w:p w14:paraId="10096A87">
                  <w:pPr>
                    <w:adjustRightInd w:val="0"/>
                    <w:snapToGrid w:val="0"/>
                    <w:spacing w:line="240" w:lineRule="auto"/>
                    <w:jc w:val="center"/>
                    <w:rPr>
                      <w:rFonts w:hint="default" w:ascii="Times New Roman" w:hAnsi="Times New Roman" w:eastAsia="宋体" w:cs="Times New Roman"/>
                      <w:bCs/>
                      <w:color w:val="000000" w:themeColor="text1"/>
                      <w:sz w:val="21"/>
                      <w:szCs w:val="24"/>
                      <w:highlight w:val="none"/>
                      <w14:textFill>
                        <w14:solidFill>
                          <w14:schemeClr w14:val="tx1"/>
                        </w14:solidFill>
                      </w14:textFill>
                    </w:rPr>
                  </w:pPr>
                  <w:r>
                    <w:rPr>
                      <w:rFonts w:hint="default" w:ascii="Times New Roman" w:hAnsi="Times New Roman" w:eastAsia="宋体" w:cs="Times New Roman"/>
                      <w:bCs/>
                      <w:color w:val="000000" w:themeColor="text1"/>
                      <w:sz w:val="21"/>
                      <w:szCs w:val="24"/>
                      <w:highlight w:val="none"/>
                      <w14:textFill>
                        <w14:solidFill>
                          <w14:schemeClr w14:val="tx1"/>
                        </w14:solidFill>
                      </w14:textFill>
                    </w:rPr>
                    <w:t>44.85</w:t>
                  </w:r>
                </w:p>
              </w:tc>
              <w:tc>
                <w:tcPr>
                  <w:tcW w:w="588" w:type="pct"/>
                  <w:noWrap w:val="0"/>
                  <w:vAlign w:val="center"/>
                </w:tcPr>
                <w:p w14:paraId="549D9663">
                  <w:pPr>
                    <w:adjustRightInd w:val="0"/>
                    <w:snapToGrid w:val="0"/>
                    <w:spacing w:line="240" w:lineRule="auto"/>
                    <w:jc w:val="center"/>
                    <w:rPr>
                      <w:rFonts w:hint="default" w:ascii="Times New Roman" w:hAnsi="Times New Roman" w:eastAsia="宋体" w:cs="Times New Roman"/>
                      <w:bCs/>
                      <w:color w:val="000000" w:themeColor="text1"/>
                      <w:sz w:val="21"/>
                      <w:szCs w:val="24"/>
                      <w:highlight w:val="none"/>
                      <w14:textFill>
                        <w14:solidFill>
                          <w14:schemeClr w14:val="tx1"/>
                        </w14:solidFill>
                      </w14:textFill>
                    </w:rPr>
                  </w:pPr>
                  <w:r>
                    <w:rPr>
                      <w:rFonts w:hint="default" w:ascii="Times New Roman" w:hAnsi="Times New Roman" w:eastAsia="宋体" w:cs="Times New Roman"/>
                      <w:bCs/>
                      <w:color w:val="000000" w:themeColor="text1"/>
                      <w:sz w:val="21"/>
                      <w:szCs w:val="24"/>
                      <w:highlight w:val="none"/>
                      <w14:textFill>
                        <w14:solidFill>
                          <w14:schemeClr w14:val="tx1"/>
                        </w14:solidFill>
                      </w14:textFill>
                    </w:rPr>
                    <w:t>16.09</w:t>
                  </w:r>
                </w:p>
              </w:tc>
              <w:tc>
                <w:tcPr>
                  <w:tcW w:w="588" w:type="pct"/>
                  <w:noWrap w:val="0"/>
                  <w:vAlign w:val="center"/>
                </w:tcPr>
                <w:p w14:paraId="693C57CB">
                  <w:pPr>
                    <w:adjustRightInd w:val="0"/>
                    <w:snapToGrid w:val="0"/>
                    <w:spacing w:line="240" w:lineRule="auto"/>
                    <w:jc w:val="center"/>
                    <w:rPr>
                      <w:rFonts w:hint="default" w:ascii="Times New Roman" w:hAnsi="Times New Roman" w:eastAsia="宋体" w:cs="Times New Roman"/>
                      <w:bCs/>
                      <w:color w:val="000000" w:themeColor="text1"/>
                      <w:sz w:val="21"/>
                      <w:szCs w:val="24"/>
                      <w:highlight w:val="none"/>
                      <w14:textFill>
                        <w14:solidFill>
                          <w14:schemeClr w14:val="tx1"/>
                        </w14:solidFill>
                      </w14:textFill>
                    </w:rPr>
                  </w:pPr>
                  <w:r>
                    <w:rPr>
                      <w:rFonts w:hint="default" w:ascii="Times New Roman" w:hAnsi="Times New Roman" w:eastAsia="宋体" w:cs="Times New Roman"/>
                      <w:bCs/>
                      <w:color w:val="000000" w:themeColor="text1"/>
                      <w:sz w:val="21"/>
                      <w:szCs w:val="24"/>
                      <w:highlight w:val="none"/>
                      <w14:textFill>
                        <w14:solidFill>
                          <w14:schemeClr w14:val="tx1"/>
                        </w14:solidFill>
                      </w14:textFill>
                    </w:rPr>
                    <w:t>8.59</w:t>
                  </w:r>
                </w:p>
              </w:tc>
              <w:tc>
                <w:tcPr>
                  <w:tcW w:w="1029" w:type="pct"/>
                  <w:gridSpan w:val="2"/>
                  <w:noWrap w:val="0"/>
                  <w:vAlign w:val="center"/>
                </w:tcPr>
                <w:p w14:paraId="11DB6890">
                  <w:pPr>
                    <w:adjustRightInd w:val="0"/>
                    <w:snapToGrid w:val="0"/>
                    <w:spacing w:line="240" w:lineRule="auto"/>
                    <w:jc w:val="center"/>
                    <w:rPr>
                      <w:rFonts w:hint="default" w:ascii="Times New Roman" w:hAnsi="Times New Roman" w:eastAsia="宋体" w:cs="Times New Roman"/>
                      <w:bCs/>
                      <w:color w:val="000000" w:themeColor="text1"/>
                      <w:sz w:val="21"/>
                      <w:szCs w:val="24"/>
                      <w:highlight w:val="none"/>
                      <w14:textFill>
                        <w14:solidFill>
                          <w14:schemeClr w14:val="tx1"/>
                        </w14:solidFill>
                      </w14:textFill>
                    </w:rPr>
                  </w:pPr>
                  <w:r>
                    <w:rPr>
                      <w:rFonts w:hint="default" w:ascii="Times New Roman" w:hAnsi="Times New Roman" w:eastAsia="宋体" w:cs="Times New Roman"/>
                      <w:bCs/>
                      <w:color w:val="000000" w:themeColor="text1"/>
                      <w:sz w:val="21"/>
                      <w:szCs w:val="24"/>
                      <w:highlight w:val="none"/>
                      <w14:textFill>
                        <w14:solidFill>
                          <w14:schemeClr w14:val="tx1"/>
                        </w14:solidFill>
                      </w14:textFill>
                    </w:rPr>
                    <w:t>1635.26</w:t>
                  </w:r>
                </w:p>
              </w:tc>
              <w:tc>
                <w:tcPr>
                  <w:tcW w:w="924" w:type="pct"/>
                  <w:gridSpan w:val="2"/>
                  <w:noWrap w:val="0"/>
                  <w:vAlign w:val="center"/>
                </w:tcPr>
                <w:p w14:paraId="479C7448">
                  <w:pPr>
                    <w:adjustRightInd w:val="0"/>
                    <w:snapToGrid w:val="0"/>
                    <w:spacing w:line="240" w:lineRule="auto"/>
                    <w:jc w:val="center"/>
                    <w:rPr>
                      <w:rFonts w:hint="default" w:ascii="Times New Roman" w:hAnsi="Times New Roman" w:eastAsia="宋体" w:cs="Times New Roman"/>
                      <w:bCs/>
                      <w:color w:val="000000" w:themeColor="text1"/>
                      <w:sz w:val="21"/>
                      <w:szCs w:val="24"/>
                      <w:highlight w:val="none"/>
                      <w14:textFill>
                        <w14:solidFill>
                          <w14:schemeClr w14:val="tx1"/>
                        </w14:solidFill>
                      </w14:textFill>
                    </w:rPr>
                  </w:pPr>
                  <w:r>
                    <w:rPr>
                      <w:rFonts w:hint="default" w:ascii="Times New Roman" w:hAnsi="Times New Roman" w:eastAsia="宋体" w:cs="Times New Roman"/>
                      <w:bCs/>
                      <w:color w:val="000000" w:themeColor="text1"/>
                      <w:sz w:val="21"/>
                      <w:szCs w:val="24"/>
                      <w:highlight w:val="none"/>
                      <w14:textFill>
                        <w14:solidFill>
                          <w14:schemeClr w14:val="tx1"/>
                        </w14:solidFill>
                      </w14:textFill>
                    </w:rPr>
                    <w:t>0.95</w:t>
                  </w:r>
                </w:p>
              </w:tc>
            </w:tr>
          </w:tbl>
          <w:p w14:paraId="7AC6C9B1">
            <w:pPr>
              <w:pStyle w:val="88"/>
              <w:widowControl/>
              <w:adjustRightInd/>
              <w:snapToGrid w:val="0"/>
              <w:spacing w:before="120" w:beforeLines="50" w:line="240" w:lineRule="auto"/>
              <w:ind w:firstLineChars="200"/>
              <w:jc w:val="both"/>
              <w:rPr>
                <w:rFonts w:hint="default" w:ascii="Times New Roman" w:hAnsi="Times New Roman" w:cs="Times New Roman"/>
                <w:color w:val="000000" w:themeColor="text1"/>
                <w:spacing w:val="-1"/>
                <w:highlight w:val="none"/>
                <w14:textFill>
                  <w14:solidFill>
                    <w14:schemeClr w14:val="tx1"/>
                  </w14:solidFill>
                </w14:textFill>
              </w:rPr>
            </w:pPr>
            <w:r>
              <w:rPr>
                <w:rFonts w:hint="default" w:ascii="Times New Roman" w:hAnsi="Times New Roman" w:cs="Times New Roman"/>
                <w:color w:val="000000" w:themeColor="text1"/>
                <w:spacing w:val="-1"/>
                <w:highlight w:val="none"/>
                <w14:textFill>
                  <w14:solidFill>
                    <w14:schemeClr w14:val="tx1"/>
                  </w14:solidFill>
                </w14:textFill>
              </w:rPr>
              <w:t>本项目生产物料平衡及硫平衡分析见</w:t>
            </w:r>
            <w:r>
              <w:rPr>
                <w:rFonts w:hint="default" w:ascii="Times New Roman" w:hAnsi="Times New Roman" w:cs="Times New Roman"/>
                <w:color w:val="000000" w:themeColor="text1"/>
                <w:spacing w:val="-1"/>
                <w:highlight w:val="none"/>
                <w:lang w:val="en-US" w:eastAsia="zh-CN"/>
                <w14:textFill>
                  <w14:solidFill>
                    <w14:schemeClr w14:val="tx1"/>
                  </w14:solidFill>
                </w14:textFill>
              </w:rPr>
              <w:t>下</w:t>
            </w:r>
            <w:r>
              <w:rPr>
                <w:rFonts w:hint="default" w:ascii="Times New Roman" w:hAnsi="Times New Roman" w:cs="Times New Roman"/>
                <w:color w:val="000000" w:themeColor="text1"/>
                <w:spacing w:val="-1"/>
                <w:highlight w:val="none"/>
                <w14:textFill>
                  <w14:solidFill>
                    <w14:schemeClr w14:val="tx1"/>
                  </w14:solidFill>
                </w14:textFill>
              </w:rPr>
              <w:t>表。</w:t>
            </w:r>
          </w:p>
          <w:p w14:paraId="6245DD9E">
            <w:pPr>
              <w:pStyle w:val="88"/>
              <w:widowControl/>
              <w:adjustRightInd/>
              <w:snapToGrid w:val="0"/>
              <w:spacing w:before="120" w:beforeLines="50" w:line="240" w:lineRule="auto"/>
              <w:ind w:firstLineChars="200"/>
              <w:jc w:val="center"/>
              <w:rPr>
                <w:rFonts w:hint="default" w:ascii="Times New Roman" w:hAnsi="Times New Roman" w:cs="Times New Roman"/>
                <w:b/>
                <w:bCs/>
                <w:color w:val="000000" w:themeColor="text1"/>
                <w:spacing w:val="-2"/>
                <w:highlight w:val="none"/>
                <w14:textFill>
                  <w14:solidFill>
                    <w14:schemeClr w14:val="tx1"/>
                  </w14:solidFill>
                </w14:textFill>
              </w:rPr>
            </w:pPr>
            <w:r>
              <w:rPr>
                <w:rFonts w:hint="default" w:ascii="Times New Roman" w:hAnsi="Times New Roman" w:cs="Times New Roman"/>
                <w:b/>
                <w:bCs/>
                <w:color w:val="000000" w:themeColor="text1"/>
                <w:spacing w:val="-2"/>
                <w:position w:val="-1"/>
                <w:highlight w:val="none"/>
                <w14:textFill>
                  <w14:solidFill>
                    <w14:schemeClr w14:val="tx1"/>
                  </w14:solidFill>
                </w14:textFill>
              </w:rPr>
              <w:t>表</w:t>
            </w:r>
            <w:r>
              <w:rPr>
                <w:rFonts w:hint="default" w:ascii="Times New Roman" w:hAnsi="Times New Roman" w:cs="Times New Roman"/>
                <w:b/>
                <w:bCs/>
                <w:color w:val="000000" w:themeColor="text1"/>
                <w:spacing w:val="-2"/>
                <w:position w:val="-1"/>
                <w:highlight w:val="none"/>
                <w:lang w:val="en-US" w:eastAsia="zh-CN"/>
                <w14:textFill>
                  <w14:solidFill>
                    <w14:schemeClr w14:val="tx1"/>
                  </w14:solidFill>
                </w14:textFill>
              </w:rPr>
              <w:t>2-22</w:t>
            </w:r>
            <w:r>
              <w:rPr>
                <w:rFonts w:hint="default" w:ascii="Times New Roman" w:hAnsi="Times New Roman" w:cs="Times New Roman"/>
                <w:b/>
                <w:bCs/>
                <w:color w:val="000000" w:themeColor="text1"/>
                <w:spacing w:val="-2"/>
                <w:highlight w:val="none"/>
                <w14:textFill>
                  <w14:solidFill>
                    <w14:schemeClr w14:val="tx1"/>
                  </w14:solidFill>
                </w14:textFill>
              </w:rPr>
              <w:t>本项目生产物料平衡分析表单位：t/a</w:t>
            </w:r>
          </w:p>
          <w:tbl>
            <w:tblPr>
              <w:tblStyle w:val="2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1069"/>
              <w:gridCol w:w="1121"/>
              <w:gridCol w:w="825"/>
              <w:gridCol w:w="2068"/>
              <w:gridCol w:w="1451"/>
              <w:gridCol w:w="1184"/>
            </w:tblGrid>
            <w:tr w14:paraId="52823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92" w:type="pct"/>
                  <w:noWrap w:val="0"/>
                  <w:vAlign w:val="center"/>
                </w:tcPr>
                <w:p w14:paraId="0785B36C">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2"/>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2"/>
                      <w:highlight w:val="none"/>
                      <w:lang w:val="en-US" w:eastAsia="zh-CN"/>
                      <w14:textFill>
                        <w14:solidFill>
                          <w14:schemeClr w14:val="tx1"/>
                        </w14:solidFill>
                      </w14:textFill>
                    </w:rPr>
                    <w:t>序号</w:t>
                  </w:r>
                </w:p>
              </w:tc>
              <w:tc>
                <w:tcPr>
                  <w:tcW w:w="638" w:type="pct"/>
                  <w:noWrap w:val="0"/>
                  <w:vAlign w:val="center"/>
                </w:tcPr>
                <w:p w14:paraId="09AC8DF8">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2"/>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2"/>
                      <w:highlight w:val="none"/>
                      <w:lang w:val="en-US" w:eastAsia="zh-CN"/>
                      <w14:textFill>
                        <w14:solidFill>
                          <w14:schemeClr w14:val="tx1"/>
                        </w14:solidFill>
                      </w14:textFill>
                    </w:rPr>
                    <w:t>进料名称</w:t>
                  </w:r>
                </w:p>
              </w:tc>
              <w:tc>
                <w:tcPr>
                  <w:tcW w:w="669" w:type="pct"/>
                  <w:noWrap w:val="0"/>
                  <w:vAlign w:val="center"/>
                </w:tcPr>
                <w:p w14:paraId="0B3D27D6">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2"/>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2"/>
                      <w:highlight w:val="none"/>
                      <w:lang w:val="en-US" w:eastAsia="zh-CN"/>
                      <w14:textFill>
                        <w14:solidFill>
                          <w14:schemeClr w14:val="tx1"/>
                        </w14:solidFill>
                      </w14:textFill>
                    </w:rPr>
                    <w:t>进料量</w:t>
                  </w:r>
                </w:p>
              </w:tc>
              <w:tc>
                <w:tcPr>
                  <w:tcW w:w="492" w:type="pct"/>
                  <w:noWrap w:val="0"/>
                  <w:vAlign w:val="center"/>
                </w:tcPr>
                <w:p w14:paraId="4E8A9B35">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2"/>
                      <w:highlight w:val="none"/>
                      <w14:textFill>
                        <w14:solidFill>
                          <w14:schemeClr w14:val="tx1"/>
                        </w14:solidFill>
                      </w14:textFill>
                    </w:rPr>
                  </w:pPr>
                  <w:r>
                    <w:rPr>
                      <w:rFonts w:hint="default" w:ascii="Times New Roman" w:hAnsi="Times New Roman" w:eastAsia="宋体" w:cs="Times New Roman"/>
                      <w:color w:val="000000" w:themeColor="text1"/>
                      <w:spacing w:val="-2"/>
                      <w:highlight w:val="none"/>
                      <w:lang w:val="en-US" w:eastAsia="zh-CN"/>
                      <w14:textFill>
                        <w14:solidFill>
                          <w14:schemeClr w14:val="tx1"/>
                        </w14:solidFill>
                      </w14:textFill>
                    </w:rPr>
                    <w:t>序号</w:t>
                  </w:r>
                </w:p>
              </w:tc>
              <w:tc>
                <w:tcPr>
                  <w:tcW w:w="1234" w:type="pct"/>
                  <w:noWrap w:val="0"/>
                  <w:vAlign w:val="center"/>
                </w:tcPr>
                <w:p w14:paraId="698EAB25">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2"/>
                      <w:highlight w:val="none"/>
                      <w14:textFill>
                        <w14:solidFill>
                          <w14:schemeClr w14:val="tx1"/>
                        </w14:solidFill>
                      </w14:textFill>
                    </w:rPr>
                  </w:pPr>
                  <w:r>
                    <w:rPr>
                      <w:rFonts w:hint="default" w:ascii="Times New Roman" w:hAnsi="Times New Roman" w:eastAsia="宋体" w:cs="Times New Roman"/>
                      <w:color w:val="000000" w:themeColor="text1"/>
                      <w:spacing w:val="-2"/>
                      <w:highlight w:val="none"/>
                      <w:lang w:val="en-US" w:eastAsia="zh-CN"/>
                      <w14:textFill>
                        <w14:solidFill>
                          <w14:schemeClr w14:val="tx1"/>
                        </w14:solidFill>
                      </w14:textFill>
                    </w:rPr>
                    <w:t>出料名称</w:t>
                  </w:r>
                </w:p>
              </w:tc>
              <w:tc>
                <w:tcPr>
                  <w:tcW w:w="866" w:type="pct"/>
                  <w:noWrap w:val="0"/>
                  <w:vAlign w:val="center"/>
                </w:tcPr>
                <w:p w14:paraId="5B09F523">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2"/>
                      <w:highlight w:val="none"/>
                      <w14:textFill>
                        <w14:solidFill>
                          <w14:schemeClr w14:val="tx1"/>
                        </w14:solidFill>
                      </w14:textFill>
                    </w:rPr>
                  </w:pPr>
                  <w:r>
                    <w:rPr>
                      <w:rFonts w:hint="default" w:ascii="Times New Roman" w:hAnsi="Times New Roman" w:eastAsia="宋体" w:cs="Times New Roman"/>
                      <w:color w:val="000000" w:themeColor="text1"/>
                      <w:spacing w:val="-2"/>
                      <w:highlight w:val="none"/>
                      <w:lang w:val="en-US" w:eastAsia="zh-CN"/>
                      <w14:textFill>
                        <w14:solidFill>
                          <w14:schemeClr w14:val="tx1"/>
                        </w14:solidFill>
                      </w14:textFill>
                    </w:rPr>
                    <w:t>出料量</w:t>
                  </w:r>
                </w:p>
              </w:tc>
              <w:tc>
                <w:tcPr>
                  <w:tcW w:w="706" w:type="pct"/>
                  <w:noWrap w:val="0"/>
                  <w:vAlign w:val="center"/>
                </w:tcPr>
                <w:p w14:paraId="32A5E353">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2"/>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2"/>
                      <w:highlight w:val="none"/>
                      <w:lang w:val="en-US" w:eastAsia="zh-CN"/>
                      <w14:textFill>
                        <w14:solidFill>
                          <w14:schemeClr w14:val="tx1"/>
                        </w14:solidFill>
                      </w14:textFill>
                    </w:rPr>
                    <w:t>备注</w:t>
                  </w:r>
                </w:p>
              </w:tc>
            </w:tr>
            <w:tr w14:paraId="6A119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14:paraId="7C2F9CBA">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2"/>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2"/>
                      <w:highlight w:val="none"/>
                      <w:lang w:val="en-US" w:eastAsia="zh-CN"/>
                      <w14:textFill>
                        <w14:solidFill>
                          <w14:schemeClr w14:val="tx1"/>
                        </w14:solidFill>
                      </w14:textFill>
                    </w:rPr>
                    <w:t>1</w:t>
                  </w:r>
                </w:p>
              </w:tc>
              <w:tc>
                <w:tcPr>
                  <w:tcW w:w="638" w:type="pct"/>
                  <w:noWrap w:val="0"/>
                  <w:vAlign w:val="center"/>
                </w:tcPr>
                <w:p w14:paraId="534A9DF2">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2"/>
                      <w:highlight w:val="none"/>
                      <w:lang w:val="en-US" w:eastAsia="zh-CN"/>
                      <w14:textFill>
                        <w14:solidFill>
                          <w14:schemeClr w14:val="tx1"/>
                        </w14:solidFill>
                      </w14:textFill>
                    </w:rPr>
                  </w:pPr>
                  <w:r>
                    <w:rPr>
                      <w:rFonts w:hint="default" w:ascii="Times New Roman" w:hAnsi="Times New Roman" w:cs="Times New Roman"/>
                      <w:color w:val="000000" w:themeColor="text1"/>
                      <w:spacing w:val="-2"/>
                      <w:highlight w:val="none"/>
                      <w:lang w:val="en-US" w:eastAsia="zh-CN"/>
                      <w14:textFill>
                        <w14:solidFill>
                          <w14:schemeClr w14:val="tx1"/>
                        </w14:solidFill>
                      </w14:textFill>
                    </w:rPr>
                    <w:t>原料粉</w:t>
                  </w:r>
                </w:p>
              </w:tc>
              <w:tc>
                <w:tcPr>
                  <w:tcW w:w="669" w:type="pct"/>
                  <w:noWrap w:val="0"/>
                  <w:vAlign w:val="center"/>
                </w:tcPr>
                <w:p w14:paraId="28BBB348">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2"/>
                      <w:highlight w:val="none"/>
                      <w14:textFill>
                        <w14:solidFill>
                          <w14:schemeClr w14:val="tx1"/>
                        </w14:solidFill>
                      </w14:textFill>
                    </w:rPr>
                  </w:pPr>
                  <w:r>
                    <w:rPr>
                      <w:rFonts w:hint="default" w:ascii="Times New Roman" w:hAnsi="Times New Roman" w:eastAsia="宋体" w:cs="Times New Roman"/>
                      <w:color w:val="000000" w:themeColor="text1"/>
                      <w:spacing w:val="-2"/>
                      <w:highlight w:val="none"/>
                      <w14:textFill>
                        <w14:solidFill>
                          <w14:schemeClr w14:val="tx1"/>
                        </w14:solidFill>
                      </w14:textFill>
                    </w:rPr>
                    <w:t>244234</w:t>
                  </w:r>
                </w:p>
              </w:tc>
              <w:tc>
                <w:tcPr>
                  <w:tcW w:w="492" w:type="pct"/>
                  <w:noWrap w:val="0"/>
                  <w:vAlign w:val="center"/>
                </w:tcPr>
                <w:p w14:paraId="418F763B">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2"/>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2"/>
                      <w:highlight w:val="none"/>
                      <w:lang w:val="en-US" w:eastAsia="zh-CN"/>
                      <w14:textFill>
                        <w14:solidFill>
                          <w14:schemeClr w14:val="tx1"/>
                        </w14:solidFill>
                      </w14:textFill>
                    </w:rPr>
                    <w:t>1</w:t>
                  </w:r>
                </w:p>
              </w:tc>
              <w:tc>
                <w:tcPr>
                  <w:tcW w:w="1234" w:type="pct"/>
                  <w:noWrap w:val="0"/>
                  <w:vAlign w:val="center"/>
                </w:tcPr>
                <w:p w14:paraId="5920AA08">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2"/>
                      <w:highlight w:val="none"/>
                      <w:lang w:eastAsia="zh-CN"/>
                      <w14:textFill>
                        <w14:solidFill>
                          <w14:schemeClr w14:val="tx1"/>
                        </w14:solidFill>
                      </w14:textFill>
                    </w:rPr>
                  </w:pPr>
                  <w:r>
                    <w:rPr>
                      <w:rFonts w:hint="default" w:ascii="Times New Roman" w:hAnsi="Times New Roman" w:cs="Times New Roman"/>
                      <w:color w:val="000000" w:themeColor="text1"/>
                      <w:spacing w:val="3"/>
                      <w:highlight w:val="none"/>
                      <w:lang w:val="en-US" w:eastAsia="zh-CN"/>
                      <w14:textFill>
                        <w14:solidFill>
                          <w14:schemeClr w14:val="tx1"/>
                        </w14:solidFill>
                      </w14:textFill>
                    </w:rPr>
                    <w:t>高活性高岭土</w:t>
                  </w:r>
                </w:p>
              </w:tc>
              <w:tc>
                <w:tcPr>
                  <w:tcW w:w="866" w:type="pct"/>
                  <w:noWrap w:val="0"/>
                  <w:vAlign w:val="center"/>
                </w:tcPr>
                <w:p w14:paraId="3877038C">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2"/>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2"/>
                      <w:highlight w:val="none"/>
                      <w:lang w:val="en-US" w:eastAsia="zh-CN"/>
                      <w14:textFill>
                        <w14:solidFill>
                          <w14:schemeClr w14:val="tx1"/>
                        </w14:solidFill>
                      </w14:textFill>
                    </w:rPr>
                    <w:t>200000</w:t>
                  </w:r>
                </w:p>
              </w:tc>
              <w:tc>
                <w:tcPr>
                  <w:tcW w:w="706" w:type="pct"/>
                  <w:noWrap w:val="0"/>
                  <w:vAlign w:val="center"/>
                </w:tcPr>
                <w:p w14:paraId="63D7FAD1">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2"/>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2"/>
                      <w:highlight w:val="none"/>
                      <w:lang w:val="en-US" w:eastAsia="zh-CN"/>
                      <w14:textFill>
                        <w14:solidFill>
                          <w14:schemeClr w14:val="tx1"/>
                        </w14:solidFill>
                      </w14:textFill>
                    </w:rPr>
                    <w:t>/</w:t>
                  </w:r>
                </w:p>
              </w:tc>
            </w:tr>
            <w:tr w14:paraId="7FD29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14:paraId="76F190BE">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2"/>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2"/>
                      <w:highlight w:val="none"/>
                      <w:lang w:val="en-US" w:eastAsia="zh-CN"/>
                      <w14:textFill>
                        <w14:solidFill>
                          <w14:schemeClr w14:val="tx1"/>
                        </w14:solidFill>
                      </w14:textFill>
                    </w:rPr>
                    <w:t>2</w:t>
                  </w:r>
                </w:p>
              </w:tc>
              <w:tc>
                <w:tcPr>
                  <w:tcW w:w="638" w:type="pct"/>
                  <w:noWrap w:val="0"/>
                  <w:vAlign w:val="center"/>
                </w:tcPr>
                <w:p w14:paraId="76C62AFD">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2"/>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2"/>
                      <w:highlight w:val="none"/>
                      <w:lang w:val="en-US" w:eastAsia="zh-CN"/>
                      <w14:textFill>
                        <w14:solidFill>
                          <w14:schemeClr w14:val="tx1"/>
                        </w14:solidFill>
                      </w14:textFill>
                    </w:rPr>
                    <w:t>煤气</w:t>
                  </w:r>
                </w:p>
              </w:tc>
              <w:tc>
                <w:tcPr>
                  <w:tcW w:w="669" w:type="pct"/>
                  <w:noWrap w:val="0"/>
                  <w:vAlign w:val="center"/>
                </w:tcPr>
                <w:p w14:paraId="6CD35D3C">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2"/>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2"/>
                      <w:highlight w:val="none"/>
                      <w:lang w:val="en-US" w:eastAsia="zh-CN"/>
                      <w14:textFill>
                        <w14:solidFill>
                          <w14:schemeClr w14:val="tx1"/>
                        </w14:solidFill>
                      </w14:textFill>
                    </w:rPr>
                    <w:t>41835.15</w:t>
                  </w:r>
                </w:p>
              </w:tc>
              <w:tc>
                <w:tcPr>
                  <w:tcW w:w="492" w:type="pct"/>
                  <w:noWrap w:val="0"/>
                  <w:vAlign w:val="center"/>
                </w:tcPr>
                <w:p w14:paraId="4879FE36">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2"/>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2"/>
                      <w:highlight w:val="none"/>
                      <w:lang w:val="en-US" w:eastAsia="zh-CN"/>
                      <w14:textFill>
                        <w14:solidFill>
                          <w14:schemeClr w14:val="tx1"/>
                        </w14:solidFill>
                      </w14:textFill>
                    </w:rPr>
                    <w:t>2</w:t>
                  </w:r>
                </w:p>
              </w:tc>
              <w:tc>
                <w:tcPr>
                  <w:tcW w:w="1234" w:type="pct"/>
                  <w:noWrap w:val="0"/>
                  <w:vAlign w:val="center"/>
                </w:tcPr>
                <w:p w14:paraId="1BA2565E">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2"/>
                      <w:highlight w:val="none"/>
                      <w14:textFill>
                        <w14:solidFill>
                          <w14:schemeClr w14:val="tx1"/>
                        </w14:solidFill>
                      </w14:textFill>
                    </w:rPr>
                  </w:pPr>
                  <w:r>
                    <w:rPr>
                      <w:rFonts w:hint="default" w:ascii="Times New Roman" w:hAnsi="Times New Roman" w:cs="Times New Roman"/>
                      <w:color w:val="000000" w:themeColor="text1"/>
                      <w:spacing w:val="-2"/>
                      <w:highlight w:val="none"/>
                      <w14:textFill>
                        <w14:solidFill>
                          <w14:schemeClr w14:val="tx1"/>
                        </w14:solidFill>
                      </w14:textFill>
                    </w:rPr>
                    <w:t>排放</w:t>
                  </w:r>
                  <w:r>
                    <w:rPr>
                      <w:rFonts w:hint="default" w:ascii="Times New Roman" w:hAnsi="Times New Roman" w:cs="Times New Roman"/>
                      <w:color w:val="000000" w:themeColor="text1"/>
                      <w:spacing w:val="-2"/>
                      <w:highlight w:val="none"/>
                      <w:lang w:val="en-US" w:eastAsia="zh-CN"/>
                      <w14:textFill>
                        <w14:solidFill>
                          <w14:schemeClr w14:val="tx1"/>
                        </w14:solidFill>
                      </w14:textFill>
                    </w:rPr>
                    <w:t>废气</w:t>
                  </w:r>
                  <w:r>
                    <w:rPr>
                      <w:rFonts w:hint="default" w:ascii="Times New Roman" w:hAnsi="Times New Roman" w:cs="Times New Roman"/>
                      <w:color w:val="000000" w:themeColor="text1"/>
                      <w:spacing w:val="-2"/>
                      <w:highlight w:val="none"/>
                      <w14:textFill>
                        <w14:solidFill>
                          <w14:schemeClr w14:val="tx1"/>
                        </w14:solidFill>
                      </w14:textFill>
                    </w:rPr>
                    <w:t>颗粒物</w:t>
                  </w:r>
                </w:p>
              </w:tc>
              <w:tc>
                <w:tcPr>
                  <w:tcW w:w="866" w:type="pct"/>
                  <w:noWrap w:val="0"/>
                  <w:vAlign w:val="center"/>
                </w:tcPr>
                <w:p w14:paraId="0F44BC9A">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2"/>
                      <w:highlight w:val="none"/>
                      <w:lang w:val="en-US" w:eastAsia="zh-CN"/>
                      <w14:textFill>
                        <w14:solidFill>
                          <w14:schemeClr w14:val="tx1"/>
                        </w14:solidFill>
                      </w14:textFill>
                    </w:rPr>
                  </w:pPr>
                  <w:r>
                    <w:rPr>
                      <w:rFonts w:hint="default" w:ascii="Times New Roman" w:hAnsi="Times New Roman" w:cs="Times New Roman"/>
                      <w:color w:val="000000" w:themeColor="text1"/>
                      <w:spacing w:val="-2"/>
                      <w:highlight w:val="none"/>
                      <w:lang w:val="en-US" w:eastAsia="zh-CN"/>
                      <w14:textFill>
                        <w14:solidFill>
                          <w14:schemeClr w14:val="tx1"/>
                        </w14:solidFill>
                      </w14:textFill>
                    </w:rPr>
                    <w:t>11.052</w:t>
                  </w:r>
                </w:p>
              </w:tc>
              <w:tc>
                <w:tcPr>
                  <w:tcW w:w="706" w:type="pct"/>
                  <w:noWrap w:val="0"/>
                  <w:vAlign w:val="center"/>
                </w:tcPr>
                <w:p w14:paraId="4A7DBE11">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2"/>
                      <w:highlight w:val="none"/>
                      <w14:textFill>
                        <w14:solidFill>
                          <w14:schemeClr w14:val="tx1"/>
                        </w14:solidFill>
                      </w14:textFill>
                    </w:rPr>
                  </w:pPr>
                  <w:r>
                    <w:rPr>
                      <w:rFonts w:hint="default" w:ascii="Times New Roman" w:hAnsi="Times New Roman" w:eastAsia="宋体" w:cs="Times New Roman"/>
                      <w:color w:val="000000" w:themeColor="text1"/>
                      <w:spacing w:val="-2"/>
                      <w:highlight w:val="none"/>
                      <w:lang w:val="en-US" w:eastAsia="zh-CN"/>
                      <w14:textFill>
                        <w14:solidFill>
                          <w14:schemeClr w14:val="tx1"/>
                        </w14:solidFill>
                      </w14:textFill>
                    </w:rPr>
                    <w:t>/</w:t>
                  </w:r>
                </w:p>
              </w:tc>
            </w:tr>
            <w:tr w14:paraId="11346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14:paraId="76F177C5">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2"/>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2"/>
                      <w:highlight w:val="none"/>
                      <w:lang w:val="en-US" w:eastAsia="zh-CN"/>
                      <w14:textFill>
                        <w14:solidFill>
                          <w14:schemeClr w14:val="tx1"/>
                        </w14:solidFill>
                      </w14:textFill>
                    </w:rPr>
                    <w:t>3</w:t>
                  </w:r>
                </w:p>
              </w:tc>
              <w:tc>
                <w:tcPr>
                  <w:tcW w:w="638" w:type="pct"/>
                  <w:noWrap w:val="0"/>
                  <w:vAlign w:val="center"/>
                </w:tcPr>
                <w:p w14:paraId="28DA5F77">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2"/>
                      <w:highlight w:val="none"/>
                      <w:lang w:val="en-US" w:eastAsia="zh-CN"/>
                      <w14:textFill>
                        <w14:solidFill>
                          <w14:schemeClr w14:val="tx1"/>
                        </w14:solidFill>
                      </w14:textFill>
                    </w:rPr>
                  </w:pPr>
                  <w:r>
                    <w:rPr>
                      <w:rFonts w:hint="default" w:ascii="Times New Roman" w:hAnsi="Times New Roman" w:cs="Times New Roman"/>
                      <w:color w:val="000000" w:themeColor="text1"/>
                      <w:spacing w:val="-2"/>
                      <w:highlight w:val="none"/>
                      <w:lang w:val="en-US" w:eastAsia="zh-CN"/>
                      <w14:textFill>
                        <w14:solidFill>
                          <w14:schemeClr w14:val="tx1"/>
                        </w14:solidFill>
                      </w14:textFill>
                    </w:rPr>
                    <w:t>/</w:t>
                  </w:r>
                </w:p>
              </w:tc>
              <w:tc>
                <w:tcPr>
                  <w:tcW w:w="669" w:type="pct"/>
                  <w:noWrap w:val="0"/>
                  <w:vAlign w:val="center"/>
                </w:tcPr>
                <w:p w14:paraId="2A01C03E">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2"/>
                      <w:highlight w:val="none"/>
                      <w:lang w:val="en-US" w:eastAsia="zh-CN"/>
                      <w14:textFill>
                        <w14:solidFill>
                          <w14:schemeClr w14:val="tx1"/>
                        </w14:solidFill>
                      </w14:textFill>
                    </w:rPr>
                  </w:pPr>
                  <w:r>
                    <w:rPr>
                      <w:rFonts w:hint="default" w:ascii="Times New Roman" w:hAnsi="Times New Roman" w:cs="Times New Roman"/>
                      <w:color w:val="000000" w:themeColor="text1"/>
                      <w:spacing w:val="-2"/>
                      <w:highlight w:val="none"/>
                      <w:lang w:val="en-US" w:eastAsia="zh-CN"/>
                      <w14:textFill>
                        <w14:solidFill>
                          <w14:schemeClr w14:val="tx1"/>
                        </w14:solidFill>
                      </w14:textFill>
                    </w:rPr>
                    <w:t>/</w:t>
                  </w:r>
                </w:p>
              </w:tc>
              <w:tc>
                <w:tcPr>
                  <w:tcW w:w="492" w:type="pct"/>
                  <w:noWrap w:val="0"/>
                  <w:vAlign w:val="center"/>
                </w:tcPr>
                <w:p w14:paraId="2525F0AF">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2"/>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2"/>
                      <w:highlight w:val="none"/>
                      <w:lang w:val="en-US" w:eastAsia="zh-CN"/>
                      <w14:textFill>
                        <w14:solidFill>
                          <w14:schemeClr w14:val="tx1"/>
                        </w14:solidFill>
                      </w14:textFill>
                    </w:rPr>
                    <w:t>3</w:t>
                  </w:r>
                </w:p>
              </w:tc>
              <w:tc>
                <w:tcPr>
                  <w:tcW w:w="1234" w:type="pct"/>
                  <w:noWrap w:val="0"/>
                  <w:vAlign w:val="center"/>
                </w:tcPr>
                <w:p w14:paraId="1D7E9F1B">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2"/>
                      <w:highlight w:val="none"/>
                      <w:lang w:val="en-US" w:eastAsia="zh-CN"/>
                      <w14:textFill>
                        <w14:solidFill>
                          <w14:schemeClr w14:val="tx1"/>
                        </w14:solidFill>
                      </w14:textFill>
                    </w:rPr>
                  </w:pPr>
                  <w:r>
                    <w:rPr>
                      <w:rFonts w:hint="default" w:ascii="Times New Roman" w:hAnsi="Times New Roman" w:cs="Times New Roman"/>
                      <w:color w:val="000000" w:themeColor="text1"/>
                      <w:spacing w:val="-2"/>
                      <w:highlight w:val="none"/>
                      <w14:textFill>
                        <w14:solidFill>
                          <w14:schemeClr w14:val="tx1"/>
                        </w14:solidFill>
                      </w14:textFill>
                    </w:rPr>
                    <w:t>排放</w:t>
                  </w:r>
                  <w:r>
                    <w:rPr>
                      <w:rFonts w:hint="default" w:ascii="Times New Roman" w:hAnsi="Times New Roman" w:cs="Times New Roman"/>
                      <w:color w:val="000000" w:themeColor="text1"/>
                      <w:spacing w:val="-2"/>
                      <w:highlight w:val="none"/>
                      <w:lang w:val="en-US" w:eastAsia="zh-CN"/>
                      <w14:textFill>
                        <w14:solidFill>
                          <w14:schemeClr w14:val="tx1"/>
                        </w14:solidFill>
                      </w14:textFill>
                    </w:rPr>
                    <w:t>废气二氧化硫</w:t>
                  </w:r>
                </w:p>
              </w:tc>
              <w:tc>
                <w:tcPr>
                  <w:tcW w:w="866" w:type="pct"/>
                  <w:noWrap w:val="0"/>
                  <w:vAlign w:val="center"/>
                </w:tcPr>
                <w:p w14:paraId="44FDAD10">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2"/>
                      <w:highlight w:val="none"/>
                      <w:lang w:val="en-US" w:eastAsia="zh-CN"/>
                      <w14:textFill>
                        <w14:solidFill>
                          <w14:schemeClr w14:val="tx1"/>
                        </w14:solidFill>
                      </w14:textFill>
                    </w:rPr>
                  </w:pPr>
                  <w:r>
                    <w:rPr>
                      <w:rFonts w:hint="default" w:ascii="Times New Roman" w:hAnsi="Times New Roman" w:cs="Times New Roman"/>
                      <w:color w:val="000000" w:themeColor="text1"/>
                      <w:spacing w:val="-2"/>
                      <w:highlight w:val="none"/>
                      <w:lang w:val="en-US" w:eastAsia="zh-CN"/>
                      <w14:textFill>
                        <w14:solidFill>
                          <w14:schemeClr w14:val="tx1"/>
                        </w14:solidFill>
                      </w14:textFill>
                    </w:rPr>
                    <w:t>39.44</w:t>
                  </w:r>
                </w:p>
              </w:tc>
              <w:tc>
                <w:tcPr>
                  <w:tcW w:w="706" w:type="pct"/>
                  <w:noWrap w:val="0"/>
                  <w:vAlign w:val="center"/>
                </w:tcPr>
                <w:p w14:paraId="15BBDDAD">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2"/>
                      <w:highlight w:val="none"/>
                      <w14:textFill>
                        <w14:solidFill>
                          <w14:schemeClr w14:val="tx1"/>
                        </w14:solidFill>
                      </w14:textFill>
                    </w:rPr>
                  </w:pPr>
                  <w:r>
                    <w:rPr>
                      <w:rFonts w:hint="default" w:ascii="Times New Roman" w:hAnsi="Times New Roman" w:eastAsia="宋体" w:cs="Times New Roman"/>
                      <w:color w:val="000000" w:themeColor="text1"/>
                      <w:spacing w:val="-2"/>
                      <w:highlight w:val="none"/>
                      <w:lang w:val="en-US" w:eastAsia="zh-CN"/>
                      <w14:textFill>
                        <w14:solidFill>
                          <w14:schemeClr w14:val="tx1"/>
                        </w14:solidFill>
                      </w14:textFill>
                    </w:rPr>
                    <w:t>/</w:t>
                  </w:r>
                </w:p>
              </w:tc>
            </w:tr>
            <w:tr w14:paraId="0C077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shd w:val="clear" w:color="auto" w:fill="auto"/>
                  <w:noWrap w:val="0"/>
                  <w:vAlign w:val="center"/>
                </w:tcPr>
                <w:p w14:paraId="4247BDEF">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2"/>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pacing w:val="-2"/>
                      <w:highlight w:val="none"/>
                      <w:lang w:val="en-US" w:eastAsia="zh-CN"/>
                      <w14:textFill>
                        <w14:solidFill>
                          <w14:schemeClr w14:val="tx1"/>
                        </w14:solidFill>
                      </w14:textFill>
                    </w:rPr>
                    <w:t>4</w:t>
                  </w:r>
                </w:p>
              </w:tc>
              <w:tc>
                <w:tcPr>
                  <w:tcW w:w="638" w:type="pct"/>
                  <w:shd w:val="clear" w:color="auto" w:fill="auto"/>
                  <w:noWrap w:val="0"/>
                  <w:vAlign w:val="center"/>
                </w:tcPr>
                <w:p w14:paraId="7F7F6FBD">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2"/>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pacing w:val="-2"/>
                      <w:highlight w:val="none"/>
                      <w:lang w:val="en-US" w:eastAsia="zh-CN"/>
                      <w14:textFill>
                        <w14:solidFill>
                          <w14:schemeClr w14:val="tx1"/>
                        </w14:solidFill>
                      </w14:textFill>
                    </w:rPr>
                    <w:t>/</w:t>
                  </w:r>
                </w:p>
              </w:tc>
              <w:tc>
                <w:tcPr>
                  <w:tcW w:w="669" w:type="pct"/>
                  <w:shd w:val="clear" w:color="auto" w:fill="auto"/>
                  <w:noWrap w:val="0"/>
                  <w:vAlign w:val="center"/>
                </w:tcPr>
                <w:p w14:paraId="7BBED3C9">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2"/>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pacing w:val="-2"/>
                      <w:highlight w:val="none"/>
                      <w:lang w:val="en-US" w:eastAsia="zh-CN"/>
                      <w14:textFill>
                        <w14:solidFill>
                          <w14:schemeClr w14:val="tx1"/>
                        </w14:solidFill>
                      </w14:textFill>
                    </w:rPr>
                    <w:t>/</w:t>
                  </w:r>
                </w:p>
              </w:tc>
              <w:tc>
                <w:tcPr>
                  <w:tcW w:w="492" w:type="pct"/>
                  <w:shd w:val="clear" w:color="auto" w:fill="auto"/>
                  <w:noWrap w:val="0"/>
                  <w:vAlign w:val="center"/>
                </w:tcPr>
                <w:p w14:paraId="7F5494D5">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2"/>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pacing w:val="-2"/>
                      <w:highlight w:val="none"/>
                      <w:lang w:val="en-US" w:eastAsia="zh-CN"/>
                      <w14:textFill>
                        <w14:solidFill>
                          <w14:schemeClr w14:val="tx1"/>
                        </w14:solidFill>
                      </w14:textFill>
                    </w:rPr>
                    <w:t>4</w:t>
                  </w:r>
                </w:p>
              </w:tc>
              <w:tc>
                <w:tcPr>
                  <w:tcW w:w="1234" w:type="pct"/>
                  <w:noWrap w:val="0"/>
                  <w:vAlign w:val="center"/>
                </w:tcPr>
                <w:p w14:paraId="774BBABA">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cs="Times New Roman"/>
                      <w:color w:val="000000" w:themeColor="text1"/>
                      <w:spacing w:val="-2"/>
                      <w:highlight w:val="none"/>
                      <w:lang w:val="en-US"/>
                      <w14:textFill>
                        <w14:solidFill>
                          <w14:schemeClr w14:val="tx1"/>
                        </w14:solidFill>
                      </w14:textFill>
                    </w:rPr>
                  </w:pPr>
                  <w:r>
                    <w:rPr>
                      <w:rFonts w:hint="default" w:ascii="Times New Roman" w:hAnsi="Times New Roman" w:cs="Times New Roman"/>
                      <w:color w:val="000000" w:themeColor="text1"/>
                      <w:spacing w:val="-2"/>
                      <w:highlight w:val="none"/>
                      <w14:textFill>
                        <w14:solidFill>
                          <w14:schemeClr w14:val="tx1"/>
                        </w14:solidFill>
                      </w14:textFill>
                    </w:rPr>
                    <w:t>排放</w:t>
                  </w:r>
                  <w:r>
                    <w:rPr>
                      <w:rFonts w:hint="default" w:ascii="Times New Roman" w:hAnsi="Times New Roman" w:cs="Times New Roman"/>
                      <w:color w:val="000000" w:themeColor="text1"/>
                      <w:spacing w:val="-2"/>
                      <w:highlight w:val="none"/>
                      <w:lang w:val="en-US" w:eastAsia="zh-CN"/>
                      <w14:textFill>
                        <w14:solidFill>
                          <w14:schemeClr w14:val="tx1"/>
                        </w14:solidFill>
                      </w14:textFill>
                    </w:rPr>
                    <w:t>废气氮氧化物</w:t>
                  </w:r>
                </w:p>
              </w:tc>
              <w:tc>
                <w:tcPr>
                  <w:tcW w:w="866" w:type="pct"/>
                  <w:noWrap w:val="0"/>
                  <w:vAlign w:val="center"/>
                </w:tcPr>
                <w:p w14:paraId="491F149C">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cs="Times New Roman"/>
                      <w:color w:val="000000" w:themeColor="text1"/>
                      <w:spacing w:val="-2"/>
                      <w:highlight w:val="none"/>
                      <w:lang w:val="en-US" w:eastAsia="zh-CN"/>
                      <w14:textFill>
                        <w14:solidFill>
                          <w14:schemeClr w14:val="tx1"/>
                        </w14:solidFill>
                      </w14:textFill>
                    </w:rPr>
                  </w:pPr>
                  <w:r>
                    <w:rPr>
                      <w:rFonts w:hint="default" w:ascii="Times New Roman" w:hAnsi="Times New Roman" w:cs="Times New Roman"/>
                      <w:color w:val="000000" w:themeColor="text1"/>
                      <w:spacing w:val="-2"/>
                      <w:highlight w:val="none"/>
                      <w:lang w:val="en-US" w:eastAsia="zh-CN"/>
                      <w14:textFill>
                        <w14:solidFill>
                          <w14:schemeClr w14:val="tx1"/>
                        </w14:solidFill>
                      </w14:textFill>
                    </w:rPr>
                    <w:t>94</w:t>
                  </w:r>
                </w:p>
              </w:tc>
              <w:tc>
                <w:tcPr>
                  <w:tcW w:w="706" w:type="pct"/>
                  <w:noWrap w:val="0"/>
                  <w:vAlign w:val="center"/>
                </w:tcPr>
                <w:p w14:paraId="7E81D128">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2"/>
                      <w:highlight w:val="none"/>
                      <w:lang w:val="en-US" w:eastAsia="zh-CN"/>
                      <w14:textFill>
                        <w14:solidFill>
                          <w14:schemeClr w14:val="tx1"/>
                        </w14:solidFill>
                      </w14:textFill>
                    </w:rPr>
                  </w:pPr>
                  <w:r>
                    <w:rPr>
                      <w:rFonts w:hint="default" w:ascii="Times New Roman" w:hAnsi="Times New Roman" w:cs="Times New Roman"/>
                      <w:color w:val="000000" w:themeColor="text1"/>
                      <w:spacing w:val="-2"/>
                      <w:highlight w:val="none"/>
                      <w:lang w:val="en-US" w:eastAsia="zh-CN"/>
                      <w14:textFill>
                        <w14:solidFill>
                          <w14:schemeClr w14:val="tx1"/>
                        </w14:solidFill>
                      </w14:textFill>
                    </w:rPr>
                    <w:t>/</w:t>
                  </w:r>
                </w:p>
              </w:tc>
            </w:tr>
            <w:tr w14:paraId="117F6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shd w:val="clear" w:color="auto" w:fill="auto"/>
                  <w:noWrap w:val="0"/>
                  <w:vAlign w:val="center"/>
                </w:tcPr>
                <w:p w14:paraId="601A60E0">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2"/>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pacing w:val="-2"/>
                      <w:highlight w:val="none"/>
                      <w:lang w:val="en-US" w:eastAsia="zh-CN"/>
                      <w14:textFill>
                        <w14:solidFill>
                          <w14:schemeClr w14:val="tx1"/>
                        </w14:solidFill>
                      </w14:textFill>
                    </w:rPr>
                    <w:t>5</w:t>
                  </w:r>
                </w:p>
              </w:tc>
              <w:tc>
                <w:tcPr>
                  <w:tcW w:w="638" w:type="pct"/>
                  <w:shd w:val="clear" w:color="auto" w:fill="auto"/>
                  <w:noWrap w:val="0"/>
                  <w:vAlign w:val="center"/>
                </w:tcPr>
                <w:p w14:paraId="65555B8B">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2"/>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pacing w:val="-2"/>
                      <w:highlight w:val="none"/>
                      <w:lang w:val="en-US" w:eastAsia="zh-CN"/>
                      <w14:textFill>
                        <w14:solidFill>
                          <w14:schemeClr w14:val="tx1"/>
                        </w14:solidFill>
                      </w14:textFill>
                    </w:rPr>
                    <w:t>/</w:t>
                  </w:r>
                </w:p>
              </w:tc>
              <w:tc>
                <w:tcPr>
                  <w:tcW w:w="669" w:type="pct"/>
                  <w:shd w:val="clear" w:color="auto" w:fill="auto"/>
                  <w:noWrap w:val="0"/>
                  <w:vAlign w:val="center"/>
                </w:tcPr>
                <w:p w14:paraId="7959BD35">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2"/>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pacing w:val="-2"/>
                      <w:highlight w:val="none"/>
                      <w:lang w:val="en-US" w:eastAsia="zh-CN"/>
                      <w14:textFill>
                        <w14:solidFill>
                          <w14:schemeClr w14:val="tx1"/>
                        </w14:solidFill>
                      </w14:textFill>
                    </w:rPr>
                    <w:t>/</w:t>
                  </w:r>
                </w:p>
              </w:tc>
              <w:tc>
                <w:tcPr>
                  <w:tcW w:w="492" w:type="pct"/>
                  <w:shd w:val="clear" w:color="auto" w:fill="auto"/>
                  <w:noWrap w:val="0"/>
                  <w:vAlign w:val="center"/>
                </w:tcPr>
                <w:p w14:paraId="6683EF24">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2"/>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pacing w:val="-2"/>
                      <w:highlight w:val="none"/>
                      <w:lang w:val="en-US" w:eastAsia="zh-CN"/>
                      <w14:textFill>
                        <w14:solidFill>
                          <w14:schemeClr w14:val="tx1"/>
                        </w14:solidFill>
                      </w14:textFill>
                    </w:rPr>
                    <w:t>5</w:t>
                  </w:r>
                </w:p>
              </w:tc>
              <w:tc>
                <w:tcPr>
                  <w:tcW w:w="1234" w:type="pct"/>
                  <w:shd w:val="clear" w:color="auto" w:fill="auto"/>
                  <w:noWrap w:val="0"/>
                  <w:vAlign w:val="center"/>
                </w:tcPr>
                <w:p w14:paraId="26B00537">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2"/>
                      <w:kern w:val="2"/>
                      <w:sz w:val="21"/>
                      <w:szCs w:val="21"/>
                      <w:highlight w:val="none"/>
                      <w:lang w:val="en-US" w:eastAsia="en-US" w:bidi="ar-SA"/>
                      <w14:textFill>
                        <w14:solidFill>
                          <w14:schemeClr w14:val="tx1"/>
                        </w14:solidFill>
                      </w14:textFill>
                    </w:rPr>
                  </w:pPr>
                  <w:r>
                    <w:rPr>
                      <w:rFonts w:hint="default" w:ascii="Times New Roman" w:hAnsi="Times New Roman" w:cs="Times New Roman"/>
                      <w:color w:val="000000" w:themeColor="text1"/>
                      <w:spacing w:val="1"/>
                      <w:highlight w:val="none"/>
                      <w14:textFill>
                        <w14:solidFill>
                          <w14:schemeClr w14:val="tx1"/>
                        </w14:solidFill>
                      </w14:textFill>
                    </w:rPr>
                    <w:t>煅烧蒸发水蒸气</w:t>
                  </w:r>
                </w:p>
              </w:tc>
              <w:tc>
                <w:tcPr>
                  <w:tcW w:w="866" w:type="pct"/>
                  <w:shd w:val="clear" w:color="auto" w:fill="auto"/>
                  <w:noWrap w:val="0"/>
                  <w:vAlign w:val="center"/>
                </w:tcPr>
                <w:p w14:paraId="2D67D7F2">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2"/>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pacing w:val="-2"/>
                      <w:highlight w:val="none"/>
                      <w:lang w:val="en-US" w:eastAsia="zh-CN"/>
                      <w14:textFill>
                        <w14:solidFill>
                          <w14:schemeClr w14:val="tx1"/>
                        </w14:solidFill>
                      </w14:textFill>
                    </w:rPr>
                    <w:t>1861</w:t>
                  </w:r>
                  <w:r>
                    <w:rPr>
                      <w:rFonts w:hint="default" w:ascii="Times New Roman" w:hAnsi="Times New Roman" w:cs="Times New Roman"/>
                      <w:color w:val="000000" w:themeColor="text1"/>
                      <w:spacing w:val="-2"/>
                      <w:highlight w:val="none"/>
                      <w:lang w:val="en-US" w:eastAsia="zh-CN"/>
                      <w14:textFill>
                        <w14:solidFill>
                          <w14:schemeClr w14:val="tx1"/>
                        </w14:solidFill>
                      </w14:textFill>
                    </w:rPr>
                    <w:t>1.8</w:t>
                  </w:r>
                </w:p>
              </w:tc>
              <w:tc>
                <w:tcPr>
                  <w:tcW w:w="706" w:type="pct"/>
                  <w:noWrap w:val="0"/>
                  <w:vAlign w:val="center"/>
                </w:tcPr>
                <w:p w14:paraId="6E424237">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2"/>
                      <w:highlight w:val="none"/>
                      <w:lang w:val="en-US" w:eastAsia="zh-CN"/>
                      <w14:textFill>
                        <w14:solidFill>
                          <w14:schemeClr w14:val="tx1"/>
                        </w14:solidFill>
                      </w14:textFill>
                    </w:rPr>
                  </w:pPr>
                  <w:r>
                    <w:rPr>
                      <w:rFonts w:hint="default" w:ascii="Times New Roman" w:hAnsi="Times New Roman" w:cs="Times New Roman"/>
                      <w:color w:val="000000" w:themeColor="text1"/>
                      <w:spacing w:val="-2"/>
                      <w:highlight w:val="none"/>
                      <w:lang w:val="en-US" w:eastAsia="zh-CN"/>
                      <w14:textFill>
                        <w14:solidFill>
                          <w14:schemeClr w14:val="tx1"/>
                        </w14:solidFill>
                      </w14:textFill>
                    </w:rPr>
                    <w:t>/</w:t>
                  </w:r>
                </w:p>
              </w:tc>
            </w:tr>
            <w:tr w14:paraId="446C7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shd w:val="clear" w:color="auto" w:fill="auto"/>
                  <w:noWrap w:val="0"/>
                  <w:vAlign w:val="center"/>
                </w:tcPr>
                <w:p w14:paraId="42620C0A">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2"/>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pacing w:val="-2"/>
                      <w:highlight w:val="none"/>
                      <w:lang w:val="en-US" w:eastAsia="zh-CN"/>
                      <w14:textFill>
                        <w14:solidFill>
                          <w14:schemeClr w14:val="tx1"/>
                        </w14:solidFill>
                      </w14:textFill>
                    </w:rPr>
                    <w:t>6</w:t>
                  </w:r>
                </w:p>
              </w:tc>
              <w:tc>
                <w:tcPr>
                  <w:tcW w:w="638" w:type="pct"/>
                  <w:shd w:val="clear" w:color="auto" w:fill="auto"/>
                  <w:noWrap w:val="0"/>
                  <w:vAlign w:val="center"/>
                </w:tcPr>
                <w:p w14:paraId="27AEC823">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2"/>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pacing w:val="-2"/>
                      <w:highlight w:val="none"/>
                      <w:lang w:val="en-US" w:eastAsia="zh-CN"/>
                      <w14:textFill>
                        <w14:solidFill>
                          <w14:schemeClr w14:val="tx1"/>
                        </w14:solidFill>
                      </w14:textFill>
                    </w:rPr>
                    <w:t>/</w:t>
                  </w:r>
                </w:p>
              </w:tc>
              <w:tc>
                <w:tcPr>
                  <w:tcW w:w="669" w:type="pct"/>
                  <w:shd w:val="clear" w:color="auto" w:fill="auto"/>
                  <w:noWrap w:val="0"/>
                  <w:vAlign w:val="center"/>
                </w:tcPr>
                <w:p w14:paraId="4303C424">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2"/>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pacing w:val="-2"/>
                      <w:highlight w:val="none"/>
                      <w:lang w:val="en-US" w:eastAsia="zh-CN"/>
                      <w14:textFill>
                        <w14:solidFill>
                          <w14:schemeClr w14:val="tx1"/>
                        </w14:solidFill>
                      </w14:textFill>
                    </w:rPr>
                    <w:t>/</w:t>
                  </w:r>
                </w:p>
              </w:tc>
              <w:tc>
                <w:tcPr>
                  <w:tcW w:w="492" w:type="pct"/>
                  <w:shd w:val="clear" w:color="auto" w:fill="auto"/>
                  <w:noWrap w:val="0"/>
                  <w:vAlign w:val="center"/>
                </w:tcPr>
                <w:p w14:paraId="60B28D57">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2"/>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pacing w:val="-2"/>
                      <w:highlight w:val="none"/>
                      <w:lang w:val="en-US" w:eastAsia="zh-CN"/>
                      <w14:textFill>
                        <w14:solidFill>
                          <w14:schemeClr w14:val="tx1"/>
                        </w14:solidFill>
                      </w14:textFill>
                    </w:rPr>
                    <w:t>6</w:t>
                  </w:r>
                </w:p>
              </w:tc>
              <w:tc>
                <w:tcPr>
                  <w:tcW w:w="1234" w:type="pct"/>
                  <w:noWrap w:val="0"/>
                  <w:vAlign w:val="center"/>
                </w:tcPr>
                <w:p w14:paraId="52F40E59">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2"/>
                      <w:highlight w:val="none"/>
                      <w:lang w:eastAsia="zh-CN"/>
                      <w14:textFill>
                        <w14:solidFill>
                          <w14:schemeClr w14:val="tx1"/>
                        </w14:solidFill>
                      </w14:textFill>
                    </w:rPr>
                  </w:pPr>
                  <w:r>
                    <w:rPr>
                      <w:rFonts w:hint="default" w:ascii="Times New Roman" w:hAnsi="Times New Roman" w:cs="Times New Roman"/>
                      <w:color w:val="000000" w:themeColor="text1"/>
                      <w:spacing w:val="-2"/>
                      <w:highlight w:val="none"/>
                      <w14:textFill>
                        <w14:solidFill>
                          <w14:schemeClr w14:val="tx1"/>
                        </w14:solidFill>
                      </w14:textFill>
                    </w:rPr>
                    <w:t>烧失量</w:t>
                  </w:r>
                </w:p>
              </w:tc>
              <w:tc>
                <w:tcPr>
                  <w:tcW w:w="866" w:type="pct"/>
                  <w:noWrap w:val="0"/>
                  <w:vAlign w:val="center"/>
                </w:tcPr>
                <w:p w14:paraId="355CCCAD">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2"/>
                      <w:highlight w:val="none"/>
                      <w:lang w:val="en-US"/>
                      <w14:textFill>
                        <w14:solidFill>
                          <w14:schemeClr w14:val="tx1"/>
                        </w14:solidFill>
                      </w14:textFill>
                    </w:rPr>
                  </w:pPr>
                  <w:r>
                    <w:rPr>
                      <w:rFonts w:hint="default" w:ascii="Times New Roman" w:hAnsi="Times New Roman" w:cs="Times New Roman"/>
                      <w:color w:val="000000" w:themeColor="text1"/>
                      <w:spacing w:val="-2"/>
                      <w:highlight w:val="none"/>
                      <w:lang w:val="en-US" w:eastAsia="zh-CN"/>
                      <w14:textFill>
                        <w14:solidFill>
                          <w14:schemeClr w14:val="tx1"/>
                        </w14:solidFill>
                      </w14:textFill>
                    </w:rPr>
                    <w:t>59692</w:t>
                  </w:r>
                </w:p>
              </w:tc>
              <w:tc>
                <w:tcPr>
                  <w:tcW w:w="706" w:type="pct"/>
                  <w:noWrap w:val="0"/>
                  <w:vAlign w:val="center"/>
                </w:tcPr>
                <w:p w14:paraId="6FD0F7E3">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2"/>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2"/>
                      <w:highlight w:val="none"/>
                      <w:lang w:val="en-US" w:eastAsia="zh-CN"/>
                      <w14:textFill>
                        <w14:solidFill>
                          <w14:schemeClr w14:val="tx1"/>
                        </w14:solidFill>
                      </w14:textFill>
                    </w:rPr>
                    <w:t>/</w:t>
                  </w:r>
                </w:p>
              </w:tc>
            </w:tr>
            <w:tr w14:paraId="0DB66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14:paraId="15CC1230">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2"/>
                      <w:highlight w:val="none"/>
                      <w:lang w:val="en-US" w:eastAsia="zh-CN"/>
                      <w14:textFill>
                        <w14:solidFill>
                          <w14:schemeClr w14:val="tx1"/>
                        </w14:solidFill>
                      </w14:textFill>
                    </w:rPr>
                  </w:pPr>
                  <w:r>
                    <w:rPr>
                      <w:rFonts w:hint="default" w:ascii="Times New Roman" w:hAnsi="Times New Roman" w:cs="Times New Roman"/>
                      <w:color w:val="000000" w:themeColor="text1"/>
                      <w:spacing w:val="-2"/>
                      <w:highlight w:val="none"/>
                      <w:lang w:val="en-US" w:eastAsia="zh-CN"/>
                      <w14:textFill>
                        <w14:solidFill>
                          <w14:schemeClr w14:val="tx1"/>
                        </w14:solidFill>
                      </w14:textFill>
                    </w:rPr>
                    <w:t>7</w:t>
                  </w:r>
                </w:p>
              </w:tc>
              <w:tc>
                <w:tcPr>
                  <w:tcW w:w="638" w:type="pct"/>
                  <w:noWrap w:val="0"/>
                  <w:vAlign w:val="center"/>
                </w:tcPr>
                <w:p w14:paraId="20C4E228">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2"/>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2"/>
                      <w:highlight w:val="none"/>
                      <w:lang w:val="en-US" w:eastAsia="zh-CN"/>
                      <w14:textFill>
                        <w14:solidFill>
                          <w14:schemeClr w14:val="tx1"/>
                        </w14:solidFill>
                      </w14:textFill>
                    </w:rPr>
                    <w:t>/</w:t>
                  </w:r>
                </w:p>
              </w:tc>
              <w:tc>
                <w:tcPr>
                  <w:tcW w:w="669" w:type="pct"/>
                  <w:noWrap w:val="0"/>
                  <w:vAlign w:val="center"/>
                </w:tcPr>
                <w:p w14:paraId="5A21F6D0">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2"/>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2"/>
                      <w:highlight w:val="none"/>
                      <w:lang w:val="en-US" w:eastAsia="zh-CN"/>
                      <w14:textFill>
                        <w14:solidFill>
                          <w14:schemeClr w14:val="tx1"/>
                        </w14:solidFill>
                      </w14:textFill>
                    </w:rPr>
                    <w:t>/</w:t>
                  </w:r>
                </w:p>
              </w:tc>
              <w:tc>
                <w:tcPr>
                  <w:tcW w:w="492" w:type="pct"/>
                  <w:noWrap w:val="0"/>
                  <w:vAlign w:val="center"/>
                </w:tcPr>
                <w:p w14:paraId="4E14D1DA">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2"/>
                      <w:highlight w:val="none"/>
                      <w:lang w:val="en-US" w:eastAsia="zh-CN"/>
                      <w14:textFill>
                        <w14:solidFill>
                          <w14:schemeClr w14:val="tx1"/>
                        </w14:solidFill>
                      </w14:textFill>
                    </w:rPr>
                  </w:pPr>
                  <w:r>
                    <w:rPr>
                      <w:rFonts w:hint="default" w:ascii="Times New Roman" w:hAnsi="Times New Roman" w:cs="Times New Roman"/>
                      <w:color w:val="000000" w:themeColor="text1"/>
                      <w:spacing w:val="-2"/>
                      <w:highlight w:val="none"/>
                      <w:lang w:val="en-US" w:eastAsia="zh-CN"/>
                      <w14:textFill>
                        <w14:solidFill>
                          <w14:schemeClr w14:val="tx1"/>
                        </w14:solidFill>
                      </w14:textFill>
                    </w:rPr>
                    <w:t>7</w:t>
                  </w:r>
                </w:p>
              </w:tc>
              <w:tc>
                <w:tcPr>
                  <w:tcW w:w="1234" w:type="pct"/>
                  <w:noWrap w:val="0"/>
                  <w:vAlign w:val="center"/>
                </w:tcPr>
                <w:p w14:paraId="05A874C9">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2"/>
                      <w:highlight w:val="none"/>
                      <w:lang w:eastAsia="zh-CN"/>
                      <w14:textFill>
                        <w14:solidFill>
                          <w14:schemeClr w14:val="tx1"/>
                        </w14:solidFill>
                      </w14:textFill>
                    </w:rPr>
                  </w:pPr>
                  <w:r>
                    <w:rPr>
                      <w:rFonts w:hint="default" w:ascii="Times New Roman" w:hAnsi="Times New Roman" w:cs="Times New Roman"/>
                      <w:color w:val="000000" w:themeColor="text1"/>
                      <w:spacing w:val="3"/>
                      <w:highlight w:val="none"/>
                      <w:lang w:val="en-US" w:eastAsia="zh-CN"/>
                      <w14:textFill>
                        <w14:solidFill>
                          <w14:schemeClr w14:val="tx1"/>
                        </w14:solidFill>
                      </w14:textFill>
                    </w:rPr>
                    <w:t>除尘灰</w:t>
                  </w:r>
                </w:p>
              </w:tc>
              <w:tc>
                <w:tcPr>
                  <w:tcW w:w="866" w:type="pct"/>
                  <w:noWrap w:val="0"/>
                  <w:vAlign w:val="center"/>
                </w:tcPr>
                <w:p w14:paraId="78E02EC7">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2"/>
                      <w:highlight w:val="none"/>
                      <w:lang w:val="en-US" w:eastAsia="zh-CN"/>
                      <w14:textFill>
                        <w14:solidFill>
                          <w14:schemeClr w14:val="tx1"/>
                        </w14:solidFill>
                      </w14:textFill>
                    </w:rPr>
                  </w:pPr>
                  <w:r>
                    <w:rPr>
                      <w:rFonts w:hint="default" w:ascii="Times New Roman" w:hAnsi="Times New Roman" w:cs="Times New Roman"/>
                      <w:color w:val="000000" w:themeColor="text1"/>
                      <w:spacing w:val="-2"/>
                      <w:highlight w:val="none"/>
                      <w:lang w:val="en-US" w:eastAsia="zh-CN"/>
                      <w14:textFill>
                        <w14:solidFill>
                          <w14:schemeClr w14:val="tx1"/>
                        </w14:solidFill>
                      </w14:textFill>
                    </w:rPr>
                    <w:t>1094.85</w:t>
                  </w:r>
                </w:p>
              </w:tc>
              <w:tc>
                <w:tcPr>
                  <w:tcW w:w="706" w:type="pct"/>
                  <w:vMerge w:val="restart"/>
                  <w:noWrap w:val="0"/>
                  <w:vAlign w:val="center"/>
                </w:tcPr>
                <w:p w14:paraId="67994A10">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2"/>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2"/>
                      <w:highlight w:val="none"/>
                      <w:lang w:val="en-US" w:eastAsia="zh-CN"/>
                      <w14:textFill>
                        <w14:solidFill>
                          <w14:schemeClr w14:val="tx1"/>
                        </w14:solidFill>
                      </w14:textFill>
                    </w:rPr>
                    <w:t>作为建筑</w:t>
                  </w:r>
                </w:p>
                <w:p w14:paraId="0AA7C577">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2"/>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2"/>
                      <w:highlight w:val="none"/>
                      <w:lang w:val="en-US" w:eastAsia="zh-CN"/>
                      <w14:textFill>
                        <w14:solidFill>
                          <w14:schemeClr w14:val="tx1"/>
                        </w14:solidFill>
                      </w14:textFill>
                    </w:rPr>
                    <w:t>材料外售</w:t>
                  </w:r>
                </w:p>
              </w:tc>
            </w:tr>
            <w:tr w14:paraId="72E56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14:paraId="778D4BDA">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2"/>
                      <w:highlight w:val="none"/>
                      <w:lang w:val="en-US" w:eastAsia="zh-CN"/>
                      <w14:textFill>
                        <w14:solidFill>
                          <w14:schemeClr w14:val="tx1"/>
                        </w14:solidFill>
                      </w14:textFill>
                    </w:rPr>
                  </w:pPr>
                  <w:r>
                    <w:rPr>
                      <w:rFonts w:hint="default" w:ascii="Times New Roman" w:hAnsi="Times New Roman" w:cs="Times New Roman"/>
                      <w:color w:val="000000" w:themeColor="text1"/>
                      <w:spacing w:val="-2"/>
                      <w:highlight w:val="none"/>
                      <w:lang w:val="en-US" w:eastAsia="zh-CN"/>
                      <w14:textFill>
                        <w14:solidFill>
                          <w14:schemeClr w14:val="tx1"/>
                        </w14:solidFill>
                      </w14:textFill>
                    </w:rPr>
                    <w:t>8</w:t>
                  </w:r>
                </w:p>
              </w:tc>
              <w:tc>
                <w:tcPr>
                  <w:tcW w:w="638" w:type="pct"/>
                  <w:noWrap w:val="0"/>
                  <w:vAlign w:val="center"/>
                </w:tcPr>
                <w:p w14:paraId="0A389A17">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2"/>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2"/>
                      <w:highlight w:val="none"/>
                      <w:lang w:val="en-US" w:eastAsia="zh-CN"/>
                      <w14:textFill>
                        <w14:solidFill>
                          <w14:schemeClr w14:val="tx1"/>
                        </w14:solidFill>
                      </w14:textFill>
                    </w:rPr>
                    <w:t>/</w:t>
                  </w:r>
                </w:p>
              </w:tc>
              <w:tc>
                <w:tcPr>
                  <w:tcW w:w="669" w:type="pct"/>
                  <w:noWrap w:val="0"/>
                  <w:vAlign w:val="center"/>
                </w:tcPr>
                <w:p w14:paraId="2A51634F">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2"/>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2"/>
                      <w:highlight w:val="none"/>
                      <w:lang w:val="en-US" w:eastAsia="zh-CN"/>
                      <w14:textFill>
                        <w14:solidFill>
                          <w14:schemeClr w14:val="tx1"/>
                        </w14:solidFill>
                      </w14:textFill>
                    </w:rPr>
                    <w:t>/</w:t>
                  </w:r>
                </w:p>
              </w:tc>
              <w:tc>
                <w:tcPr>
                  <w:tcW w:w="492" w:type="pct"/>
                  <w:noWrap w:val="0"/>
                  <w:vAlign w:val="center"/>
                </w:tcPr>
                <w:p w14:paraId="47A75D49">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2"/>
                      <w:highlight w:val="none"/>
                      <w:lang w:val="en-US" w:eastAsia="zh-CN"/>
                      <w14:textFill>
                        <w14:solidFill>
                          <w14:schemeClr w14:val="tx1"/>
                        </w14:solidFill>
                      </w14:textFill>
                    </w:rPr>
                  </w:pPr>
                  <w:r>
                    <w:rPr>
                      <w:rFonts w:hint="default" w:ascii="Times New Roman" w:hAnsi="Times New Roman" w:cs="Times New Roman"/>
                      <w:color w:val="000000" w:themeColor="text1"/>
                      <w:spacing w:val="-2"/>
                      <w:highlight w:val="none"/>
                      <w:lang w:val="en-US" w:eastAsia="zh-CN"/>
                      <w14:textFill>
                        <w14:solidFill>
                          <w14:schemeClr w14:val="tx1"/>
                        </w14:solidFill>
                      </w14:textFill>
                    </w:rPr>
                    <w:t>8</w:t>
                  </w:r>
                </w:p>
              </w:tc>
              <w:tc>
                <w:tcPr>
                  <w:tcW w:w="1234" w:type="pct"/>
                  <w:noWrap w:val="0"/>
                  <w:vAlign w:val="center"/>
                </w:tcPr>
                <w:p w14:paraId="07EE1979">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3"/>
                      <w:highlight w:val="none"/>
                      <w:lang w:val="en-US" w:eastAsia="zh-CN"/>
                      <w14:textFill>
                        <w14:solidFill>
                          <w14:schemeClr w14:val="tx1"/>
                        </w14:solidFill>
                      </w14:textFill>
                    </w:rPr>
                  </w:pPr>
                  <w:r>
                    <w:rPr>
                      <w:rFonts w:hint="default" w:ascii="Times New Roman" w:hAnsi="Times New Roman" w:cs="Times New Roman"/>
                      <w:color w:val="000000" w:themeColor="text1"/>
                      <w:spacing w:val="3"/>
                      <w:highlight w:val="none"/>
                      <w:lang w:val="en-US" w:eastAsia="zh-CN"/>
                      <w14:textFill>
                        <w14:solidFill>
                          <w14:schemeClr w14:val="tx1"/>
                        </w14:solidFill>
                      </w14:textFill>
                    </w:rPr>
                    <w:t>不合格品（黄料）</w:t>
                  </w:r>
                </w:p>
              </w:tc>
              <w:tc>
                <w:tcPr>
                  <w:tcW w:w="866" w:type="pct"/>
                  <w:noWrap w:val="0"/>
                  <w:vAlign w:val="center"/>
                </w:tcPr>
                <w:p w14:paraId="0C8D87A7">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2"/>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2"/>
                      <w:highlight w:val="none"/>
                      <w:lang w:val="en-US" w:eastAsia="zh-CN"/>
                      <w14:textFill>
                        <w14:solidFill>
                          <w14:schemeClr w14:val="tx1"/>
                        </w14:solidFill>
                      </w14:textFill>
                    </w:rPr>
                    <w:t>10526</w:t>
                  </w:r>
                </w:p>
              </w:tc>
              <w:tc>
                <w:tcPr>
                  <w:tcW w:w="706" w:type="pct"/>
                  <w:vMerge w:val="continue"/>
                  <w:noWrap w:val="0"/>
                  <w:vAlign w:val="center"/>
                </w:tcPr>
                <w:p w14:paraId="71AD9ECA">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2"/>
                      <w:highlight w:val="none"/>
                      <w14:textFill>
                        <w14:solidFill>
                          <w14:schemeClr w14:val="tx1"/>
                        </w14:solidFill>
                      </w14:textFill>
                    </w:rPr>
                  </w:pPr>
                </w:p>
              </w:tc>
            </w:tr>
            <w:tr w14:paraId="21D87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0" w:type="pct"/>
                  <w:gridSpan w:val="2"/>
                  <w:noWrap w:val="0"/>
                  <w:vAlign w:val="center"/>
                </w:tcPr>
                <w:p w14:paraId="1D06A46E">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2"/>
                      <w:highlight w:val="none"/>
                      <w14:textFill>
                        <w14:solidFill>
                          <w14:schemeClr w14:val="tx1"/>
                        </w14:solidFill>
                      </w14:textFill>
                    </w:rPr>
                  </w:pPr>
                  <w:r>
                    <w:rPr>
                      <w:rFonts w:hint="default" w:ascii="Times New Roman" w:hAnsi="Times New Roman" w:eastAsia="宋体" w:cs="Times New Roman"/>
                      <w:color w:val="000000" w:themeColor="text1"/>
                      <w:spacing w:val="-2"/>
                      <w:highlight w:val="none"/>
                      <w:lang w:val="en-US" w:eastAsia="zh-CN"/>
                      <w14:textFill>
                        <w14:solidFill>
                          <w14:schemeClr w14:val="tx1"/>
                        </w14:solidFill>
                      </w14:textFill>
                    </w:rPr>
                    <w:t>合计</w:t>
                  </w:r>
                </w:p>
              </w:tc>
              <w:tc>
                <w:tcPr>
                  <w:tcW w:w="669" w:type="pct"/>
                  <w:noWrap w:val="0"/>
                  <w:vAlign w:val="center"/>
                </w:tcPr>
                <w:p w14:paraId="070098E1">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2"/>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2"/>
                      <w:highlight w:val="none"/>
                      <w:lang w:val="en-US" w:eastAsia="zh-CN"/>
                      <w14:textFill>
                        <w14:solidFill>
                          <w14:schemeClr w14:val="tx1"/>
                        </w14:solidFill>
                      </w14:textFill>
                    </w:rPr>
                    <w:t>28</w:t>
                  </w:r>
                  <w:r>
                    <w:rPr>
                      <w:rFonts w:hint="default" w:ascii="Times New Roman" w:hAnsi="Times New Roman" w:cs="Times New Roman"/>
                      <w:color w:val="000000" w:themeColor="text1"/>
                      <w:spacing w:val="-2"/>
                      <w:highlight w:val="none"/>
                      <w:lang w:val="en-US" w:eastAsia="zh-CN"/>
                      <w14:textFill>
                        <w14:solidFill>
                          <w14:schemeClr w14:val="tx1"/>
                        </w14:solidFill>
                      </w14:textFill>
                    </w:rPr>
                    <w:t>6069.15</w:t>
                  </w:r>
                </w:p>
              </w:tc>
              <w:tc>
                <w:tcPr>
                  <w:tcW w:w="1726" w:type="pct"/>
                  <w:gridSpan w:val="2"/>
                  <w:noWrap w:val="0"/>
                  <w:vAlign w:val="center"/>
                </w:tcPr>
                <w:p w14:paraId="44BDA450">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2"/>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2"/>
                      <w:highlight w:val="none"/>
                      <w:lang w:val="en-US" w:eastAsia="zh-CN"/>
                      <w14:textFill>
                        <w14:solidFill>
                          <w14:schemeClr w14:val="tx1"/>
                        </w14:solidFill>
                      </w14:textFill>
                    </w:rPr>
                    <w:t>合计</w:t>
                  </w:r>
                </w:p>
              </w:tc>
              <w:tc>
                <w:tcPr>
                  <w:tcW w:w="866" w:type="pct"/>
                  <w:noWrap w:val="0"/>
                  <w:vAlign w:val="center"/>
                </w:tcPr>
                <w:p w14:paraId="199C3CF5">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2"/>
                      <w:highlight w:val="none"/>
                      <w:lang w:val="en-US"/>
                      <w14:textFill>
                        <w14:solidFill>
                          <w14:schemeClr w14:val="tx1"/>
                        </w14:solidFill>
                      </w14:textFill>
                    </w:rPr>
                  </w:pPr>
                  <w:r>
                    <w:rPr>
                      <w:rFonts w:hint="default" w:ascii="Times New Roman" w:hAnsi="Times New Roman" w:eastAsia="宋体" w:cs="Times New Roman"/>
                      <w:color w:val="000000" w:themeColor="text1"/>
                      <w:spacing w:val="-2"/>
                      <w:highlight w:val="none"/>
                      <w:lang w:val="en-US" w:eastAsia="zh-CN"/>
                      <w14:textFill>
                        <w14:solidFill>
                          <w14:schemeClr w14:val="tx1"/>
                        </w14:solidFill>
                      </w14:textFill>
                    </w:rPr>
                    <w:t>28</w:t>
                  </w:r>
                  <w:r>
                    <w:rPr>
                      <w:rFonts w:hint="default" w:ascii="Times New Roman" w:hAnsi="Times New Roman" w:cs="Times New Roman"/>
                      <w:color w:val="000000" w:themeColor="text1"/>
                      <w:spacing w:val="-2"/>
                      <w:highlight w:val="none"/>
                      <w:lang w:val="en-US" w:eastAsia="zh-CN"/>
                      <w14:textFill>
                        <w14:solidFill>
                          <w14:schemeClr w14:val="tx1"/>
                        </w14:solidFill>
                      </w14:textFill>
                    </w:rPr>
                    <w:t>6069.15</w:t>
                  </w:r>
                </w:p>
              </w:tc>
              <w:tc>
                <w:tcPr>
                  <w:tcW w:w="706" w:type="pct"/>
                  <w:noWrap w:val="0"/>
                  <w:vAlign w:val="center"/>
                </w:tcPr>
                <w:p w14:paraId="16D7F018">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2"/>
                      <w:highlight w:val="none"/>
                      <w14:textFill>
                        <w14:solidFill>
                          <w14:schemeClr w14:val="tx1"/>
                        </w14:solidFill>
                      </w14:textFill>
                    </w:rPr>
                  </w:pPr>
                  <w:r>
                    <w:rPr>
                      <w:rFonts w:hint="default" w:ascii="Times New Roman" w:hAnsi="Times New Roman" w:eastAsia="宋体" w:cs="Times New Roman"/>
                      <w:color w:val="000000" w:themeColor="text1"/>
                      <w:spacing w:val="-2"/>
                      <w:highlight w:val="none"/>
                      <w:lang w:val="en-US" w:eastAsia="zh-CN"/>
                      <w14:textFill>
                        <w14:solidFill>
                          <w14:schemeClr w14:val="tx1"/>
                        </w14:solidFill>
                      </w14:textFill>
                    </w:rPr>
                    <w:t>/</w:t>
                  </w:r>
                </w:p>
              </w:tc>
            </w:tr>
            <w:tr w14:paraId="7C25F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0" w:type="pct"/>
                  <w:gridSpan w:val="2"/>
                  <w:noWrap w:val="0"/>
                  <w:vAlign w:val="center"/>
                </w:tcPr>
                <w:p w14:paraId="29A86166">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2"/>
                      <w:highlight w:val="none"/>
                      <w:lang w:val="en-US" w:eastAsia="zh-CN"/>
                      <w14:textFill>
                        <w14:solidFill>
                          <w14:schemeClr w14:val="tx1"/>
                        </w14:solidFill>
                      </w14:textFill>
                    </w:rPr>
                  </w:pPr>
                </w:p>
              </w:tc>
              <w:tc>
                <w:tcPr>
                  <w:tcW w:w="669" w:type="pct"/>
                  <w:noWrap w:val="0"/>
                  <w:vAlign w:val="center"/>
                </w:tcPr>
                <w:p w14:paraId="3EA42376">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2"/>
                      <w:highlight w:val="none"/>
                      <w:lang w:val="en-US" w:eastAsia="zh-CN"/>
                      <w14:textFill>
                        <w14:solidFill>
                          <w14:schemeClr w14:val="tx1"/>
                        </w14:solidFill>
                      </w14:textFill>
                    </w:rPr>
                  </w:pPr>
                </w:p>
              </w:tc>
              <w:tc>
                <w:tcPr>
                  <w:tcW w:w="1726" w:type="pct"/>
                  <w:gridSpan w:val="2"/>
                  <w:noWrap w:val="0"/>
                  <w:vAlign w:val="center"/>
                </w:tcPr>
                <w:p w14:paraId="0473FFC2">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2"/>
                      <w:highlight w:val="none"/>
                      <w:lang w:val="en-US" w:eastAsia="zh-CN"/>
                      <w14:textFill>
                        <w14:solidFill>
                          <w14:schemeClr w14:val="tx1"/>
                        </w14:solidFill>
                      </w14:textFill>
                    </w:rPr>
                  </w:pPr>
                </w:p>
              </w:tc>
              <w:tc>
                <w:tcPr>
                  <w:tcW w:w="866" w:type="pct"/>
                  <w:noWrap w:val="0"/>
                  <w:vAlign w:val="center"/>
                </w:tcPr>
                <w:p w14:paraId="37F7A71D">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2"/>
                      <w:highlight w:val="none"/>
                      <w:lang w:val="en-US" w:eastAsia="zh-CN"/>
                      <w14:textFill>
                        <w14:solidFill>
                          <w14:schemeClr w14:val="tx1"/>
                        </w14:solidFill>
                      </w14:textFill>
                    </w:rPr>
                  </w:pPr>
                </w:p>
              </w:tc>
              <w:tc>
                <w:tcPr>
                  <w:tcW w:w="706" w:type="pct"/>
                  <w:noWrap w:val="0"/>
                  <w:vAlign w:val="center"/>
                </w:tcPr>
                <w:p w14:paraId="13D12D97">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2"/>
                      <w:highlight w:val="none"/>
                      <w:lang w:val="en-US" w:eastAsia="zh-CN"/>
                      <w14:textFill>
                        <w14:solidFill>
                          <w14:schemeClr w14:val="tx1"/>
                        </w14:solidFill>
                      </w14:textFill>
                    </w:rPr>
                  </w:pPr>
                </w:p>
              </w:tc>
            </w:tr>
          </w:tbl>
          <w:p w14:paraId="1A120CBA">
            <w:pPr>
              <w:pStyle w:val="88"/>
              <w:widowControl/>
              <w:adjustRightInd/>
              <w:snapToGrid w:val="0"/>
              <w:spacing w:before="120" w:beforeLines="50" w:line="360" w:lineRule="auto"/>
              <w:ind w:firstLineChars="200"/>
              <w:jc w:val="both"/>
              <w:rPr>
                <w:rFonts w:hint="default" w:ascii="Times New Roman" w:hAnsi="Times New Roman" w:cs="Times New Roman"/>
                <w:b w:val="0"/>
                <w:bCs w:val="0"/>
                <w:color w:val="000000" w:themeColor="text1"/>
                <w:spacing w:val="-2"/>
                <w:position w:val="-1"/>
                <w:highlight w:val="none"/>
                <w14:textFill>
                  <w14:solidFill>
                    <w14:schemeClr w14:val="tx1"/>
                  </w14:solidFill>
                </w14:textFill>
              </w:rPr>
            </w:pPr>
            <w:r>
              <w:rPr>
                <w:rFonts w:hint="default" w:ascii="Times New Roman" w:hAnsi="Times New Roman" w:cs="Times New Roman"/>
                <w:b w:val="0"/>
                <w:bCs w:val="0"/>
                <w:color w:val="000000" w:themeColor="text1"/>
                <w:spacing w:val="-2"/>
                <w:position w:val="-1"/>
                <w:highlight w:val="none"/>
                <w:lang w:val="en-US" w:eastAsia="zh-CN"/>
                <w14:textFill>
                  <w14:solidFill>
                    <w14:schemeClr w14:val="tx1"/>
                  </w14:solidFill>
                </w14:textFill>
              </w:rPr>
              <w:t>根据建设单位实际运行情况，回转窑煅烧高岭土的物</w:t>
            </w:r>
            <w:r>
              <w:rPr>
                <w:rFonts w:hint="default" w:ascii="Times New Roman" w:hAnsi="Times New Roman" w:eastAsia="宋体" w:cs="Times New Roman"/>
                <w:b w:val="0"/>
                <w:bCs w:val="0"/>
                <w:color w:val="000000" w:themeColor="text1"/>
                <w:spacing w:val="-2"/>
                <w:position w:val="-1"/>
                <w:highlight w:val="none"/>
                <w:lang w:val="en-US" w:eastAsia="zh-CN"/>
                <w14:textFill>
                  <w14:solidFill>
                    <w14:schemeClr w14:val="tx1"/>
                  </w14:solidFill>
                </w14:textFill>
              </w:rPr>
              <w:t>料（黄料）损</w:t>
            </w:r>
            <w:r>
              <w:rPr>
                <w:rFonts w:hint="default" w:ascii="Times New Roman" w:hAnsi="Times New Roman" w:cs="Times New Roman"/>
                <w:b w:val="0"/>
                <w:bCs w:val="0"/>
                <w:color w:val="000000" w:themeColor="text1"/>
                <w:spacing w:val="-2"/>
                <w:position w:val="-1"/>
                <w:highlight w:val="none"/>
                <w:lang w:val="en-US" w:eastAsia="zh-CN"/>
                <w14:textFill>
                  <w14:solidFill>
                    <w14:schemeClr w14:val="tx1"/>
                  </w14:solidFill>
                </w14:textFill>
              </w:rPr>
              <w:t>耗率约为5%，本项目优质煅烧高岭土共计200000t/a，则需煅烧高岭土成品210526t/a。</w:t>
            </w:r>
          </w:p>
          <w:p w14:paraId="2276B4A1">
            <w:pPr>
              <w:pStyle w:val="88"/>
              <w:keepNext w:val="0"/>
              <w:keepLines w:val="0"/>
              <w:pageBreakBefore w:val="0"/>
              <w:widowControl/>
              <w:kinsoku/>
              <w:wordWrap/>
              <w:overflowPunct/>
              <w:topLinePunct w:val="0"/>
              <w:autoSpaceDE/>
              <w:autoSpaceDN/>
              <w:bidi w:val="0"/>
              <w:adjustRightInd/>
              <w:snapToGrid w:val="0"/>
              <w:spacing w:line="240" w:lineRule="auto"/>
              <w:ind w:firstLineChars="200"/>
              <w:jc w:val="center"/>
              <w:textAlignment w:val="baseline"/>
              <w:rPr>
                <w:rFonts w:hint="eastAsia" w:ascii="Times New Roman" w:hAnsi="Times New Roman" w:eastAsia="宋体" w:cs="Times New Roman"/>
                <w:b/>
                <w:bCs/>
                <w:color w:val="000000" w:themeColor="text1"/>
                <w:spacing w:val="-2"/>
                <w:highlight w:val="none"/>
                <w:lang w:eastAsia="zh-CN"/>
                <w14:textFill>
                  <w14:solidFill>
                    <w14:schemeClr w14:val="tx1"/>
                  </w14:solidFill>
                </w14:textFill>
              </w:rPr>
            </w:pPr>
            <w:r>
              <w:rPr>
                <w:rFonts w:hint="default" w:ascii="Times New Roman" w:hAnsi="Times New Roman" w:cs="Times New Roman"/>
                <w:b/>
                <w:bCs/>
                <w:color w:val="000000" w:themeColor="text1"/>
                <w:spacing w:val="-2"/>
                <w:position w:val="-1"/>
                <w:highlight w:val="none"/>
                <w14:textFill>
                  <w14:solidFill>
                    <w14:schemeClr w14:val="tx1"/>
                  </w14:solidFill>
                </w14:textFill>
              </w:rPr>
              <w:t>表</w:t>
            </w:r>
            <w:r>
              <w:rPr>
                <w:rFonts w:hint="default" w:ascii="Times New Roman" w:hAnsi="Times New Roman" w:cs="Times New Roman"/>
                <w:b/>
                <w:bCs/>
                <w:color w:val="000000" w:themeColor="text1"/>
                <w:spacing w:val="-2"/>
                <w:position w:val="-1"/>
                <w:highlight w:val="none"/>
                <w:lang w:val="en-US" w:eastAsia="zh-CN"/>
                <w14:textFill>
                  <w14:solidFill>
                    <w14:schemeClr w14:val="tx1"/>
                  </w14:solidFill>
                </w14:textFill>
              </w:rPr>
              <w:t>2-23</w:t>
            </w:r>
            <w:r>
              <w:rPr>
                <w:rFonts w:hint="default" w:ascii="Times New Roman" w:hAnsi="Times New Roman" w:cs="Times New Roman"/>
                <w:b/>
                <w:bCs/>
                <w:color w:val="000000" w:themeColor="text1"/>
                <w:spacing w:val="-2"/>
                <w:highlight w:val="none"/>
                <w14:textFill>
                  <w14:solidFill>
                    <w14:schemeClr w14:val="tx1"/>
                  </w14:solidFill>
                </w14:textFill>
              </w:rPr>
              <w:t>本项目生产物料平衡分析表</w:t>
            </w:r>
            <w:r>
              <w:rPr>
                <w:rFonts w:hint="eastAsia" w:cs="Times New Roman"/>
                <w:b/>
                <w:bCs/>
                <w:color w:val="000000" w:themeColor="text1"/>
                <w:spacing w:val="-2"/>
                <w:highlight w:val="none"/>
                <w:lang w:eastAsia="zh-CN"/>
                <w14:textFill>
                  <w14:solidFill>
                    <w14:schemeClr w14:val="tx1"/>
                  </w14:solidFill>
                </w14:textFill>
              </w:rPr>
              <w:t>（</w:t>
            </w:r>
            <w:r>
              <w:rPr>
                <w:rFonts w:hint="default" w:ascii="Times New Roman" w:hAnsi="Times New Roman" w:cs="Times New Roman"/>
                <w:b/>
                <w:bCs/>
                <w:color w:val="000000" w:themeColor="text1"/>
                <w:spacing w:val="-2"/>
                <w:highlight w:val="none"/>
                <w14:textFill>
                  <w14:solidFill>
                    <w14:schemeClr w14:val="tx1"/>
                  </w14:solidFill>
                </w14:textFill>
              </w:rPr>
              <w:t>单位：t/a</w:t>
            </w:r>
            <w:r>
              <w:rPr>
                <w:rFonts w:hint="eastAsia" w:cs="Times New Roman"/>
                <w:b/>
                <w:bCs/>
                <w:color w:val="000000" w:themeColor="text1"/>
                <w:spacing w:val="-2"/>
                <w:highlight w:val="none"/>
                <w:lang w:eastAsia="zh-CN"/>
                <w14:textFill>
                  <w14:solidFill>
                    <w14:schemeClr w14:val="tx1"/>
                  </w14:solidFill>
                </w14:textFill>
              </w:rPr>
              <w:t>）</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3"/>
              <w:gridCol w:w="1720"/>
              <w:gridCol w:w="2002"/>
              <w:gridCol w:w="956"/>
              <w:gridCol w:w="1128"/>
              <w:gridCol w:w="871"/>
              <w:gridCol w:w="948"/>
            </w:tblGrid>
            <w:tr w14:paraId="2BF77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3" w:type="dxa"/>
                  <w:noWrap w:val="0"/>
                  <w:vAlign w:val="center"/>
                </w:tcPr>
                <w:p w14:paraId="3E9309D3">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5"/>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5"/>
                      <w:sz w:val="21"/>
                      <w:szCs w:val="21"/>
                      <w:highlight w:val="none"/>
                      <w:lang w:val="en-US" w:eastAsia="zh-CN"/>
                      <w14:textFill>
                        <w14:solidFill>
                          <w14:schemeClr w14:val="tx1"/>
                        </w14:solidFill>
                      </w14:textFill>
                    </w:rPr>
                    <w:t>进料名称</w:t>
                  </w:r>
                </w:p>
              </w:tc>
              <w:tc>
                <w:tcPr>
                  <w:tcW w:w="1720" w:type="dxa"/>
                  <w:noWrap w:val="0"/>
                  <w:vAlign w:val="center"/>
                </w:tcPr>
                <w:p w14:paraId="6FCF2DED">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5"/>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5"/>
                      <w:sz w:val="21"/>
                      <w:szCs w:val="21"/>
                      <w:highlight w:val="none"/>
                      <w:lang w:val="en-US" w:eastAsia="zh-CN"/>
                      <w14:textFill>
                        <w14:solidFill>
                          <w14:schemeClr w14:val="tx1"/>
                        </w14:solidFill>
                      </w14:textFill>
                    </w:rPr>
                    <w:t>进料量</w:t>
                  </w:r>
                </w:p>
              </w:tc>
              <w:tc>
                <w:tcPr>
                  <w:tcW w:w="2002" w:type="dxa"/>
                  <w:noWrap w:val="0"/>
                  <w:vAlign w:val="center"/>
                </w:tcPr>
                <w:p w14:paraId="2B1B5F42">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5"/>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5"/>
                      <w:sz w:val="21"/>
                      <w:szCs w:val="21"/>
                      <w:highlight w:val="none"/>
                      <w:lang w:val="en-US" w:eastAsia="zh-CN"/>
                      <w14:textFill>
                        <w14:solidFill>
                          <w14:schemeClr w14:val="tx1"/>
                        </w14:solidFill>
                      </w14:textFill>
                    </w:rPr>
                    <w:t>含硫率</w:t>
                  </w:r>
                </w:p>
                <w:p w14:paraId="761056DD">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5"/>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5"/>
                      <w:sz w:val="21"/>
                      <w:szCs w:val="21"/>
                      <w:highlight w:val="none"/>
                      <w:lang w:val="en-US" w:eastAsia="zh-CN"/>
                      <w14:textFill>
                        <w14:solidFill>
                          <w14:schemeClr w14:val="tx1"/>
                        </w14:solidFill>
                      </w14:textFill>
                    </w:rPr>
                    <w:t>%</w:t>
                  </w:r>
                </w:p>
              </w:tc>
              <w:tc>
                <w:tcPr>
                  <w:tcW w:w="956" w:type="dxa"/>
                  <w:noWrap w:val="0"/>
                  <w:vAlign w:val="center"/>
                </w:tcPr>
                <w:p w14:paraId="152A3949">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5"/>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5"/>
                      <w:sz w:val="21"/>
                      <w:szCs w:val="21"/>
                      <w:highlight w:val="none"/>
                      <w:lang w:val="en-US" w:eastAsia="zh-CN"/>
                      <w14:textFill>
                        <w14:solidFill>
                          <w14:schemeClr w14:val="tx1"/>
                        </w14:solidFill>
                      </w14:textFill>
                    </w:rPr>
                    <w:t>含硫量</w:t>
                  </w:r>
                </w:p>
              </w:tc>
              <w:tc>
                <w:tcPr>
                  <w:tcW w:w="1128" w:type="dxa"/>
                  <w:noWrap w:val="0"/>
                  <w:vAlign w:val="center"/>
                </w:tcPr>
                <w:p w14:paraId="36369B11">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5"/>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5"/>
                      <w:sz w:val="21"/>
                      <w:szCs w:val="21"/>
                      <w:highlight w:val="none"/>
                      <w:lang w:val="en-US" w:eastAsia="zh-CN"/>
                      <w14:textFill>
                        <w14:solidFill>
                          <w14:schemeClr w14:val="tx1"/>
                        </w14:solidFill>
                      </w14:textFill>
                    </w:rPr>
                    <w:t>出料名称</w:t>
                  </w:r>
                </w:p>
              </w:tc>
              <w:tc>
                <w:tcPr>
                  <w:tcW w:w="871" w:type="dxa"/>
                  <w:noWrap w:val="0"/>
                  <w:vAlign w:val="center"/>
                </w:tcPr>
                <w:p w14:paraId="5F293D26">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5"/>
                      <w:sz w:val="21"/>
                      <w:szCs w:val="21"/>
                      <w:highlight w:val="none"/>
                      <w:lang w:val="en-US"/>
                      <w14:textFill>
                        <w14:solidFill>
                          <w14:schemeClr w14:val="tx1"/>
                        </w14:solidFill>
                      </w14:textFill>
                    </w:rPr>
                  </w:pPr>
                  <w:r>
                    <w:rPr>
                      <w:rFonts w:hint="default" w:ascii="Times New Roman" w:hAnsi="Times New Roman" w:eastAsia="宋体" w:cs="Times New Roman"/>
                      <w:color w:val="000000" w:themeColor="text1"/>
                      <w:spacing w:val="5"/>
                      <w:sz w:val="21"/>
                      <w:szCs w:val="21"/>
                      <w:highlight w:val="none"/>
                      <w:lang w:val="en-US" w:eastAsia="zh-CN"/>
                      <w14:textFill>
                        <w14:solidFill>
                          <w14:schemeClr w14:val="tx1"/>
                        </w14:solidFill>
                      </w14:textFill>
                    </w:rPr>
                    <w:t>含硫率%</w:t>
                  </w:r>
                </w:p>
              </w:tc>
              <w:tc>
                <w:tcPr>
                  <w:tcW w:w="948" w:type="dxa"/>
                  <w:noWrap w:val="0"/>
                  <w:vAlign w:val="center"/>
                </w:tcPr>
                <w:p w14:paraId="30A947DB">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2"/>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2"/>
                      <w:sz w:val="21"/>
                      <w:szCs w:val="21"/>
                      <w:highlight w:val="none"/>
                      <w:lang w:val="en-US" w:eastAsia="zh-CN"/>
                      <w14:textFill>
                        <w14:solidFill>
                          <w14:schemeClr w14:val="tx1"/>
                        </w14:solidFill>
                      </w14:textFill>
                    </w:rPr>
                    <w:t>含硫量</w:t>
                  </w:r>
                </w:p>
              </w:tc>
            </w:tr>
            <w:tr w14:paraId="6CC7B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3" w:type="dxa"/>
                  <w:noWrap w:val="0"/>
                  <w:vAlign w:val="center"/>
                </w:tcPr>
                <w:p w14:paraId="3C00E046">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5"/>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5"/>
                      <w:sz w:val="21"/>
                      <w:szCs w:val="21"/>
                      <w:highlight w:val="none"/>
                      <w:lang w:val="en-US" w:eastAsia="zh-CN"/>
                      <w14:textFill>
                        <w14:solidFill>
                          <w14:schemeClr w14:val="tx1"/>
                        </w14:solidFill>
                      </w14:textFill>
                    </w:rPr>
                    <w:t>原料粉</w:t>
                  </w:r>
                </w:p>
              </w:tc>
              <w:tc>
                <w:tcPr>
                  <w:tcW w:w="1720" w:type="dxa"/>
                  <w:noWrap w:val="0"/>
                  <w:vAlign w:val="center"/>
                </w:tcPr>
                <w:p w14:paraId="2BFF3CA6">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5"/>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5"/>
                      <w:sz w:val="21"/>
                      <w:szCs w:val="21"/>
                      <w:highlight w:val="none"/>
                      <w:lang w:val="en-US" w:eastAsia="zh-CN"/>
                      <w14:textFill>
                        <w14:solidFill>
                          <w14:schemeClr w14:val="tx1"/>
                        </w14:solidFill>
                      </w14:textFill>
                    </w:rPr>
                    <w:t>244234</w:t>
                  </w:r>
                </w:p>
              </w:tc>
              <w:tc>
                <w:tcPr>
                  <w:tcW w:w="2002" w:type="dxa"/>
                  <w:noWrap w:val="0"/>
                  <w:vAlign w:val="center"/>
                </w:tcPr>
                <w:p w14:paraId="4E28C338">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5"/>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5"/>
                      <w:sz w:val="21"/>
                      <w:szCs w:val="21"/>
                      <w:highlight w:val="none"/>
                      <w:lang w:val="en-US" w:eastAsia="zh-CN"/>
                      <w14:textFill>
                        <w14:solidFill>
                          <w14:schemeClr w14:val="tx1"/>
                        </w14:solidFill>
                      </w14:textFill>
                    </w:rPr>
                    <w:t>0.</w:t>
                  </w:r>
                  <w:r>
                    <w:rPr>
                      <w:rFonts w:hint="default" w:ascii="Times New Roman" w:hAnsi="Times New Roman" w:cs="Times New Roman"/>
                      <w:color w:val="000000" w:themeColor="text1"/>
                      <w:spacing w:val="5"/>
                      <w:sz w:val="21"/>
                      <w:szCs w:val="21"/>
                      <w:highlight w:val="none"/>
                      <w:lang w:val="en-US" w:eastAsia="zh-CN"/>
                      <w14:textFill>
                        <w14:solidFill>
                          <w14:schemeClr w14:val="tx1"/>
                        </w14:solidFill>
                      </w14:textFill>
                    </w:rPr>
                    <w:t>08</w:t>
                  </w:r>
                </w:p>
              </w:tc>
              <w:tc>
                <w:tcPr>
                  <w:tcW w:w="956" w:type="dxa"/>
                  <w:noWrap w:val="0"/>
                  <w:vAlign w:val="center"/>
                </w:tcPr>
                <w:p w14:paraId="64D1ACA5">
                  <w:pPr>
                    <w:keepNext w:val="0"/>
                    <w:keepLines w:val="0"/>
                    <w:widowControl/>
                    <w:suppressLineNumbers w:val="0"/>
                    <w:jc w:val="center"/>
                    <w:textAlignment w:val="center"/>
                    <w:rPr>
                      <w:rFonts w:hint="default" w:ascii="Times New Roman" w:hAnsi="Times New Roman" w:eastAsia="宋体" w:cs="Times New Roman"/>
                      <w:color w:val="000000" w:themeColor="text1"/>
                      <w:spacing w:val="5"/>
                      <w:sz w:val="21"/>
                      <w:szCs w:val="21"/>
                      <w:highlight w:val="none"/>
                      <w:lang w:val="en-US" w:eastAsia="zh-CN"/>
                      <w14:textFill>
                        <w14:solidFill>
                          <w14:schemeClr w14:val="tx1"/>
                        </w14:solidFill>
                      </w14:textFill>
                    </w:rPr>
                  </w:pPr>
                  <w:r>
                    <w:rPr>
                      <w:rFonts w:hint="default" w:ascii="Times New Roman" w:hAnsi="Times New Roman" w:cs="Times New Roman"/>
                      <w:i w:val="0"/>
                      <w:iCs w:val="0"/>
                      <w:color w:val="000000" w:themeColor="text1"/>
                      <w:kern w:val="0"/>
                      <w:sz w:val="21"/>
                      <w:szCs w:val="21"/>
                      <w:highlight w:val="none"/>
                      <w:u w:val="none"/>
                      <w:lang w:val="en-US" w:eastAsia="zh-CN" w:bidi="ar"/>
                      <w14:textFill>
                        <w14:solidFill>
                          <w14:schemeClr w14:val="tx1"/>
                        </w14:solidFill>
                      </w14:textFill>
                    </w:rPr>
                    <w:t>87.92</w:t>
                  </w:r>
                </w:p>
              </w:tc>
              <w:tc>
                <w:tcPr>
                  <w:tcW w:w="1128" w:type="dxa"/>
                  <w:noWrap w:val="0"/>
                  <w:vAlign w:val="center"/>
                </w:tcPr>
                <w:p w14:paraId="62E001F7">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5"/>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5"/>
                      <w:sz w:val="21"/>
                      <w:szCs w:val="21"/>
                      <w:highlight w:val="none"/>
                      <w:lang w:val="en-US" w:eastAsia="zh-CN"/>
                      <w14:textFill>
                        <w14:solidFill>
                          <w14:schemeClr w14:val="tx1"/>
                        </w14:solidFill>
                      </w14:textFill>
                    </w:rPr>
                    <w:t>高活性</w:t>
                  </w:r>
                </w:p>
                <w:p w14:paraId="5717A8D1">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5"/>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5"/>
                      <w:sz w:val="21"/>
                      <w:szCs w:val="21"/>
                      <w:highlight w:val="none"/>
                      <w:lang w:val="en-US" w:eastAsia="zh-CN"/>
                      <w14:textFill>
                        <w14:solidFill>
                          <w14:schemeClr w14:val="tx1"/>
                        </w14:solidFill>
                      </w14:textFill>
                    </w:rPr>
                    <w:t>高岭土</w:t>
                  </w:r>
                </w:p>
              </w:tc>
              <w:tc>
                <w:tcPr>
                  <w:tcW w:w="871" w:type="dxa"/>
                  <w:noWrap w:val="0"/>
                  <w:vAlign w:val="center"/>
                </w:tcPr>
                <w:p w14:paraId="3BE9AE24">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5"/>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pacing w:val="5"/>
                      <w:sz w:val="21"/>
                      <w:szCs w:val="21"/>
                      <w:highlight w:val="none"/>
                      <w:lang w:val="en-US" w:eastAsia="zh-CN"/>
                      <w14:textFill>
                        <w14:solidFill>
                          <w14:schemeClr w14:val="tx1"/>
                        </w14:solidFill>
                      </w14:textFill>
                    </w:rPr>
                    <w:t>~</w:t>
                  </w:r>
                </w:p>
              </w:tc>
              <w:tc>
                <w:tcPr>
                  <w:tcW w:w="948" w:type="dxa"/>
                  <w:noWrap w:val="0"/>
                  <w:vAlign w:val="center"/>
                </w:tcPr>
                <w:p w14:paraId="7E4B870C">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2"/>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pacing w:val="-2"/>
                      <w:sz w:val="21"/>
                      <w:szCs w:val="21"/>
                      <w:highlight w:val="none"/>
                      <w:lang w:val="en-US" w:eastAsia="zh-CN"/>
                      <w14:textFill>
                        <w14:solidFill>
                          <w14:schemeClr w14:val="tx1"/>
                        </w14:solidFill>
                      </w14:textFill>
                    </w:rPr>
                    <w:t>19.54</w:t>
                  </w:r>
                </w:p>
              </w:tc>
            </w:tr>
            <w:tr w14:paraId="52909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3" w:type="dxa"/>
                  <w:noWrap w:val="0"/>
                  <w:vAlign w:val="center"/>
                </w:tcPr>
                <w:p w14:paraId="1C5CC73D">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5"/>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5"/>
                      <w:sz w:val="21"/>
                      <w:szCs w:val="21"/>
                      <w:highlight w:val="none"/>
                      <w14:textFill>
                        <w14:solidFill>
                          <w14:schemeClr w14:val="tx1"/>
                        </w14:solidFill>
                      </w14:textFill>
                    </w:rPr>
                    <w:t>煤气</w:t>
                  </w:r>
                </w:p>
              </w:tc>
              <w:tc>
                <w:tcPr>
                  <w:tcW w:w="1720" w:type="dxa"/>
                  <w:noWrap w:val="0"/>
                  <w:vAlign w:val="center"/>
                </w:tcPr>
                <w:p w14:paraId="29CF5DA0">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5"/>
                      <w:sz w:val="21"/>
                      <w:szCs w:val="21"/>
                      <w:highlight w:val="none"/>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highlight w:val="none"/>
                      <w14:textFill>
                        <w14:solidFill>
                          <w14:schemeClr w14:val="tx1"/>
                        </w14:solidFill>
                      </w14:textFill>
                    </w:rPr>
                    <w:t>4403</w:t>
                  </w:r>
                  <w:r>
                    <w:rPr>
                      <w:rFonts w:hint="default" w:ascii="Times New Roman" w:hAnsi="Times New Roman" w:cs="Times New Roman"/>
                      <w:bCs/>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bCs/>
                      <w:color w:val="000000" w:themeColor="text1"/>
                      <w:sz w:val="21"/>
                      <w:szCs w:val="21"/>
                      <w:highlight w:val="none"/>
                      <w14:textFill>
                        <w14:solidFill>
                          <w14:schemeClr w14:val="tx1"/>
                        </w14:solidFill>
                      </w14:textFill>
                    </w:rPr>
                    <w:t>7×</w:t>
                  </w:r>
                  <w:r>
                    <w:rPr>
                      <w:rFonts w:hint="default" w:ascii="Times New Roman" w:hAnsi="Times New Roman" w:eastAsia="宋体" w:cs="Times New Roman"/>
                      <w:color w:val="000000" w:themeColor="text1"/>
                      <w:spacing w:val="5"/>
                      <w:sz w:val="21"/>
                      <w:szCs w:val="21"/>
                      <w:highlight w:val="none"/>
                      <w14:textFill>
                        <w14:solidFill>
                          <w14:schemeClr w14:val="tx1"/>
                        </w14:solidFill>
                      </w14:textFill>
                    </w:rPr>
                    <w:t>万Nm³/a</w:t>
                  </w:r>
                  <w:r>
                    <w:rPr>
                      <w:rFonts w:hint="default" w:ascii="Times New Roman" w:hAnsi="Times New Roman" w:eastAsia="宋体" w:cs="Times New Roman"/>
                      <w:color w:val="000000" w:themeColor="text1"/>
                      <w:spacing w:val="5"/>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5"/>
                      <w:sz w:val="21"/>
                      <w:szCs w:val="21"/>
                      <w:highlight w:val="none"/>
                      <w:lang w:val="en-US" w:eastAsia="zh-CN"/>
                      <w14:textFill>
                        <w14:solidFill>
                          <w14:schemeClr w14:val="tx1"/>
                        </w14:solidFill>
                      </w14:textFill>
                    </w:rPr>
                    <w:t>0.9</w:t>
                  </w:r>
                  <w:r>
                    <w:rPr>
                      <w:rFonts w:hint="default" w:ascii="Times New Roman" w:hAnsi="Times New Roman" w:eastAsia="宋体" w:cs="Times New Roman"/>
                      <w:color w:val="000000" w:themeColor="text1"/>
                      <w:spacing w:val="5"/>
                      <w:sz w:val="21"/>
                      <w:szCs w:val="21"/>
                      <w:highlight w:val="none"/>
                      <w14:textFill>
                        <w14:solidFill>
                          <w14:schemeClr w14:val="tx1"/>
                        </w14:solidFill>
                      </w14:textFill>
                    </w:rPr>
                    <w:t>5kg/Nm³</w:t>
                  </w:r>
                  <w:r>
                    <w:rPr>
                      <w:rFonts w:hint="default" w:ascii="Times New Roman" w:hAnsi="Times New Roman" w:eastAsia="宋体" w:cs="Times New Roman"/>
                      <w:color w:val="000000" w:themeColor="text1"/>
                      <w:spacing w:val="5"/>
                      <w:sz w:val="21"/>
                      <w:szCs w:val="21"/>
                      <w:highlight w:val="none"/>
                      <w:lang w:eastAsia="zh-CN"/>
                      <w14:textFill>
                        <w14:solidFill>
                          <w14:schemeClr w14:val="tx1"/>
                        </w14:solidFill>
                      </w14:textFill>
                    </w:rPr>
                    <w:t>）</w:t>
                  </w:r>
                </w:p>
              </w:tc>
              <w:tc>
                <w:tcPr>
                  <w:tcW w:w="2002" w:type="dxa"/>
                  <w:noWrap w:val="0"/>
                  <w:vAlign w:val="center"/>
                </w:tcPr>
                <w:p w14:paraId="53D64457">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cs="Times New Roman"/>
                      <w:color w:val="000000" w:themeColor="text1"/>
                      <w:spacing w:val="5"/>
                      <w:sz w:val="21"/>
                      <w:szCs w:val="21"/>
                      <w:highlight w:val="none"/>
                      <w:lang w:eastAsia="zh-CN"/>
                      <w14:textFill>
                        <w14:solidFill>
                          <w14:schemeClr w14:val="tx1"/>
                        </w14:solidFill>
                      </w14:textFill>
                    </w:rPr>
                  </w:pPr>
                  <w:r>
                    <w:rPr>
                      <w:rFonts w:hint="default" w:ascii="Times New Roman" w:hAnsi="Times New Roman" w:cs="Times New Roman"/>
                      <w:color w:val="000000" w:themeColor="text1"/>
                      <w:spacing w:val="5"/>
                      <w:sz w:val="21"/>
                      <w:szCs w:val="21"/>
                      <w:highlight w:val="none"/>
                      <w:lang w:val="en-US" w:eastAsia="zh-CN"/>
                      <w14:textFill>
                        <w14:solidFill>
                          <w14:schemeClr w14:val="tx1"/>
                        </w14:solidFill>
                      </w14:textFill>
                    </w:rPr>
                    <w:t>H</w:t>
                  </w:r>
                  <w:r>
                    <w:rPr>
                      <w:rFonts w:hint="default" w:ascii="Times New Roman" w:hAnsi="Times New Roman" w:cs="Times New Roman"/>
                      <w:color w:val="000000" w:themeColor="text1"/>
                      <w:spacing w:val="5"/>
                      <w:sz w:val="21"/>
                      <w:szCs w:val="21"/>
                      <w:highlight w:val="none"/>
                      <w:vertAlign w:val="subscript"/>
                      <w:lang w:val="en-US" w:eastAsia="zh-CN"/>
                      <w14:textFill>
                        <w14:solidFill>
                          <w14:schemeClr w14:val="tx1"/>
                        </w14:solidFill>
                      </w14:textFill>
                    </w:rPr>
                    <w:t>2</w:t>
                  </w:r>
                  <w:r>
                    <w:rPr>
                      <w:rFonts w:hint="default" w:ascii="Times New Roman" w:hAnsi="Times New Roman" w:eastAsia="宋体" w:cs="Times New Roman"/>
                      <w:color w:val="000000" w:themeColor="text1"/>
                      <w:spacing w:val="5"/>
                      <w:sz w:val="21"/>
                      <w:szCs w:val="21"/>
                      <w:highlight w:val="none"/>
                      <w14:textFill>
                        <w14:solidFill>
                          <w14:schemeClr w14:val="tx1"/>
                        </w14:solidFill>
                      </w14:textFill>
                    </w:rPr>
                    <w:t>S</w:t>
                  </w:r>
                  <w:r>
                    <w:rPr>
                      <w:rFonts w:hint="default" w:ascii="Times New Roman" w:hAnsi="Times New Roman" w:cs="Times New Roman"/>
                      <w:color w:val="000000" w:themeColor="text1"/>
                      <w:spacing w:val="5"/>
                      <w:sz w:val="21"/>
                      <w:szCs w:val="21"/>
                      <w:highlight w:val="none"/>
                      <w:lang w:val="en-US" w:eastAsia="zh-CN"/>
                      <w14:textFill>
                        <w14:solidFill>
                          <w14:schemeClr w14:val="tx1"/>
                        </w14:solidFill>
                      </w14:textFill>
                    </w:rPr>
                    <w:t>20m</w:t>
                  </w:r>
                  <w:r>
                    <w:rPr>
                      <w:rFonts w:hint="default" w:ascii="Times New Roman" w:hAnsi="Times New Roman" w:eastAsia="宋体" w:cs="Times New Roman"/>
                      <w:color w:val="000000" w:themeColor="text1"/>
                      <w:spacing w:val="5"/>
                      <w:sz w:val="21"/>
                      <w:szCs w:val="21"/>
                      <w:highlight w:val="none"/>
                      <w14:textFill>
                        <w14:solidFill>
                          <w14:schemeClr w14:val="tx1"/>
                        </w14:solidFill>
                      </w14:textFill>
                    </w:rPr>
                    <w:t>g/Nm³</w:t>
                  </w:r>
                  <w:r>
                    <w:rPr>
                      <w:rFonts w:hint="eastAsia" w:ascii="Times New Roman" w:hAnsi="Times New Roman" w:cs="Times New Roman"/>
                      <w:color w:val="000000" w:themeColor="text1"/>
                      <w:spacing w:val="5"/>
                      <w:sz w:val="21"/>
                      <w:szCs w:val="21"/>
                      <w:highlight w:val="none"/>
                      <w:lang w:eastAsia="zh-CN"/>
                      <w14:textFill>
                        <w14:solidFill>
                          <w14:schemeClr w14:val="tx1"/>
                        </w14:solidFill>
                      </w14:textFill>
                    </w:rPr>
                    <w:t>,</w:t>
                  </w:r>
                </w:p>
                <w:p w14:paraId="478285E7">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5"/>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pacing w:val="5"/>
                      <w:sz w:val="21"/>
                      <w:szCs w:val="21"/>
                      <w:highlight w:val="none"/>
                      <w:lang w:val="en-US" w:eastAsia="zh-CN"/>
                      <w14:textFill>
                        <w14:solidFill>
                          <w14:schemeClr w14:val="tx1"/>
                        </w14:solidFill>
                      </w14:textFill>
                    </w:rPr>
                    <w:t>有机硫30m</w:t>
                  </w:r>
                  <w:r>
                    <w:rPr>
                      <w:rFonts w:hint="default" w:ascii="Times New Roman" w:hAnsi="Times New Roman" w:eastAsia="宋体" w:cs="Times New Roman"/>
                      <w:color w:val="000000" w:themeColor="text1"/>
                      <w:spacing w:val="5"/>
                      <w:sz w:val="21"/>
                      <w:szCs w:val="21"/>
                      <w:highlight w:val="none"/>
                      <w14:textFill>
                        <w14:solidFill>
                          <w14:schemeClr w14:val="tx1"/>
                        </w14:solidFill>
                      </w14:textFill>
                    </w:rPr>
                    <w:t>g/Nm³</w:t>
                  </w:r>
                </w:p>
              </w:tc>
              <w:tc>
                <w:tcPr>
                  <w:tcW w:w="956" w:type="dxa"/>
                  <w:noWrap w:val="0"/>
                  <w:vAlign w:val="center"/>
                </w:tcPr>
                <w:p w14:paraId="62016349">
                  <w:pPr>
                    <w:keepNext w:val="0"/>
                    <w:keepLines w:val="0"/>
                    <w:widowControl/>
                    <w:suppressLineNumbers w:val="0"/>
                    <w:jc w:val="center"/>
                    <w:textAlignment w:val="center"/>
                    <w:rPr>
                      <w:rFonts w:hint="default" w:ascii="Times New Roman" w:hAnsi="Times New Roman" w:eastAsia="宋体" w:cs="Times New Roman"/>
                      <w:color w:val="000000" w:themeColor="text1"/>
                      <w:spacing w:val="5"/>
                      <w:sz w:val="21"/>
                      <w:szCs w:val="21"/>
                      <w:highlight w:val="none"/>
                      <w:lang w:val="en-US" w:eastAsia="zh-CN"/>
                      <w14:textFill>
                        <w14:solidFill>
                          <w14:schemeClr w14:val="tx1"/>
                        </w14:solidFill>
                      </w14:textFill>
                    </w:rPr>
                  </w:pPr>
                  <w:r>
                    <w:rPr>
                      <w:rFonts w:hint="default" w:ascii="Times New Roman" w:hAnsi="Times New Roman" w:cs="Times New Roman"/>
                      <w:i w:val="0"/>
                      <w:iCs w:val="0"/>
                      <w:color w:val="000000" w:themeColor="text1"/>
                      <w:kern w:val="0"/>
                      <w:sz w:val="21"/>
                      <w:szCs w:val="21"/>
                      <w:highlight w:val="none"/>
                      <w:u w:val="none"/>
                      <w:lang w:val="en-US" w:eastAsia="zh-CN" w:bidi="ar"/>
                      <w14:textFill>
                        <w14:solidFill>
                          <w14:schemeClr w14:val="tx1"/>
                        </w14:solidFill>
                      </w14:textFill>
                    </w:rPr>
                    <w:t>3.63</w:t>
                  </w:r>
                </w:p>
              </w:tc>
              <w:tc>
                <w:tcPr>
                  <w:tcW w:w="1128" w:type="dxa"/>
                  <w:noWrap w:val="0"/>
                  <w:vAlign w:val="center"/>
                </w:tcPr>
                <w:p w14:paraId="73DFD547">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5"/>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pacing w:val="5"/>
                      <w:sz w:val="21"/>
                      <w:szCs w:val="21"/>
                      <w:highlight w:val="none"/>
                      <w14:textFill>
                        <w14:solidFill>
                          <w14:schemeClr w14:val="tx1"/>
                        </w14:solidFill>
                      </w14:textFill>
                    </w:rPr>
                    <w:t>废气排放</w:t>
                  </w:r>
                </w:p>
              </w:tc>
              <w:tc>
                <w:tcPr>
                  <w:tcW w:w="871" w:type="dxa"/>
                  <w:noWrap w:val="0"/>
                  <w:vAlign w:val="center"/>
                </w:tcPr>
                <w:p w14:paraId="1B4031D6">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5"/>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5"/>
                      <w:sz w:val="21"/>
                      <w:szCs w:val="21"/>
                      <w:highlight w:val="none"/>
                      <w:lang w:val="en-US" w:eastAsia="zh-CN"/>
                      <w14:textFill>
                        <w14:solidFill>
                          <w14:schemeClr w14:val="tx1"/>
                        </w14:solidFill>
                      </w14:textFill>
                    </w:rPr>
                    <w:t>~</w:t>
                  </w:r>
                </w:p>
              </w:tc>
              <w:tc>
                <w:tcPr>
                  <w:tcW w:w="948" w:type="dxa"/>
                  <w:noWrap w:val="0"/>
                  <w:vAlign w:val="center"/>
                </w:tcPr>
                <w:p w14:paraId="7529D30B">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2"/>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pacing w:val="-2"/>
                      <w:sz w:val="21"/>
                      <w:szCs w:val="21"/>
                      <w:highlight w:val="none"/>
                      <w:lang w:val="en-US" w:eastAsia="zh-CN"/>
                      <w14:textFill>
                        <w14:solidFill>
                          <w14:schemeClr w14:val="tx1"/>
                        </w14:solidFill>
                      </w14:textFill>
                    </w:rPr>
                    <w:t>17.95</w:t>
                  </w:r>
                </w:p>
              </w:tc>
            </w:tr>
            <w:tr w14:paraId="5FDBE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3" w:type="dxa"/>
                  <w:shd w:val="clear" w:color="auto" w:fill="auto"/>
                  <w:noWrap w:val="0"/>
                  <w:vAlign w:val="center"/>
                </w:tcPr>
                <w:p w14:paraId="0E068716">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5"/>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pacing w:val="5"/>
                      <w:sz w:val="21"/>
                      <w:szCs w:val="21"/>
                      <w:highlight w:val="none"/>
                      <w:lang w:val="en-US" w:eastAsia="zh-CN"/>
                      <w14:textFill>
                        <w14:solidFill>
                          <w14:schemeClr w14:val="tx1"/>
                        </w14:solidFill>
                      </w14:textFill>
                    </w:rPr>
                    <w:t>/</w:t>
                  </w:r>
                </w:p>
              </w:tc>
              <w:tc>
                <w:tcPr>
                  <w:tcW w:w="1720" w:type="dxa"/>
                  <w:shd w:val="clear" w:color="auto" w:fill="auto"/>
                  <w:noWrap w:val="0"/>
                  <w:vAlign w:val="center"/>
                </w:tcPr>
                <w:p w14:paraId="615B839E">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5"/>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pacing w:val="5"/>
                      <w:sz w:val="21"/>
                      <w:szCs w:val="21"/>
                      <w:highlight w:val="none"/>
                      <w:lang w:val="en-US" w:eastAsia="zh-CN"/>
                      <w14:textFill>
                        <w14:solidFill>
                          <w14:schemeClr w14:val="tx1"/>
                        </w14:solidFill>
                      </w14:textFill>
                    </w:rPr>
                    <w:t>/</w:t>
                  </w:r>
                </w:p>
              </w:tc>
              <w:tc>
                <w:tcPr>
                  <w:tcW w:w="2002" w:type="dxa"/>
                  <w:shd w:val="clear" w:color="auto" w:fill="auto"/>
                  <w:noWrap w:val="0"/>
                  <w:vAlign w:val="center"/>
                </w:tcPr>
                <w:p w14:paraId="2A81A191">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5"/>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pacing w:val="5"/>
                      <w:sz w:val="21"/>
                      <w:szCs w:val="21"/>
                      <w:highlight w:val="none"/>
                      <w:lang w:val="en-US" w:eastAsia="zh-CN"/>
                      <w14:textFill>
                        <w14:solidFill>
                          <w14:schemeClr w14:val="tx1"/>
                        </w14:solidFill>
                      </w14:textFill>
                    </w:rPr>
                    <w:t>/</w:t>
                  </w:r>
                </w:p>
              </w:tc>
              <w:tc>
                <w:tcPr>
                  <w:tcW w:w="956" w:type="dxa"/>
                  <w:noWrap w:val="0"/>
                  <w:vAlign w:val="center"/>
                </w:tcPr>
                <w:p w14:paraId="7DDD324C">
                  <w:pPr>
                    <w:keepNext w:val="0"/>
                    <w:keepLines w:val="0"/>
                    <w:widowControl/>
                    <w:suppressLineNumbers w:val="0"/>
                    <w:jc w:val="center"/>
                    <w:textAlignment w:val="center"/>
                    <w:rPr>
                      <w:rFonts w:hint="default" w:ascii="Times New Roman" w:hAnsi="Times New Roman" w:eastAsia="宋体" w:cs="Times New Roman"/>
                      <w:color w:val="000000" w:themeColor="text1"/>
                      <w:spacing w:val="5"/>
                      <w:sz w:val="21"/>
                      <w:szCs w:val="21"/>
                      <w:highlight w:val="none"/>
                      <w:lang w:val="en-US" w:eastAsia="zh-CN"/>
                      <w14:textFill>
                        <w14:solidFill>
                          <w14:schemeClr w14:val="tx1"/>
                        </w14:solidFill>
                      </w14:textFill>
                    </w:rPr>
                  </w:pPr>
                  <w:r>
                    <w:rPr>
                      <w:rFonts w:hint="default" w:ascii="Times New Roman" w:hAnsi="Times New Roman"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1128" w:type="dxa"/>
                  <w:noWrap w:val="0"/>
                  <w:vAlign w:val="center"/>
                </w:tcPr>
                <w:p w14:paraId="3EB192B9">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5"/>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5"/>
                      <w:sz w:val="21"/>
                      <w:szCs w:val="21"/>
                      <w:highlight w:val="none"/>
                      <w:lang w:val="en-US" w:eastAsia="zh-CN"/>
                      <w14:textFill>
                        <w14:solidFill>
                          <w14:schemeClr w14:val="tx1"/>
                        </w14:solidFill>
                      </w14:textFill>
                    </w:rPr>
                    <w:t>收集除尘灰</w:t>
                  </w:r>
                </w:p>
              </w:tc>
              <w:tc>
                <w:tcPr>
                  <w:tcW w:w="871" w:type="dxa"/>
                  <w:noWrap w:val="0"/>
                  <w:vAlign w:val="center"/>
                </w:tcPr>
                <w:p w14:paraId="20664FB0">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5"/>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5"/>
                      <w:sz w:val="21"/>
                      <w:szCs w:val="21"/>
                      <w:highlight w:val="none"/>
                      <w:lang w:val="en-US" w:eastAsia="zh-CN"/>
                      <w14:textFill>
                        <w14:solidFill>
                          <w14:schemeClr w14:val="tx1"/>
                        </w14:solidFill>
                      </w14:textFill>
                    </w:rPr>
                    <w:t>~0.01</w:t>
                  </w:r>
                </w:p>
              </w:tc>
              <w:tc>
                <w:tcPr>
                  <w:tcW w:w="948" w:type="dxa"/>
                  <w:noWrap w:val="0"/>
                  <w:vAlign w:val="center"/>
                </w:tcPr>
                <w:p w14:paraId="640EE61D">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2"/>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2"/>
                      <w:sz w:val="21"/>
                      <w:szCs w:val="21"/>
                      <w:highlight w:val="none"/>
                      <w:lang w:val="en-US" w:eastAsia="zh-CN"/>
                      <w14:textFill>
                        <w14:solidFill>
                          <w14:schemeClr w14:val="tx1"/>
                        </w14:solidFill>
                      </w14:textFill>
                    </w:rPr>
                    <w:t>0.</w:t>
                  </w:r>
                  <w:r>
                    <w:rPr>
                      <w:rFonts w:hint="default" w:ascii="Times New Roman" w:hAnsi="Times New Roman" w:cs="Times New Roman"/>
                      <w:color w:val="000000" w:themeColor="text1"/>
                      <w:spacing w:val="-2"/>
                      <w:sz w:val="21"/>
                      <w:szCs w:val="21"/>
                      <w:highlight w:val="none"/>
                      <w:lang w:val="en-US" w:eastAsia="zh-CN"/>
                      <w14:textFill>
                        <w14:solidFill>
                          <w14:schemeClr w14:val="tx1"/>
                        </w14:solidFill>
                      </w14:textFill>
                    </w:rPr>
                    <w:t>001</w:t>
                  </w:r>
                </w:p>
              </w:tc>
            </w:tr>
            <w:tr w14:paraId="50F33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3" w:type="dxa"/>
                  <w:noWrap w:val="0"/>
                  <w:vAlign w:val="center"/>
                </w:tcPr>
                <w:p w14:paraId="7CD8CA34">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5"/>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5"/>
                      <w:sz w:val="21"/>
                      <w:szCs w:val="21"/>
                      <w:highlight w:val="none"/>
                      <w:lang w:val="en-US" w:eastAsia="zh-CN"/>
                      <w14:textFill>
                        <w14:solidFill>
                          <w14:schemeClr w14:val="tx1"/>
                        </w14:solidFill>
                      </w14:textFill>
                    </w:rPr>
                    <w:t>/</w:t>
                  </w:r>
                </w:p>
              </w:tc>
              <w:tc>
                <w:tcPr>
                  <w:tcW w:w="1720" w:type="dxa"/>
                  <w:noWrap w:val="0"/>
                  <w:vAlign w:val="center"/>
                </w:tcPr>
                <w:p w14:paraId="72186189">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5"/>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5"/>
                      <w:sz w:val="21"/>
                      <w:szCs w:val="21"/>
                      <w:highlight w:val="none"/>
                      <w:lang w:val="en-US" w:eastAsia="zh-CN"/>
                      <w14:textFill>
                        <w14:solidFill>
                          <w14:schemeClr w14:val="tx1"/>
                        </w14:solidFill>
                      </w14:textFill>
                    </w:rPr>
                    <w:t>/</w:t>
                  </w:r>
                </w:p>
              </w:tc>
              <w:tc>
                <w:tcPr>
                  <w:tcW w:w="2002" w:type="dxa"/>
                  <w:noWrap w:val="0"/>
                  <w:vAlign w:val="center"/>
                </w:tcPr>
                <w:p w14:paraId="1A9AA55E">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5"/>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5"/>
                      <w:sz w:val="21"/>
                      <w:szCs w:val="21"/>
                      <w:highlight w:val="none"/>
                      <w:lang w:val="en-US" w:eastAsia="zh-CN"/>
                      <w14:textFill>
                        <w14:solidFill>
                          <w14:schemeClr w14:val="tx1"/>
                        </w14:solidFill>
                      </w14:textFill>
                    </w:rPr>
                    <w:t>/</w:t>
                  </w:r>
                </w:p>
              </w:tc>
              <w:tc>
                <w:tcPr>
                  <w:tcW w:w="956" w:type="dxa"/>
                  <w:noWrap w:val="0"/>
                  <w:vAlign w:val="center"/>
                </w:tcPr>
                <w:p w14:paraId="5BB9BBD1">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5"/>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5"/>
                      <w:sz w:val="21"/>
                      <w:szCs w:val="21"/>
                      <w:highlight w:val="none"/>
                      <w:lang w:val="en-US" w:eastAsia="zh-CN"/>
                      <w14:textFill>
                        <w14:solidFill>
                          <w14:schemeClr w14:val="tx1"/>
                        </w14:solidFill>
                      </w14:textFill>
                    </w:rPr>
                    <w:t>/</w:t>
                  </w:r>
                </w:p>
              </w:tc>
              <w:tc>
                <w:tcPr>
                  <w:tcW w:w="1128" w:type="dxa"/>
                  <w:noWrap w:val="0"/>
                  <w:vAlign w:val="center"/>
                </w:tcPr>
                <w:p w14:paraId="13B19981">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5"/>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5"/>
                      <w:sz w:val="21"/>
                      <w:szCs w:val="21"/>
                      <w:highlight w:val="none"/>
                      <w14:textFill>
                        <w14:solidFill>
                          <w14:schemeClr w14:val="tx1"/>
                        </w14:solidFill>
                      </w14:textFill>
                    </w:rPr>
                    <w:t>进入脱硫</w:t>
                  </w:r>
                  <w:r>
                    <w:rPr>
                      <w:rFonts w:hint="default" w:ascii="Times New Roman" w:hAnsi="Times New Roman" w:cs="Times New Roman"/>
                      <w:color w:val="000000" w:themeColor="text1"/>
                      <w:spacing w:val="5"/>
                      <w:sz w:val="21"/>
                      <w:szCs w:val="21"/>
                      <w:highlight w:val="none"/>
                      <w:lang w:val="en-US" w:eastAsia="zh-CN"/>
                      <w14:textFill>
                        <w14:solidFill>
                          <w14:schemeClr w14:val="tx1"/>
                        </w14:solidFill>
                      </w14:textFill>
                    </w:rPr>
                    <w:t>石膏</w:t>
                  </w:r>
                </w:p>
              </w:tc>
              <w:tc>
                <w:tcPr>
                  <w:tcW w:w="871" w:type="dxa"/>
                  <w:noWrap w:val="0"/>
                  <w:vAlign w:val="center"/>
                </w:tcPr>
                <w:p w14:paraId="5DDCDECA">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5"/>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5"/>
                      <w:sz w:val="21"/>
                      <w:szCs w:val="21"/>
                      <w:highlight w:val="none"/>
                      <w14:textFill>
                        <w14:solidFill>
                          <w14:schemeClr w14:val="tx1"/>
                        </w14:solidFill>
                      </w14:textFill>
                    </w:rPr>
                    <w:t>~1</w:t>
                  </w:r>
                  <w:r>
                    <w:rPr>
                      <w:rFonts w:hint="default" w:ascii="Times New Roman" w:hAnsi="Times New Roman" w:cs="Times New Roman"/>
                      <w:color w:val="000000" w:themeColor="text1"/>
                      <w:spacing w:val="5"/>
                      <w:sz w:val="21"/>
                      <w:szCs w:val="21"/>
                      <w:highlight w:val="none"/>
                      <w:lang w:val="en-US" w:eastAsia="zh-CN"/>
                      <w14:textFill>
                        <w14:solidFill>
                          <w14:schemeClr w14:val="tx1"/>
                        </w14:solidFill>
                      </w14:textFill>
                    </w:rPr>
                    <w:t>6</w:t>
                  </w:r>
                </w:p>
              </w:tc>
              <w:tc>
                <w:tcPr>
                  <w:tcW w:w="948" w:type="dxa"/>
                  <w:noWrap w:val="0"/>
                  <w:vAlign w:val="center"/>
                </w:tcPr>
                <w:p w14:paraId="2EB38D30">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2"/>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pacing w:val="-2"/>
                      <w:sz w:val="21"/>
                      <w:szCs w:val="21"/>
                      <w:highlight w:val="none"/>
                      <w:lang w:val="en-US" w:eastAsia="zh-CN"/>
                      <w14:textFill>
                        <w14:solidFill>
                          <w14:schemeClr w14:val="tx1"/>
                        </w14:solidFill>
                      </w14:textFill>
                    </w:rPr>
                    <w:t>161.53</w:t>
                  </w:r>
                </w:p>
              </w:tc>
            </w:tr>
            <w:tr w14:paraId="6FFC5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 w:hRule="atLeast"/>
              </w:trPr>
              <w:tc>
                <w:tcPr>
                  <w:tcW w:w="753" w:type="dxa"/>
                  <w:noWrap w:val="0"/>
                  <w:vAlign w:val="center"/>
                </w:tcPr>
                <w:p w14:paraId="788896D2">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5"/>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5"/>
                      <w:sz w:val="21"/>
                      <w:szCs w:val="21"/>
                      <w:highlight w:val="none"/>
                      <w:lang w:val="en-US" w:eastAsia="zh-CN"/>
                      <w14:textFill>
                        <w14:solidFill>
                          <w14:schemeClr w14:val="tx1"/>
                        </w14:solidFill>
                      </w14:textFill>
                    </w:rPr>
                    <w:t>合计</w:t>
                  </w:r>
                </w:p>
              </w:tc>
              <w:tc>
                <w:tcPr>
                  <w:tcW w:w="1720" w:type="dxa"/>
                  <w:noWrap w:val="0"/>
                  <w:vAlign w:val="center"/>
                </w:tcPr>
                <w:p w14:paraId="29F29AB6">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5"/>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5"/>
                      <w:sz w:val="21"/>
                      <w:szCs w:val="21"/>
                      <w:highlight w:val="none"/>
                      <w:lang w:val="en-US" w:eastAsia="zh-CN"/>
                      <w14:textFill>
                        <w14:solidFill>
                          <w14:schemeClr w14:val="tx1"/>
                        </w14:solidFill>
                      </w14:textFill>
                    </w:rPr>
                    <w:t>/</w:t>
                  </w:r>
                </w:p>
              </w:tc>
              <w:tc>
                <w:tcPr>
                  <w:tcW w:w="2002" w:type="dxa"/>
                  <w:noWrap w:val="0"/>
                  <w:vAlign w:val="center"/>
                </w:tcPr>
                <w:p w14:paraId="46C67AAD">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5"/>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5"/>
                      <w:sz w:val="21"/>
                      <w:szCs w:val="21"/>
                      <w:highlight w:val="none"/>
                      <w:lang w:val="en-US" w:eastAsia="zh-CN"/>
                      <w14:textFill>
                        <w14:solidFill>
                          <w14:schemeClr w14:val="tx1"/>
                        </w14:solidFill>
                      </w14:textFill>
                    </w:rPr>
                    <w:t>/</w:t>
                  </w:r>
                </w:p>
              </w:tc>
              <w:tc>
                <w:tcPr>
                  <w:tcW w:w="956" w:type="dxa"/>
                  <w:noWrap w:val="0"/>
                  <w:vAlign w:val="center"/>
                </w:tcPr>
                <w:p w14:paraId="4A00FB04">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5"/>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pacing w:val="5"/>
                      <w:sz w:val="21"/>
                      <w:szCs w:val="21"/>
                      <w:highlight w:val="none"/>
                      <w:lang w:val="en-US" w:eastAsia="zh-CN"/>
                      <w14:textFill>
                        <w14:solidFill>
                          <w14:schemeClr w14:val="tx1"/>
                        </w14:solidFill>
                      </w14:textFill>
                    </w:rPr>
                    <w:t>199.02</w:t>
                  </w:r>
                </w:p>
              </w:tc>
              <w:tc>
                <w:tcPr>
                  <w:tcW w:w="1128" w:type="dxa"/>
                  <w:noWrap w:val="0"/>
                  <w:vAlign w:val="center"/>
                </w:tcPr>
                <w:p w14:paraId="0B884DF1">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5"/>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5"/>
                      <w:sz w:val="21"/>
                      <w:szCs w:val="21"/>
                      <w:highlight w:val="none"/>
                      <w:lang w:val="en-US" w:eastAsia="zh-CN"/>
                      <w14:textFill>
                        <w14:solidFill>
                          <w14:schemeClr w14:val="tx1"/>
                        </w14:solidFill>
                      </w14:textFill>
                    </w:rPr>
                    <w:t>合计</w:t>
                  </w:r>
                </w:p>
              </w:tc>
              <w:tc>
                <w:tcPr>
                  <w:tcW w:w="871" w:type="dxa"/>
                  <w:noWrap w:val="0"/>
                  <w:vAlign w:val="center"/>
                </w:tcPr>
                <w:p w14:paraId="0EFB232D">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5"/>
                      <w:sz w:val="21"/>
                      <w:szCs w:val="21"/>
                      <w:highlight w:val="none"/>
                      <w14:textFill>
                        <w14:solidFill>
                          <w14:schemeClr w14:val="tx1"/>
                        </w14:solidFill>
                      </w14:textFill>
                    </w:rPr>
                  </w:pPr>
                </w:p>
              </w:tc>
              <w:tc>
                <w:tcPr>
                  <w:tcW w:w="948" w:type="dxa"/>
                  <w:noWrap w:val="0"/>
                  <w:vAlign w:val="center"/>
                </w:tcPr>
                <w:p w14:paraId="31897896">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2"/>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pacing w:val="-2"/>
                      <w:sz w:val="21"/>
                      <w:szCs w:val="21"/>
                      <w:highlight w:val="none"/>
                      <w:lang w:val="en-US" w:eastAsia="zh-CN"/>
                      <w14:textFill>
                        <w14:solidFill>
                          <w14:schemeClr w14:val="tx1"/>
                        </w14:solidFill>
                      </w14:textFill>
                    </w:rPr>
                    <w:t>199.02</w:t>
                  </w:r>
                </w:p>
              </w:tc>
            </w:tr>
          </w:tbl>
          <w:p w14:paraId="38F9B8CF">
            <w:pPr>
              <w:pStyle w:val="88"/>
              <w:widowControl/>
              <w:adjustRightInd/>
              <w:snapToGrid w:val="0"/>
              <w:spacing w:before="120" w:beforeLines="50" w:line="240" w:lineRule="auto"/>
              <w:ind w:firstLineChars="200"/>
              <w:rPr>
                <w:rFonts w:hint="default" w:ascii="Times New Roman" w:hAnsi="Times New Roman" w:eastAsia="宋体" w:cs="Times New Roman"/>
                <w:b/>
                <w:color w:val="000000" w:themeColor="text1"/>
                <w:highlight w:val="none"/>
                <w14:textFill>
                  <w14:solidFill>
                    <w14:schemeClr w14:val="tx1"/>
                  </w14:solidFill>
                </w14:textFill>
              </w:rPr>
            </w:pPr>
            <w:r>
              <w:rPr>
                <w:rFonts w:hint="default" w:ascii="Times New Roman" w:hAnsi="Times New Roman" w:eastAsia="宋体" w:cs="Times New Roman"/>
                <w:b/>
                <w:bCs/>
                <w:color w:val="000000" w:themeColor="text1"/>
                <w:highlight w:val="none"/>
                <w14:textFill>
                  <w14:solidFill>
                    <w14:schemeClr w14:val="tx1"/>
                  </w14:solidFill>
                </w14:textFill>
              </w:rPr>
              <w:t>1.</w:t>
            </w:r>
            <w:r>
              <w:rPr>
                <w:rFonts w:hint="default" w:ascii="Times New Roman" w:hAnsi="Times New Roman" w:cs="Times New Roman"/>
                <w:b/>
                <w:bCs/>
                <w:color w:val="000000" w:themeColor="text1"/>
                <w:highlight w:val="none"/>
                <w:lang w:val="en-US" w:eastAsia="zh-CN"/>
                <w14:textFill>
                  <w14:solidFill>
                    <w14:schemeClr w14:val="tx1"/>
                  </w14:solidFill>
                </w14:textFill>
              </w:rPr>
              <w:t>7</w:t>
            </w:r>
            <w:r>
              <w:rPr>
                <w:rFonts w:hint="default" w:ascii="Times New Roman" w:hAnsi="Times New Roman" w:eastAsia="宋体" w:cs="Times New Roman"/>
                <w:b/>
                <w:color w:val="000000" w:themeColor="text1"/>
                <w:highlight w:val="none"/>
                <w14:textFill>
                  <w14:solidFill>
                    <w14:schemeClr w14:val="tx1"/>
                  </w14:solidFill>
                </w14:textFill>
              </w:rPr>
              <w:t>物料的运输及存储</w:t>
            </w:r>
          </w:p>
          <w:p w14:paraId="38AD9CF8">
            <w:pPr>
              <w:spacing w:line="440" w:lineRule="exact"/>
              <w:ind w:firstLine="480" w:firstLineChars="20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本项目物料的运输及储存见</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下</w:t>
            </w:r>
            <w:r>
              <w:rPr>
                <w:rFonts w:hint="default" w:ascii="Times New Roman" w:hAnsi="Times New Roman" w:eastAsia="宋体" w:cs="Times New Roman"/>
                <w:color w:val="000000" w:themeColor="text1"/>
                <w:sz w:val="24"/>
                <w:highlight w:val="none"/>
                <w14:textFill>
                  <w14:solidFill>
                    <w14:schemeClr w14:val="tx1"/>
                  </w14:solidFill>
                </w14:textFill>
              </w:rPr>
              <w:t>表。</w:t>
            </w:r>
          </w:p>
          <w:p w14:paraId="0C82420D">
            <w:pPr>
              <w:pStyle w:val="88"/>
              <w:widowControl/>
              <w:adjustRightInd/>
              <w:snapToGrid w:val="0"/>
              <w:spacing w:before="120" w:beforeLines="50" w:line="240" w:lineRule="auto"/>
              <w:ind w:firstLineChars="200"/>
              <w:jc w:val="center"/>
              <w:rPr>
                <w:rFonts w:hint="default" w:ascii="Times New Roman" w:hAnsi="Times New Roman" w:eastAsia="宋体" w:cs="Times New Roman"/>
                <w:b/>
                <w:bCs/>
                <w:color w:val="000000" w:themeColor="text1"/>
                <w:spacing w:val="-2"/>
                <w:highlight w:val="none"/>
                <w14:textFill>
                  <w14:solidFill>
                    <w14:schemeClr w14:val="tx1"/>
                  </w14:solidFill>
                </w14:textFill>
              </w:rPr>
            </w:pPr>
            <w:r>
              <w:rPr>
                <w:rFonts w:hint="default" w:ascii="Times New Roman" w:hAnsi="Times New Roman" w:eastAsia="宋体" w:cs="Times New Roman"/>
                <w:b/>
                <w:bCs/>
                <w:color w:val="000000" w:themeColor="text1"/>
                <w:spacing w:val="-2"/>
                <w:highlight w:val="none"/>
                <w14:textFill>
                  <w14:solidFill>
                    <w14:schemeClr w14:val="tx1"/>
                  </w14:solidFill>
                </w14:textFill>
              </w:rPr>
              <w:t>表</w:t>
            </w:r>
            <w:r>
              <w:rPr>
                <w:rFonts w:hint="default" w:ascii="Times New Roman" w:hAnsi="Times New Roman" w:eastAsia="宋体" w:cs="Times New Roman"/>
                <w:b/>
                <w:bCs/>
                <w:color w:val="000000" w:themeColor="text1"/>
                <w:spacing w:val="-2"/>
                <w:highlight w:val="none"/>
                <w:lang w:val="en-US" w:eastAsia="zh-CN"/>
                <w14:textFill>
                  <w14:solidFill>
                    <w14:schemeClr w14:val="tx1"/>
                  </w14:solidFill>
                </w14:textFill>
              </w:rPr>
              <w:t>2-2</w:t>
            </w:r>
            <w:r>
              <w:rPr>
                <w:rFonts w:hint="default" w:ascii="Times New Roman" w:hAnsi="Times New Roman" w:cs="Times New Roman"/>
                <w:b/>
                <w:bCs/>
                <w:color w:val="000000" w:themeColor="text1"/>
                <w:spacing w:val="-2"/>
                <w:highlight w:val="none"/>
                <w:lang w:val="en-US" w:eastAsia="zh-CN"/>
                <w14:textFill>
                  <w14:solidFill>
                    <w14:schemeClr w14:val="tx1"/>
                  </w14:solidFill>
                </w14:textFill>
              </w:rPr>
              <w:t>4</w:t>
            </w:r>
            <w:r>
              <w:rPr>
                <w:rFonts w:hint="default" w:ascii="Times New Roman" w:hAnsi="Times New Roman" w:eastAsia="宋体" w:cs="Times New Roman"/>
                <w:b/>
                <w:bCs/>
                <w:color w:val="000000" w:themeColor="text1"/>
                <w:spacing w:val="-2"/>
                <w:highlight w:val="none"/>
                <w14:textFill>
                  <w14:solidFill>
                    <w14:schemeClr w14:val="tx1"/>
                  </w14:solidFill>
                </w14:textFill>
              </w:rPr>
              <w:t>物料运输及储存一览表</w:t>
            </w:r>
          </w:p>
          <w:tbl>
            <w:tblPr>
              <w:tblStyle w:val="2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89"/>
              <w:gridCol w:w="1582"/>
              <w:gridCol w:w="2962"/>
              <w:gridCol w:w="1943"/>
            </w:tblGrid>
            <w:tr w14:paraId="71B27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27" w:type="pct"/>
                  <w:noWrap w:val="0"/>
                  <w:tcMar>
                    <w:left w:w="28" w:type="dxa"/>
                    <w:right w:w="28" w:type="dxa"/>
                  </w:tcMar>
                  <w:vAlign w:val="center"/>
                </w:tcPr>
                <w:p w14:paraId="4A9CB3AC">
                  <w:pPr>
                    <w:pStyle w:val="13"/>
                    <w:keepNext w:val="0"/>
                    <w:keepLines w:val="0"/>
                    <w:pageBreakBefore w:val="0"/>
                    <w:widowControl w:val="0"/>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物料名称</w:t>
                  </w:r>
                </w:p>
              </w:tc>
              <w:tc>
                <w:tcPr>
                  <w:tcW w:w="944" w:type="pct"/>
                  <w:noWrap w:val="0"/>
                  <w:tcMar>
                    <w:left w:w="28" w:type="dxa"/>
                    <w:right w:w="28" w:type="dxa"/>
                  </w:tcMar>
                  <w:vAlign w:val="center"/>
                </w:tcPr>
                <w:p w14:paraId="4D989124">
                  <w:pPr>
                    <w:pStyle w:val="13"/>
                    <w:keepNext w:val="0"/>
                    <w:keepLines w:val="0"/>
                    <w:pageBreakBefore w:val="0"/>
                    <w:widowControl w:val="0"/>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运输方式</w:t>
                  </w:r>
                </w:p>
              </w:tc>
              <w:tc>
                <w:tcPr>
                  <w:tcW w:w="1768" w:type="pct"/>
                  <w:noWrap w:val="0"/>
                  <w:tcMar>
                    <w:left w:w="28" w:type="dxa"/>
                    <w:right w:w="28" w:type="dxa"/>
                  </w:tcMar>
                  <w:vAlign w:val="center"/>
                </w:tcPr>
                <w:p w14:paraId="7F7790A5">
                  <w:pPr>
                    <w:pStyle w:val="13"/>
                    <w:keepNext w:val="0"/>
                    <w:keepLines w:val="0"/>
                    <w:pageBreakBefore w:val="0"/>
                    <w:widowControl w:val="0"/>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储存方式</w:t>
                  </w:r>
                </w:p>
              </w:tc>
              <w:tc>
                <w:tcPr>
                  <w:tcW w:w="1159" w:type="pct"/>
                  <w:noWrap w:val="0"/>
                  <w:vAlign w:val="center"/>
                </w:tcPr>
                <w:p w14:paraId="26C3A429">
                  <w:pPr>
                    <w:pStyle w:val="13"/>
                    <w:keepNext w:val="0"/>
                    <w:keepLines w:val="0"/>
                    <w:pageBreakBefore w:val="0"/>
                    <w:widowControl w:val="0"/>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存储量</w:t>
                  </w: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t</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/a</w:t>
                  </w: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w:t>
                  </w:r>
                </w:p>
              </w:tc>
            </w:tr>
            <w:tr w14:paraId="68D35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27" w:type="pct"/>
                  <w:noWrap w:val="0"/>
                  <w:tcMar>
                    <w:left w:w="28" w:type="dxa"/>
                    <w:right w:w="28" w:type="dxa"/>
                  </w:tcMar>
                  <w:vAlign w:val="center"/>
                </w:tcPr>
                <w:p w14:paraId="06C8D9BB">
                  <w:pPr>
                    <w:pStyle w:val="13"/>
                    <w:keepNext w:val="0"/>
                    <w:keepLines w:val="0"/>
                    <w:pageBreakBefore w:val="0"/>
                    <w:widowControl w:val="0"/>
                    <w:kinsoku/>
                    <w:wordWrap/>
                    <w:overflowPunct/>
                    <w:topLinePunct w:val="0"/>
                    <w:autoSpaceDE/>
                    <w:autoSpaceDN/>
                    <w:bidi w:val="0"/>
                    <w:adjustRightInd/>
                    <w:snapToGrid w:val="0"/>
                    <w:spacing w:before="0" w:after="0" w:line="240" w:lineRule="auto"/>
                    <w:ind w:right="0" w:rightChars="0"/>
                    <w:jc w:val="center"/>
                    <w:textAlignment w:val="auto"/>
                    <w:rPr>
                      <w:rFonts w:hint="default" w:ascii="Times New Roman" w:hAnsi="Times New Roman" w:eastAsia="宋体" w:cs="Times New Roman"/>
                      <w:b w:val="0"/>
                      <w:bCs w:val="0"/>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eastAsia="zh-CN"/>
                      <w14:textFill>
                        <w14:solidFill>
                          <w14:schemeClr w14:val="tx1"/>
                        </w14:solidFill>
                      </w14:textFill>
                    </w:rPr>
                    <w:t>原料粉</w:t>
                  </w:r>
                </w:p>
              </w:tc>
              <w:tc>
                <w:tcPr>
                  <w:tcW w:w="944" w:type="pct"/>
                  <w:noWrap w:val="0"/>
                  <w:tcMar>
                    <w:left w:w="28" w:type="dxa"/>
                    <w:right w:w="28" w:type="dxa"/>
                  </w:tcMar>
                  <w:vAlign w:val="center"/>
                </w:tcPr>
                <w:p w14:paraId="6D7A74E6">
                  <w:pPr>
                    <w:pStyle w:val="13"/>
                    <w:keepNext w:val="0"/>
                    <w:keepLines w:val="0"/>
                    <w:pageBreakBefore w:val="0"/>
                    <w:widowControl w:val="0"/>
                    <w:kinsoku/>
                    <w:wordWrap/>
                    <w:overflowPunct/>
                    <w:topLinePunct w:val="0"/>
                    <w:autoSpaceDE/>
                    <w:autoSpaceDN/>
                    <w:bidi w:val="0"/>
                    <w:adjustRightInd/>
                    <w:snapToGrid w:val="0"/>
                    <w:spacing w:before="0" w:after="0" w:line="240" w:lineRule="auto"/>
                    <w:ind w:right="0" w:rightChars="0"/>
                    <w:jc w:val="center"/>
                    <w:textAlignment w:val="auto"/>
                    <w:rPr>
                      <w:rFonts w:hint="default" w:ascii="Times New Roman" w:hAnsi="Times New Roman" w:eastAsia="宋体" w:cs="Times New Roman"/>
                      <w:b w:val="0"/>
                      <w:bCs w:val="0"/>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汽运</w:t>
                  </w:r>
                </w:p>
              </w:tc>
              <w:tc>
                <w:tcPr>
                  <w:tcW w:w="1768" w:type="pct"/>
                  <w:noWrap w:val="0"/>
                  <w:tcMar>
                    <w:left w:w="28" w:type="dxa"/>
                    <w:right w:w="28" w:type="dxa"/>
                  </w:tcMar>
                  <w:vAlign w:val="center"/>
                </w:tcPr>
                <w:p w14:paraId="3455AE33">
                  <w:pPr>
                    <w:pStyle w:val="13"/>
                    <w:keepNext w:val="0"/>
                    <w:keepLines w:val="0"/>
                    <w:pageBreakBefore w:val="0"/>
                    <w:widowControl w:val="0"/>
                    <w:kinsoku/>
                    <w:wordWrap/>
                    <w:overflowPunct/>
                    <w:topLinePunct w:val="0"/>
                    <w:autoSpaceDE/>
                    <w:autoSpaceDN/>
                    <w:bidi w:val="0"/>
                    <w:adjustRightInd/>
                    <w:snapToGrid w:val="0"/>
                    <w:spacing w:before="0" w:after="0" w:line="240" w:lineRule="auto"/>
                    <w:ind w:right="0" w:rightChars="0"/>
                    <w:jc w:val="center"/>
                    <w:textAlignment w:val="auto"/>
                    <w:rPr>
                      <w:rFonts w:hint="default" w:ascii="Times New Roman" w:hAnsi="Times New Roman" w:eastAsia="宋体" w:cs="Times New Roman"/>
                      <w:b w:val="0"/>
                      <w:bCs w:val="0"/>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存储于全封闭原料</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仓</w:t>
                  </w:r>
                </w:p>
              </w:tc>
              <w:tc>
                <w:tcPr>
                  <w:tcW w:w="1159" w:type="pct"/>
                  <w:noWrap w:val="0"/>
                  <w:vAlign w:val="center"/>
                </w:tcPr>
                <w:p w14:paraId="0DF0C35E">
                  <w:pPr>
                    <w:pStyle w:val="13"/>
                    <w:keepNext w:val="0"/>
                    <w:keepLines w:val="0"/>
                    <w:pageBreakBefore w:val="0"/>
                    <w:widowControl w:val="0"/>
                    <w:kinsoku/>
                    <w:wordWrap/>
                    <w:overflowPunct/>
                    <w:topLinePunct w:val="0"/>
                    <w:autoSpaceDE/>
                    <w:autoSpaceDN/>
                    <w:bidi w:val="0"/>
                    <w:adjustRightInd/>
                    <w:snapToGrid w:val="0"/>
                    <w:spacing w:before="0" w:after="0" w:line="240" w:lineRule="auto"/>
                    <w:ind w:right="0" w:rightChars="0"/>
                    <w:jc w:val="center"/>
                    <w:textAlignment w:val="auto"/>
                    <w:rPr>
                      <w:rFonts w:hint="default" w:ascii="Times New Roman" w:hAnsi="Times New Roman" w:eastAsia="宋体" w:cs="Times New Roman"/>
                      <w:b w:val="0"/>
                      <w:bCs w:val="0"/>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244234</w:t>
                  </w:r>
                </w:p>
              </w:tc>
            </w:tr>
            <w:tr w14:paraId="1651B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27" w:type="pct"/>
                  <w:noWrap w:val="0"/>
                  <w:tcMar>
                    <w:left w:w="28" w:type="dxa"/>
                    <w:right w:w="28" w:type="dxa"/>
                  </w:tcMar>
                  <w:vAlign w:val="center"/>
                </w:tcPr>
                <w:p w14:paraId="6F6CDE67">
                  <w:pPr>
                    <w:pStyle w:val="13"/>
                    <w:keepNext w:val="0"/>
                    <w:keepLines w:val="0"/>
                    <w:pageBreakBefore w:val="0"/>
                    <w:widowControl w:val="0"/>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石灰石</w:t>
                  </w:r>
                </w:p>
              </w:tc>
              <w:tc>
                <w:tcPr>
                  <w:tcW w:w="944" w:type="pct"/>
                  <w:noWrap w:val="0"/>
                  <w:tcMar>
                    <w:left w:w="28" w:type="dxa"/>
                    <w:right w:w="28" w:type="dxa"/>
                  </w:tcMar>
                  <w:vAlign w:val="center"/>
                </w:tcPr>
                <w:p w14:paraId="649B7597">
                  <w:pPr>
                    <w:pStyle w:val="13"/>
                    <w:keepNext w:val="0"/>
                    <w:keepLines w:val="0"/>
                    <w:pageBreakBefore w:val="0"/>
                    <w:widowControl w:val="0"/>
                    <w:kinsoku/>
                    <w:wordWrap/>
                    <w:overflowPunct/>
                    <w:topLinePunct w:val="0"/>
                    <w:autoSpaceDE/>
                    <w:autoSpaceDN/>
                    <w:bidi w:val="0"/>
                    <w:adjustRightInd/>
                    <w:snapToGrid w:val="0"/>
                    <w:spacing w:before="0" w:after="0" w:line="240" w:lineRule="auto"/>
                    <w:ind w:right="0" w:rightChars="0"/>
                    <w:jc w:val="center"/>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汽运</w:t>
                  </w:r>
                </w:p>
              </w:tc>
              <w:tc>
                <w:tcPr>
                  <w:tcW w:w="1768" w:type="pct"/>
                  <w:noWrap w:val="0"/>
                  <w:tcMar>
                    <w:left w:w="28" w:type="dxa"/>
                    <w:right w:w="28" w:type="dxa"/>
                  </w:tcMar>
                  <w:vAlign w:val="center"/>
                </w:tcPr>
                <w:p w14:paraId="45106C86">
                  <w:pPr>
                    <w:pStyle w:val="13"/>
                    <w:keepNext w:val="0"/>
                    <w:keepLines w:val="0"/>
                    <w:pageBreakBefore w:val="0"/>
                    <w:widowControl w:val="0"/>
                    <w:kinsoku/>
                    <w:wordWrap/>
                    <w:overflowPunct/>
                    <w:topLinePunct w:val="0"/>
                    <w:autoSpaceDE/>
                    <w:autoSpaceDN/>
                    <w:bidi w:val="0"/>
                    <w:adjustRightInd/>
                    <w:snapToGrid w:val="0"/>
                    <w:spacing w:before="0" w:after="0" w:line="240" w:lineRule="auto"/>
                    <w:ind w:right="0" w:rightChars="0"/>
                    <w:jc w:val="center"/>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存储于</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脱硫车间</w:t>
                  </w:r>
                </w:p>
              </w:tc>
              <w:tc>
                <w:tcPr>
                  <w:tcW w:w="1159" w:type="pct"/>
                  <w:noWrap w:val="0"/>
                  <w:vAlign w:val="center"/>
                </w:tcPr>
                <w:p w14:paraId="42389897">
                  <w:pPr>
                    <w:pStyle w:val="13"/>
                    <w:keepNext w:val="0"/>
                    <w:keepLines w:val="0"/>
                    <w:pageBreakBefore w:val="0"/>
                    <w:widowControl w:val="0"/>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600</w:t>
                  </w:r>
                </w:p>
              </w:tc>
            </w:tr>
            <w:tr w14:paraId="3D500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27" w:type="pct"/>
                  <w:noWrap w:val="0"/>
                  <w:tcMar>
                    <w:left w:w="28" w:type="dxa"/>
                    <w:right w:w="28" w:type="dxa"/>
                  </w:tcMar>
                  <w:vAlign w:val="center"/>
                </w:tcPr>
                <w:p w14:paraId="5F1D9FFB">
                  <w:pPr>
                    <w:pStyle w:val="13"/>
                    <w:keepNext w:val="0"/>
                    <w:keepLines w:val="0"/>
                    <w:pageBreakBefore w:val="0"/>
                    <w:widowControl w:val="0"/>
                    <w:kinsoku/>
                    <w:wordWrap/>
                    <w:overflowPunct/>
                    <w:topLinePunct w:val="0"/>
                    <w:autoSpaceDE/>
                    <w:autoSpaceDN/>
                    <w:bidi w:val="0"/>
                    <w:adjustRightInd/>
                    <w:snapToGrid w:val="0"/>
                    <w:spacing w:before="0" w:after="0" w:line="240" w:lineRule="auto"/>
                    <w:ind w:right="0" w:rightChars="0"/>
                    <w:jc w:val="center"/>
                    <w:textAlignment w:val="auto"/>
                    <w:rPr>
                      <w:rFonts w:hint="default" w:ascii="Times New Roman" w:hAnsi="Times New Roman" w:eastAsia="宋体" w:cs="Times New Roman"/>
                      <w:b w:val="0"/>
                      <w:bCs w:val="0"/>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脱硫石膏</w:t>
                  </w:r>
                </w:p>
              </w:tc>
              <w:tc>
                <w:tcPr>
                  <w:tcW w:w="944" w:type="pct"/>
                  <w:noWrap w:val="0"/>
                  <w:tcMar>
                    <w:left w:w="28" w:type="dxa"/>
                    <w:right w:w="28" w:type="dxa"/>
                  </w:tcMar>
                  <w:vAlign w:val="center"/>
                </w:tcPr>
                <w:p w14:paraId="6C7C8A70">
                  <w:pPr>
                    <w:pStyle w:val="13"/>
                    <w:keepNext w:val="0"/>
                    <w:keepLines w:val="0"/>
                    <w:pageBreakBefore w:val="0"/>
                    <w:widowControl w:val="0"/>
                    <w:kinsoku/>
                    <w:wordWrap/>
                    <w:overflowPunct/>
                    <w:topLinePunct w:val="0"/>
                    <w:autoSpaceDE/>
                    <w:autoSpaceDN/>
                    <w:bidi w:val="0"/>
                    <w:adjustRightInd/>
                    <w:snapToGrid w:val="0"/>
                    <w:spacing w:before="0" w:after="0" w:line="240" w:lineRule="auto"/>
                    <w:ind w:right="0" w:rightChars="0"/>
                    <w:jc w:val="center"/>
                    <w:textAlignment w:val="auto"/>
                    <w:rPr>
                      <w:rFonts w:hint="default" w:ascii="Times New Roman" w:hAnsi="Times New Roman" w:eastAsia="宋体" w:cs="Times New Roman"/>
                      <w:b w:val="0"/>
                      <w:bCs w:val="0"/>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汽运</w:t>
                  </w:r>
                </w:p>
              </w:tc>
              <w:tc>
                <w:tcPr>
                  <w:tcW w:w="1768" w:type="pct"/>
                  <w:noWrap w:val="0"/>
                  <w:tcMar>
                    <w:left w:w="28" w:type="dxa"/>
                    <w:right w:w="28" w:type="dxa"/>
                  </w:tcMar>
                  <w:vAlign w:val="center"/>
                </w:tcPr>
                <w:p w14:paraId="54FE9329">
                  <w:pPr>
                    <w:pStyle w:val="13"/>
                    <w:keepNext w:val="0"/>
                    <w:keepLines w:val="0"/>
                    <w:pageBreakBefore w:val="0"/>
                    <w:widowControl w:val="0"/>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存储于</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脱硫石膏库</w:t>
                  </w:r>
                </w:p>
              </w:tc>
              <w:tc>
                <w:tcPr>
                  <w:tcW w:w="1159" w:type="pct"/>
                  <w:noWrap w:val="0"/>
                  <w:vAlign w:val="center"/>
                </w:tcPr>
                <w:p w14:paraId="52C220A9">
                  <w:pPr>
                    <w:pStyle w:val="13"/>
                    <w:keepNext w:val="0"/>
                    <w:keepLines w:val="0"/>
                    <w:pageBreakBefore w:val="0"/>
                    <w:widowControl w:val="0"/>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1243</w:t>
                  </w:r>
                </w:p>
              </w:tc>
            </w:tr>
            <w:tr w14:paraId="44AF6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27" w:type="pct"/>
                  <w:noWrap w:val="0"/>
                  <w:tcMar>
                    <w:left w:w="28" w:type="dxa"/>
                    <w:right w:w="28" w:type="dxa"/>
                  </w:tcMar>
                  <w:vAlign w:val="center"/>
                </w:tcPr>
                <w:p w14:paraId="51FE3467">
                  <w:pPr>
                    <w:pStyle w:val="13"/>
                    <w:keepNext w:val="0"/>
                    <w:keepLines w:val="0"/>
                    <w:pageBreakBefore w:val="0"/>
                    <w:widowControl w:val="0"/>
                    <w:kinsoku/>
                    <w:wordWrap/>
                    <w:overflowPunct/>
                    <w:topLinePunct w:val="0"/>
                    <w:autoSpaceDE/>
                    <w:autoSpaceDN/>
                    <w:bidi w:val="0"/>
                    <w:adjustRightInd/>
                    <w:snapToGrid w:val="0"/>
                    <w:spacing w:before="0" w:after="0" w:line="240" w:lineRule="auto"/>
                    <w:ind w:right="0" w:rightChars="0"/>
                    <w:jc w:val="center"/>
                    <w:textAlignment w:val="auto"/>
                    <w:rPr>
                      <w:rFonts w:hint="default" w:ascii="Times New Roman" w:hAnsi="Times New Roman" w:eastAsia="宋体" w:cs="Times New Roman"/>
                      <w:b w:val="0"/>
                      <w:bCs w:val="0"/>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氨水</w:t>
                  </w:r>
                </w:p>
              </w:tc>
              <w:tc>
                <w:tcPr>
                  <w:tcW w:w="944" w:type="pct"/>
                  <w:noWrap w:val="0"/>
                  <w:tcMar>
                    <w:left w:w="28" w:type="dxa"/>
                    <w:right w:w="28" w:type="dxa"/>
                  </w:tcMar>
                  <w:vAlign w:val="center"/>
                </w:tcPr>
                <w:p w14:paraId="61A0B71B">
                  <w:pPr>
                    <w:pStyle w:val="13"/>
                    <w:keepNext w:val="0"/>
                    <w:keepLines w:val="0"/>
                    <w:pageBreakBefore w:val="0"/>
                    <w:widowControl w:val="0"/>
                    <w:kinsoku/>
                    <w:wordWrap/>
                    <w:overflowPunct/>
                    <w:topLinePunct w:val="0"/>
                    <w:autoSpaceDE/>
                    <w:autoSpaceDN/>
                    <w:bidi w:val="0"/>
                    <w:adjustRightInd/>
                    <w:snapToGrid w:val="0"/>
                    <w:spacing w:before="0" w:after="0" w:line="240" w:lineRule="auto"/>
                    <w:ind w:right="0" w:rightChars="0"/>
                    <w:jc w:val="center"/>
                    <w:textAlignment w:val="auto"/>
                    <w:rPr>
                      <w:rFonts w:hint="default" w:ascii="Times New Roman" w:hAnsi="Times New Roman" w:eastAsia="宋体" w:cs="Times New Roman"/>
                      <w:b w:val="0"/>
                      <w:bCs w:val="0"/>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汽运</w:t>
                  </w:r>
                </w:p>
              </w:tc>
              <w:tc>
                <w:tcPr>
                  <w:tcW w:w="1768" w:type="pct"/>
                  <w:noWrap w:val="0"/>
                  <w:tcMar>
                    <w:left w:w="28" w:type="dxa"/>
                    <w:right w:w="28" w:type="dxa"/>
                  </w:tcMar>
                  <w:vAlign w:val="center"/>
                </w:tcPr>
                <w:p w14:paraId="28A440FE">
                  <w:pPr>
                    <w:pStyle w:val="13"/>
                    <w:keepNext w:val="0"/>
                    <w:keepLines w:val="0"/>
                    <w:pageBreakBefore w:val="0"/>
                    <w:widowControl w:val="0"/>
                    <w:kinsoku/>
                    <w:wordWrap/>
                    <w:overflowPunct/>
                    <w:topLinePunct w:val="0"/>
                    <w:autoSpaceDE/>
                    <w:autoSpaceDN/>
                    <w:bidi w:val="0"/>
                    <w:adjustRightInd/>
                    <w:snapToGrid w:val="0"/>
                    <w:spacing w:before="0" w:after="0" w:line="240" w:lineRule="auto"/>
                    <w:ind w:right="0" w:rightChars="0"/>
                    <w:jc w:val="center"/>
                    <w:textAlignment w:val="auto"/>
                    <w:rPr>
                      <w:rFonts w:hint="default" w:ascii="Times New Roman" w:hAnsi="Times New Roman" w:eastAsia="宋体" w:cs="Times New Roman"/>
                      <w:b w:val="0"/>
                      <w:bCs w:val="0"/>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存储于</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1个12m</w:t>
                  </w:r>
                  <w:r>
                    <w:rPr>
                      <w:rFonts w:hint="default" w:ascii="Times New Roman" w:hAnsi="Times New Roman" w:eastAsia="宋体" w:cs="Times New Roman"/>
                      <w:b w:val="0"/>
                      <w:bCs w:val="0"/>
                      <w:color w:val="000000" w:themeColor="text1"/>
                      <w:sz w:val="21"/>
                      <w:szCs w:val="21"/>
                      <w:highlight w:val="none"/>
                      <w:vertAlign w:val="superscript"/>
                      <w:lang w:val="en-US" w:eastAsia="zh-CN"/>
                      <w14:textFill>
                        <w14:solidFill>
                          <w14:schemeClr w14:val="tx1"/>
                        </w14:solidFill>
                      </w14:textFill>
                    </w:rPr>
                    <w:t>3</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的氨水罐</w:t>
                  </w:r>
                </w:p>
              </w:tc>
              <w:tc>
                <w:tcPr>
                  <w:tcW w:w="1159" w:type="pct"/>
                  <w:noWrap w:val="0"/>
                  <w:vAlign w:val="center"/>
                </w:tcPr>
                <w:p w14:paraId="1BC02064">
                  <w:pPr>
                    <w:pStyle w:val="13"/>
                    <w:keepNext w:val="0"/>
                    <w:keepLines w:val="0"/>
                    <w:pageBreakBefore w:val="0"/>
                    <w:widowControl w:val="0"/>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850</w:t>
                  </w:r>
                </w:p>
              </w:tc>
            </w:tr>
            <w:tr w14:paraId="2C619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27" w:type="pct"/>
                  <w:noWrap w:val="0"/>
                  <w:tcMar>
                    <w:left w:w="28" w:type="dxa"/>
                    <w:right w:w="28" w:type="dxa"/>
                  </w:tcMar>
                  <w:vAlign w:val="center"/>
                </w:tcPr>
                <w:p w14:paraId="25D4E5A5">
                  <w:pPr>
                    <w:pStyle w:val="13"/>
                    <w:keepNext w:val="0"/>
                    <w:keepLines w:val="0"/>
                    <w:pageBreakBefore w:val="0"/>
                    <w:widowControl w:val="0"/>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产品</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高岭土</w:t>
                  </w:r>
                </w:p>
              </w:tc>
              <w:tc>
                <w:tcPr>
                  <w:tcW w:w="944" w:type="pct"/>
                  <w:noWrap w:val="0"/>
                  <w:tcMar>
                    <w:left w:w="28" w:type="dxa"/>
                    <w:right w:w="28" w:type="dxa"/>
                  </w:tcMar>
                  <w:vAlign w:val="center"/>
                </w:tcPr>
                <w:p w14:paraId="48840819">
                  <w:pPr>
                    <w:pStyle w:val="13"/>
                    <w:keepNext w:val="0"/>
                    <w:keepLines w:val="0"/>
                    <w:pageBreakBefore w:val="0"/>
                    <w:widowControl w:val="0"/>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汽车运输</w:t>
                  </w:r>
                </w:p>
              </w:tc>
              <w:tc>
                <w:tcPr>
                  <w:tcW w:w="1768" w:type="pct"/>
                  <w:noWrap w:val="0"/>
                  <w:tcMar>
                    <w:left w:w="28" w:type="dxa"/>
                    <w:right w:w="28" w:type="dxa"/>
                  </w:tcMar>
                  <w:vAlign w:val="center"/>
                </w:tcPr>
                <w:p w14:paraId="346CBAE2">
                  <w:pPr>
                    <w:pStyle w:val="13"/>
                    <w:keepNext w:val="0"/>
                    <w:keepLines w:val="0"/>
                    <w:pageBreakBefore w:val="0"/>
                    <w:widowControl w:val="0"/>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存储于成品堆</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棚</w:t>
                  </w:r>
                </w:p>
              </w:tc>
              <w:tc>
                <w:tcPr>
                  <w:tcW w:w="1159" w:type="pct"/>
                  <w:noWrap w:val="0"/>
                  <w:vAlign w:val="center"/>
                </w:tcPr>
                <w:p w14:paraId="644F8AD3">
                  <w:pPr>
                    <w:pStyle w:val="13"/>
                    <w:keepNext w:val="0"/>
                    <w:keepLines w:val="0"/>
                    <w:pageBreakBefore w:val="0"/>
                    <w:widowControl w:val="0"/>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20</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万</w:t>
                  </w:r>
                </w:p>
              </w:tc>
            </w:tr>
          </w:tbl>
          <w:p w14:paraId="77551EDF">
            <w:pPr>
              <w:widowControl/>
              <w:spacing w:before="120" w:beforeLines="50"/>
              <w:ind w:firstLine="482" w:firstLineChars="200"/>
              <w:jc w:val="left"/>
              <w:rPr>
                <w:rFonts w:hint="default" w:ascii="Times New Roman" w:hAnsi="Times New Roman" w:eastAsia="宋体" w:cs="Times New Roman"/>
                <w:b/>
                <w:bCs/>
                <w:color w:val="000000" w:themeColor="text1"/>
                <w:sz w:val="24"/>
                <w:highlight w:val="none"/>
                <w14:textFill>
                  <w14:solidFill>
                    <w14:schemeClr w14:val="tx1"/>
                  </w14:solidFill>
                </w14:textFill>
              </w:rPr>
            </w:pPr>
            <w:r>
              <w:rPr>
                <w:rFonts w:hint="default" w:ascii="Times New Roman" w:hAnsi="Times New Roman" w:eastAsia="宋体" w:cs="Times New Roman"/>
                <w:b/>
                <w:bCs/>
                <w:color w:val="000000" w:themeColor="text1"/>
                <w:sz w:val="24"/>
                <w:highlight w:val="none"/>
                <w14:textFill>
                  <w14:solidFill>
                    <w14:schemeClr w14:val="tx1"/>
                  </w14:solidFill>
                </w14:textFill>
              </w:rPr>
              <w:t>1.</w:t>
            </w:r>
            <w:r>
              <w:rPr>
                <w:rFonts w:hint="default" w:ascii="Times New Roman" w:hAnsi="Times New Roman" w:cs="Times New Roman"/>
                <w:b/>
                <w:bCs/>
                <w:color w:val="000000" w:themeColor="text1"/>
                <w:sz w:val="24"/>
                <w:highlight w:val="none"/>
                <w:lang w:val="en-US" w:eastAsia="zh-CN"/>
                <w14:textFill>
                  <w14:solidFill>
                    <w14:schemeClr w14:val="tx1"/>
                  </w14:solidFill>
                </w14:textFill>
              </w:rPr>
              <w:t>8</w:t>
            </w:r>
            <w:r>
              <w:rPr>
                <w:rFonts w:hint="default" w:ascii="Times New Roman" w:hAnsi="Times New Roman" w:eastAsia="宋体" w:cs="Times New Roman"/>
                <w:b/>
                <w:bCs/>
                <w:color w:val="000000" w:themeColor="text1"/>
                <w:sz w:val="24"/>
                <w:highlight w:val="none"/>
                <w14:textFill>
                  <w14:solidFill>
                    <w14:schemeClr w14:val="tx1"/>
                  </w14:solidFill>
                </w14:textFill>
              </w:rPr>
              <w:t>公用工程及依托工程</w:t>
            </w:r>
          </w:p>
          <w:p w14:paraId="5BF6B4D6">
            <w:pPr>
              <w:widowControl/>
              <w:spacing w:before="120" w:beforeLines="50"/>
              <w:ind w:firstLine="482"/>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（1）给水</w:t>
            </w:r>
          </w:p>
          <w:p w14:paraId="5F44D7AB">
            <w:pPr>
              <w:spacing w:before="120" w:beforeLines="50" w:line="360" w:lineRule="auto"/>
              <w:ind w:firstLine="480" w:firstLineChars="20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本项目生产用水由园区供给</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中水</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，用水量为</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157566</w:t>
            </w: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m</w:t>
            </w:r>
            <w:r>
              <w:rPr>
                <w:rFonts w:hint="default" w:ascii="Times New Roman" w:hAnsi="Times New Roman" w:eastAsia="宋体" w:cs="Times New Roman"/>
                <w:b w:val="0"/>
                <w:bCs w:val="0"/>
                <w:color w:val="000000" w:themeColor="text1"/>
                <w:sz w:val="24"/>
                <w:szCs w:val="24"/>
                <w:highlight w:val="none"/>
                <w:vertAlign w:val="superscript"/>
                <w14:textFill>
                  <w14:solidFill>
                    <w14:schemeClr w14:val="tx1"/>
                  </w14:solidFill>
                </w14:textFill>
              </w:rPr>
              <w:t>3</w:t>
            </w: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/a</w:t>
            </w:r>
            <w:r>
              <w:rPr>
                <w:rFonts w:hint="default" w:ascii="Times New Roman" w:hAnsi="Times New Roman" w:eastAsia="宋体" w:cs="Times New Roman"/>
                <w:bCs/>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525.22</w:t>
            </w:r>
            <w:r>
              <w:rPr>
                <w:rFonts w:hint="default" w:ascii="Times New Roman" w:hAnsi="Times New Roman" w:eastAsia="宋体" w:cs="Times New Roman"/>
                <w:bCs/>
                <w:color w:val="000000" w:themeColor="text1"/>
                <w:sz w:val="24"/>
                <w:szCs w:val="24"/>
                <w:highlight w:val="none"/>
                <w14:textFill>
                  <w14:solidFill>
                    <w14:schemeClr w14:val="tx1"/>
                  </w14:solidFill>
                </w14:textFill>
              </w:rPr>
              <w:t>m</w:t>
            </w:r>
            <w:r>
              <w:rPr>
                <w:rFonts w:hint="default" w:ascii="Times New Roman" w:hAnsi="Times New Roman" w:eastAsia="宋体" w:cs="Times New Roman"/>
                <w:bCs/>
                <w:color w:val="000000" w:themeColor="text1"/>
                <w:sz w:val="24"/>
                <w:szCs w:val="24"/>
                <w:highlight w:val="none"/>
                <w:vertAlign w:val="superscript"/>
                <w14:textFill>
                  <w14:solidFill>
                    <w14:schemeClr w14:val="tx1"/>
                  </w14:solidFill>
                </w14:textFill>
              </w:rPr>
              <w:t>3</w:t>
            </w:r>
            <w:r>
              <w:rPr>
                <w:rFonts w:hint="default" w:ascii="Times New Roman" w:hAnsi="Times New Roman" w:eastAsia="宋体" w:cs="Times New Roman"/>
                <w:bCs/>
                <w:color w:val="000000" w:themeColor="text1"/>
                <w:sz w:val="24"/>
                <w:szCs w:val="24"/>
                <w:highlight w:val="none"/>
                <w14:textFill>
                  <w14:solidFill>
                    <w14:schemeClr w14:val="tx1"/>
                  </w14:solidFill>
                </w14:textFill>
              </w:rPr>
              <w:t>/d</w:t>
            </w:r>
            <w:r>
              <w:rPr>
                <w:rFonts w:hint="default" w:ascii="Times New Roman" w:hAnsi="Times New Roman" w:eastAsia="宋体" w:cs="Times New Roman"/>
                <w:bCs/>
                <w:color w:val="000000" w:themeColor="text1"/>
                <w:sz w:val="24"/>
                <w:szCs w:val="24"/>
                <w:highlight w:val="none"/>
                <w:lang w:eastAsia="zh-CN"/>
                <w14:textFill>
                  <w14:solidFill>
                    <w14:schemeClr w14:val="tx1"/>
                  </w14:solidFill>
                </w14:textFill>
              </w:rPr>
              <w:t>）</w:t>
            </w:r>
            <w:r>
              <w:rPr>
                <w:rFonts w:hint="default" w:ascii="Times New Roman" w:hAnsi="Times New Roman" w:cs="Times New Roman"/>
                <w:bCs/>
                <w:color w:val="000000" w:themeColor="text1"/>
                <w:sz w:val="24"/>
                <w:szCs w:val="24"/>
                <w:highlight w:val="none"/>
                <w:lang w:eastAsia="zh-CN"/>
                <w14:textFill>
                  <w14:solidFill>
                    <w14:schemeClr w14:val="tx1"/>
                  </w14:solidFill>
                </w14:textFill>
              </w:rPr>
              <w:t>，</w:t>
            </w:r>
            <w:r>
              <w:rPr>
                <w:rFonts w:hint="default" w:ascii="Times New Roman" w:hAnsi="Times New Roman" w:cs="Times New Roman"/>
                <w:bCs/>
                <w:color w:val="000000" w:themeColor="text1"/>
                <w:sz w:val="24"/>
                <w:szCs w:val="24"/>
                <w:highlight w:val="none"/>
                <w:lang w:val="en-US" w:eastAsia="zh-CN"/>
                <w14:textFill>
                  <w14:solidFill>
                    <w14:schemeClr w14:val="tx1"/>
                  </w14:solidFill>
                </w14:textFill>
              </w:rPr>
              <w:t>洒水抑尘、生活用水引自科源水务公司</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p>
          <w:p w14:paraId="709A58AE">
            <w:pPr>
              <w:spacing w:line="360" w:lineRule="auto"/>
              <w:ind w:firstLine="480" w:firstLineChars="20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1）</w:t>
            </w:r>
            <w:r>
              <w:rPr>
                <w:rFonts w:hint="default" w:ascii="Times New Roman" w:hAnsi="Times New Roman" w:eastAsia="宋体" w:cs="Times New Roman"/>
                <w:color w:val="000000" w:themeColor="text1"/>
                <w:sz w:val="24"/>
                <w:highlight w:val="none"/>
                <w14:textFill>
                  <w14:solidFill>
                    <w14:schemeClr w14:val="tx1"/>
                  </w14:solidFill>
                </w14:textFill>
              </w:rPr>
              <w:t>生活用水</w:t>
            </w:r>
          </w:p>
          <w:p w14:paraId="60B702CF">
            <w:pPr>
              <w:pStyle w:val="9"/>
              <w:spacing w:after="0" w:line="360" w:lineRule="auto"/>
              <w:ind w:left="0" w:leftChars="0" w:firstLine="480" w:firstLineChars="200"/>
              <w:rPr>
                <w:rFonts w:hint="default" w:ascii="Times New Roman" w:hAnsi="Times New Roman" w:eastAsia="宋体" w:cs="Times New Roman"/>
                <w:bCs/>
                <w:color w:val="000000" w:themeColor="text1"/>
                <w:szCs w:val="24"/>
                <w:highlight w:val="none"/>
                <w14:textFill>
                  <w14:solidFill>
                    <w14:schemeClr w14:val="tx1"/>
                  </w14:solidFill>
                </w14:textFill>
              </w:rPr>
            </w:pPr>
            <w:r>
              <w:rPr>
                <w:rFonts w:hint="default" w:ascii="Times New Roman" w:hAnsi="Times New Roman" w:eastAsia="宋体" w:cs="Times New Roman"/>
                <w:bCs/>
                <w:color w:val="000000" w:themeColor="text1"/>
                <w:szCs w:val="24"/>
                <w:highlight w:val="none"/>
                <w14:textFill>
                  <w14:solidFill>
                    <w14:schemeClr w14:val="tx1"/>
                  </w14:solidFill>
                </w14:textFill>
              </w:rPr>
              <w:t>项目劳动定员为</w:t>
            </w:r>
            <w:r>
              <w:rPr>
                <w:rFonts w:hint="default" w:ascii="Times New Roman" w:hAnsi="Times New Roman" w:eastAsia="宋体" w:cs="Times New Roman"/>
                <w:bCs/>
                <w:color w:val="000000" w:themeColor="text1"/>
                <w:szCs w:val="24"/>
                <w:highlight w:val="none"/>
                <w:lang w:val="en-US" w:eastAsia="zh-CN"/>
                <w14:textFill>
                  <w14:solidFill>
                    <w14:schemeClr w14:val="tx1"/>
                  </w14:solidFill>
                </w14:textFill>
              </w:rPr>
              <w:t>3</w:t>
            </w:r>
            <w:r>
              <w:rPr>
                <w:rFonts w:hint="default" w:ascii="Times New Roman" w:hAnsi="Times New Roman" w:eastAsia="宋体" w:cs="Times New Roman"/>
                <w:bCs/>
                <w:color w:val="000000" w:themeColor="text1"/>
                <w:szCs w:val="24"/>
                <w:highlight w:val="none"/>
                <w14:textFill>
                  <w14:solidFill>
                    <w14:schemeClr w14:val="tx1"/>
                  </w14:solidFill>
                </w14:textFill>
              </w:rPr>
              <w:t>5人，根据《内蒙古自治区行业用水定额标准》</w:t>
            </w:r>
            <w:r>
              <w:rPr>
                <w:rFonts w:hint="default" w:ascii="Times New Roman" w:hAnsi="Times New Roman" w:eastAsia="宋体" w:cs="Times New Roman"/>
                <w:bCs/>
                <w:color w:val="000000" w:themeColor="text1"/>
                <w:szCs w:val="24"/>
                <w:highlight w:val="none"/>
                <w:lang w:eastAsia="zh-CN"/>
                <w14:textFill>
                  <w14:solidFill>
                    <w14:schemeClr w14:val="tx1"/>
                  </w14:solidFill>
                </w14:textFill>
              </w:rPr>
              <w:t>（</w:t>
            </w:r>
            <w:r>
              <w:rPr>
                <w:rFonts w:hint="default" w:ascii="Times New Roman" w:hAnsi="Times New Roman" w:eastAsia="宋体" w:cs="Times New Roman"/>
                <w:bCs/>
                <w:color w:val="000000" w:themeColor="text1"/>
                <w:szCs w:val="24"/>
                <w:highlight w:val="none"/>
                <w14:textFill>
                  <w14:solidFill>
                    <w14:schemeClr w14:val="tx1"/>
                  </w14:solidFill>
                </w14:textFill>
              </w:rPr>
              <w:t>DB15/T385</w:t>
            </w:r>
            <w:r>
              <w:rPr>
                <w:rFonts w:hint="default" w:ascii="Times New Roman" w:hAnsi="Times New Roman" w:eastAsia="宋体" w:cs="Times New Roman"/>
                <w:bCs/>
                <w:color w:val="000000" w:themeColor="text1"/>
                <w:szCs w:val="24"/>
                <w:highlight w:val="none"/>
                <w:lang w:val="en-US" w:eastAsia="zh-CN"/>
                <w14:textFill>
                  <w14:solidFill>
                    <w14:schemeClr w14:val="tx1"/>
                  </w14:solidFill>
                </w14:textFill>
              </w:rPr>
              <w:t>-</w:t>
            </w:r>
            <w:r>
              <w:rPr>
                <w:rFonts w:hint="default" w:ascii="Times New Roman" w:hAnsi="Times New Roman" w:eastAsia="宋体" w:cs="Times New Roman"/>
                <w:bCs/>
                <w:color w:val="000000" w:themeColor="text1"/>
                <w:szCs w:val="24"/>
                <w:highlight w:val="none"/>
                <w14:textFill>
                  <w14:solidFill>
                    <w14:schemeClr w14:val="tx1"/>
                  </w14:solidFill>
                </w14:textFill>
              </w:rPr>
              <w:t>2020</w:t>
            </w:r>
            <w:r>
              <w:rPr>
                <w:rFonts w:hint="default" w:ascii="Times New Roman" w:hAnsi="Times New Roman" w:eastAsia="宋体" w:cs="Times New Roman"/>
                <w:bCs/>
                <w:color w:val="000000" w:themeColor="text1"/>
                <w:szCs w:val="24"/>
                <w:highlight w:val="none"/>
                <w:lang w:eastAsia="zh-CN"/>
                <w14:textFill>
                  <w14:solidFill>
                    <w14:schemeClr w14:val="tx1"/>
                  </w14:solidFill>
                </w14:textFill>
              </w:rPr>
              <w:t>），</w:t>
            </w:r>
            <w:r>
              <w:rPr>
                <w:rFonts w:hint="default" w:ascii="Times New Roman" w:hAnsi="Times New Roman" w:eastAsia="宋体" w:cs="Times New Roman"/>
                <w:bCs/>
                <w:color w:val="000000" w:themeColor="text1"/>
                <w:szCs w:val="24"/>
                <w:highlight w:val="none"/>
                <w:lang w:val="en-US" w:eastAsia="zh-CN"/>
                <w14:textFill>
                  <w14:solidFill>
                    <w14:schemeClr w14:val="tx1"/>
                  </w14:solidFill>
                </w14:textFill>
              </w:rPr>
              <w:t>办公</w:t>
            </w:r>
            <w:r>
              <w:rPr>
                <w:rFonts w:hint="default" w:ascii="Times New Roman" w:hAnsi="Times New Roman" w:eastAsia="宋体" w:cs="Times New Roman"/>
                <w:bCs/>
                <w:color w:val="000000" w:themeColor="text1"/>
                <w:szCs w:val="24"/>
                <w:highlight w:val="none"/>
                <w14:textFill>
                  <w14:solidFill>
                    <w14:schemeClr w14:val="tx1"/>
                  </w14:solidFill>
                </w14:textFill>
              </w:rPr>
              <w:t>生活用水量按照60L/人·d计算，</w:t>
            </w:r>
            <w:r>
              <w:rPr>
                <w:rFonts w:hint="default" w:ascii="Times New Roman" w:hAnsi="Times New Roman" w:eastAsia="宋体" w:cs="Times New Roman"/>
                <w:bCs/>
                <w:color w:val="000000" w:themeColor="text1"/>
                <w:szCs w:val="24"/>
                <w:highlight w:val="none"/>
                <w:lang w:val="en-US" w:eastAsia="zh-CN"/>
                <w14:textFill>
                  <w14:solidFill>
                    <w14:schemeClr w14:val="tx1"/>
                  </w14:solidFill>
                </w14:textFill>
              </w:rPr>
              <w:t>办公</w:t>
            </w:r>
            <w:r>
              <w:rPr>
                <w:rFonts w:hint="default" w:ascii="Times New Roman" w:hAnsi="Times New Roman" w:eastAsia="宋体" w:cs="Times New Roman"/>
                <w:bCs/>
                <w:color w:val="000000" w:themeColor="text1"/>
                <w:szCs w:val="24"/>
                <w:highlight w:val="none"/>
                <w14:textFill>
                  <w14:solidFill>
                    <w14:schemeClr w14:val="tx1"/>
                  </w14:solidFill>
                </w14:textFill>
              </w:rPr>
              <w:t>生活用水量为</w:t>
            </w:r>
            <w:r>
              <w:rPr>
                <w:rFonts w:hint="default" w:ascii="Times New Roman" w:hAnsi="Times New Roman" w:eastAsia="宋体" w:cs="Times New Roman"/>
                <w:bCs/>
                <w:color w:val="000000" w:themeColor="text1"/>
                <w:szCs w:val="24"/>
                <w:highlight w:val="none"/>
                <w:lang w:eastAsia="zh-CN"/>
                <w14:textFill>
                  <w14:solidFill>
                    <w14:schemeClr w14:val="tx1"/>
                  </w14:solidFill>
                </w14:textFill>
              </w:rPr>
              <w:t>（</w:t>
            </w:r>
            <w:r>
              <w:rPr>
                <w:rFonts w:hint="default" w:ascii="Times New Roman" w:hAnsi="Times New Roman" w:eastAsia="宋体" w:cs="Times New Roman"/>
                <w:bCs/>
                <w:color w:val="000000" w:themeColor="text1"/>
                <w:szCs w:val="24"/>
                <w:highlight w:val="none"/>
                <w:lang w:val="en-US" w:eastAsia="zh-CN"/>
                <w14:textFill>
                  <w14:solidFill>
                    <w14:schemeClr w14:val="tx1"/>
                  </w14:solidFill>
                </w14:textFill>
              </w:rPr>
              <w:t>2.01</w:t>
            </w:r>
            <w:r>
              <w:rPr>
                <w:rFonts w:hint="default" w:ascii="Times New Roman" w:hAnsi="Times New Roman" w:eastAsia="宋体" w:cs="Times New Roman"/>
                <w:bCs/>
                <w:color w:val="000000" w:themeColor="text1"/>
                <w:szCs w:val="24"/>
                <w:highlight w:val="none"/>
                <w14:textFill>
                  <w14:solidFill>
                    <w14:schemeClr w14:val="tx1"/>
                  </w14:solidFill>
                </w14:textFill>
              </w:rPr>
              <w:t>m³/</w:t>
            </w:r>
            <w:r>
              <w:rPr>
                <w:rFonts w:hint="default" w:ascii="Times New Roman" w:hAnsi="Times New Roman" w:eastAsia="宋体" w:cs="Times New Roman"/>
                <w:bCs/>
                <w:color w:val="000000" w:themeColor="text1"/>
                <w:szCs w:val="24"/>
                <w:highlight w:val="none"/>
                <w:lang w:val="en-US" w:eastAsia="zh-CN"/>
                <w14:textFill>
                  <w14:solidFill>
                    <w14:schemeClr w14:val="tx1"/>
                  </w14:solidFill>
                </w14:textFill>
              </w:rPr>
              <w:t>d</w:t>
            </w:r>
            <w:r>
              <w:rPr>
                <w:rFonts w:hint="default" w:ascii="Times New Roman" w:hAnsi="Times New Roman" w:eastAsia="宋体" w:cs="Times New Roman"/>
                <w:bCs/>
                <w:color w:val="000000" w:themeColor="text1"/>
                <w:szCs w:val="24"/>
                <w:highlight w:val="none"/>
                <w:lang w:eastAsia="zh-CN"/>
                <w14:textFill>
                  <w14:solidFill>
                    <w14:schemeClr w14:val="tx1"/>
                  </w14:solidFill>
                </w14:textFill>
              </w:rPr>
              <w:t>）</w:t>
            </w:r>
            <w:r>
              <w:rPr>
                <w:rFonts w:hint="default" w:ascii="Times New Roman" w:hAnsi="Times New Roman" w:eastAsia="宋体" w:cs="Times New Roman"/>
                <w:bCs/>
                <w:color w:val="000000" w:themeColor="text1"/>
                <w:szCs w:val="24"/>
                <w:highlight w:val="none"/>
                <w:lang w:val="en-US" w:eastAsia="zh-CN"/>
                <w14:textFill>
                  <w14:solidFill>
                    <w14:schemeClr w14:val="tx1"/>
                  </w14:solidFill>
                </w14:textFill>
              </w:rPr>
              <w:t>6</w:t>
            </w:r>
            <w:r>
              <w:rPr>
                <w:rFonts w:hint="default" w:ascii="Times New Roman" w:hAnsi="Times New Roman" w:eastAsia="宋体" w:cs="Times New Roman"/>
                <w:bCs/>
                <w:color w:val="000000" w:themeColor="text1"/>
                <w:szCs w:val="24"/>
                <w:highlight w:val="none"/>
                <w14:textFill>
                  <w14:solidFill>
                    <w14:schemeClr w14:val="tx1"/>
                  </w14:solidFill>
                </w14:textFill>
              </w:rPr>
              <w:t>30m³/a。生活用水由园区自来水供水管网供给，其水质、水量均能满足生活、生产需求。</w:t>
            </w:r>
          </w:p>
          <w:p w14:paraId="542ACDAB">
            <w:pPr>
              <w:pStyle w:val="9"/>
              <w:spacing w:after="0" w:line="360" w:lineRule="auto"/>
              <w:ind w:left="0" w:leftChars="0" w:firstLine="480" w:firstLineChars="200"/>
              <w:rPr>
                <w:rFonts w:hint="default" w:ascii="Times New Roman" w:hAnsi="Times New Roman" w:eastAsia="宋体" w:cs="Times New Roman"/>
                <w:bCs/>
                <w:color w:val="000000" w:themeColor="text1"/>
                <w:szCs w:val="24"/>
                <w:highlight w:val="none"/>
                <w14:textFill>
                  <w14:solidFill>
                    <w14:schemeClr w14:val="tx1"/>
                  </w14:solidFill>
                </w14:textFill>
              </w:rPr>
            </w:pPr>
            <w:r>
              <w:rPr>
                <w:rFonts w:hint="default" w:ascii="Times New Roman" w:hAnsi="Times New Roman" w:eastAsia="宋体" w:cs="Times New Roman"/>
                <w:bCs/>
                <w:color w:val="000000" w:themeColor="text1"/>
                <w:szCs w:val="24"/>
                <w:highlight w:val="none"/>
                <w:lang w:val="en-US" w:eastAsia="zh-CN"/>
                <w14:textFill>
                  <w14:solidFill>
                    <w14:schemeClr w14:val="tx1"/>
                  </w14:solidFill>
                </w14:textFill>
              </w:rPr>
              <w:t>2）冷却系统</w:t>
            </w:r>
            <w:r>
              <w:rPr>
                <w:rFonts w:hint="default" w:ascii="Times New Roman" w:hAnsi="Times New Roman" w:eastAsia="宋体" w:cs="Times New Roman"/>
                <w:bCs/>
                <w:color w:val="000000" w:themeColor="text1"/>
                <w:szCs w:val="24"/>
                <w:highlight w:val="none"/>
                <w14:textFill>
                  <w14:solidFill>
                    <w14:schemeClr w14:val="tx1"/>
                  </w14:solidFill>
                </w14:textFill>
              </w:rPr>
              <w:t>用水</w:t>
            </w:r>
          </w:p>
          <w:p w14:paraId="44E09CFB">
            <w:pPr>
              <w:pStyle w:val="9"/>
              <w:spacing w:after="0" w:line="360" w:lineRule="auto"/>
              <w:ind w:left="0" w:leftChars="0" w:firstLine="480" w:firstLineChars="200"/>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Cs/>
                <w:color w:val="000000" w:themeColor="text1"/>
                <w:szCs w:val="24"/>
                <w:highlight w:val="none"/>
                <w:lang w:val="en-US" w:eastAsia="en-US"/>
                <w14:textFill>
                  <w14:solidFill>
                    <w14:schemeClr w14:val="tx1"/>
                  </w14:solidFill>
                </w14:textFill>
              </w:rPr>
              <w:t>项目生产过程中风机等在运行过程中需要进行冷却。本项目</w:t>
            </w:r>
            <w:r>
              <w:rPr>
                <w:rFonts w:hint="default" w:ascii="Times New Roman" w:hAnsi="Times New Roman" w:eastAsia="宋体" w:cs="Times New Roman"/>
                <w:bCs/>
                <w:color w:val="000000" w:themeColor="text1"/>
                <w:sz w:val="24"/>
                <w:szCs w:val="24"/>
                <w:highlight w:val="none"/>
                <w:lang w:val="en-US" w:eastAsia="en-US"/>
                <w14:textFill>
                  <w14:solidFill>
                    <w14:schemeClr w14:val="tx1"/>
                  </w14:solidFill>
                </w14:textFill>
              </w:rPr>
              <w:t>设备冷却循环水</w:t>
            </w:r>
            <w:r>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t>由内蒙古伊东东发新材料有限责任公司提供。</w:t>
            </w:r>
          </w:p>
          <w:p w14:paraId="1ED22455">
            <w:pPr>
              <w:pStyle w:val="9"/>
              <w:spacing w:after="0" w:line="360" w:lineRule="auto"/>
              <w:ind w:left="0" w:leftChars="0" w:firstLine="480" w:firstLineChars="20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bCs/>
                <w:color w:val="000000" w:themeColor="text1"/>
                <w:szCs w:val="24"/>
                <w:highlight w:val="none"/>
                <w:lang w:val="en-US" w:eastAsia="en-US"/>
                <w14:textFill>
                  <w14:solidFill>
                    <w14:schemeClr w14:val="tx1"/>
                  </w14:solidFill>
                </w14:textFill>
              </w:rPr>
              <w:t>本次工程循环冷却水系统采用</w:t>
            </w:r>
            <w:r>
              <w:rPr>
                <w:rFonts w:hint="default" w:ascii="Times New Roman" w:hAnsi="Times New Roman" w:eastAsia="宋体" w:cs="Times New Roman"/>
                <w:b/>
                <w:bCs w:val="0"/>
                <w:color w:val="000000" w:themeColor="text1"/>
                <w:szCs w:val="24"/>
                <w:highlight w:val="none"/>
                <w:lang w:val="en-US" w:eastAsia="en-US"/>
                <w14:textFill>
                  <w14:solidFill>
                    <w14:schemeClr w14:val="tx1"/>
                  </w14:solidFill>
                </w14:textFill>
              </w:rPr>
              <w:t>闭式循环水系统</w:t>
            </w:r>
            <w:r>
              <w:rPr>
                <w:rFonts w:hint="default" w:ascii="Times New Roman" w:hAnsi="Times New Roman" w:eastAsia="宋体" w:cs="Times New Roman"/>
                <w:bCs/>
                <w:color w:val="000000" w:themeColor="text1"/>
                <w:szCs w:val="24"/>
                <w:highlight w:val="none"/>
                <w:lang w:val="en-US" w:eastAsia="en-US"/>
                <w14:textFill>
                  <w14:solidFill>
                    <w14:schemeClr w14:val="tx1"/>
                  </w14:solidFill>
                </w14:textFill>
              </w:rPr>
              <w:t>。闭式循环水系统由循环水泵房、闭式冷却塔、外部喷淋水旁滤器、喷淋水泵、膨胀罐及循环供回水管线等组成。</w:t>
            </w:r>
            <w:r>
              <w:rPr>
                <w:rFonts w:hint="default" w:ascii="Times New Roman" w:hAnsi="Times New Roman" w:eastAsia="宋体" w:cs="Times New Roman"/>
                <w:color w:val="000000" w:themeColor="text1"/>
                <w:highlight w:val="none"/>
                <w14:textFill>
                  <w14:solidFill>
                    <w14:schemeClr w14:val="tx1"/>
                  </w14:solidFill>
                </w14:textFill>
              </w:rPr>
              <w:t>项目循环水</w:t>
            </w:r>
            <w:r>
              <w:rPr>
                <w:rFonts w:hint="default" w:ascii="Times New Roman" w:hAnsi="Times New Roman" w:eastAsia="宋体" w:cs="Times New Roman"/>
                <w:color w:val="000000" w:themeColor="text1"/>
                <w:highlight w:val="none"/>
                <w:lang w:eastAsia="zh-CN"/>
                <w14:textFill>
                  <w14:solidFill>
                    <w14:schemeClr w14:val="tx1"/>
                  </w14:solidFill>
                </w14:textFill>
              </w:rPr>
              <w:t>利用</w:t>
            </w:r>
            <w:r>
              <w:rPr>
                <w:rFonts w:hint="default" w:ascii="Times New Roman" w:hAnsi="Times New Roman" w:eastAsia="宋体" w:cs="Times New Roman"/>
                <w:color w:val="000000" w:themeColor="text1"/>
                <w:highlight w:val="none"/>
                <w14:textFill>
                  <w14:solidFill>
                    <w14:schemeClr w14:val="tx1"/>
                  </w14:solidFill>
                </w14:textFill>
              </w:rPr>
              <w:t>量计算参考《工业循环水冷却设计规范》（GB50050-2017）</w:t>
            </w:r>
            <w:r>
              <w:rPr>
                <w:rFonts w:hint="default" w:ascii="Times New Roman" w:hAnsi="Times New Roman" w:eastAsia="宋体" w:cs="Times New Roman"/>
                <w:color w:val="000000" w:themeColor="text1"/>
                <w:highlight w:val="none"/>
                <w:lang w:eastAsia="zh-CN"/>
                <w14:textFill>
                  <w14:solidFill>
                    <w14:schemeClr w14:val="tx1"/>
                  </w14:solidFill>
                </w14:textFill>
              </w:rPr>
              <w:t>，</w:t>
            </w:r>
            <w:r>
              <w:rPr>
                <w:rFonts w:hint="default" w:ascii="Times New Roman" w:hAnsi="Times New Roman" w:eastAsia="宋体" w:cs="Times New Roman"/>
                <w:bCs/>
                <w:color w:val="000000" w:themeColor="text1"/>
                <w:sz w:val="24"/>
                <w:szCs w:val="24"/>
                <w:highlight w:val="none"/>
                <w:lang w:val="en-US" w:eastAsia="en-US"/>
                <w14:textFill>
                  <w14:solidFill>
                    <w14:schemeClr w14:val="tx1"/>
                  </w14:solidFill>
                </w14:textFill>
              </w:rPr>
              <w:t>损耗量</w:t>
            </w:r>
            <w:r>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t>可忽略，</w:t>
            </w:r>
            <w:r>
              <w:rPr>
                <w:rFonts w:hint="default" w:ascii="Times New Roman" w:hAnsi="Times New Roman" w:eastAsia="宋体" w:cs="Times New Roman"/>
                <w:bCs/>
                <w:color w:val="000000" w:themeColor="text1"/>
                <w:sz w:val="24"/>
                <w:szCs w:val="24"/>
                <w:highlight w:val="none"/>
                <w:lang w:val="en-US" w:eastAsia="en-US"/>
                <w14:textFill>
                  <w14:solidFill>
                    <w14:schemeClr w14:val="tx1"/>
                  </w14:solidFill>
                </w14:textFill>
              </w:rPr>
              <w:t>循环冷却系统补水量</w:t>
            </w:r>
            <w:r>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t>和</w:t>
            </w:r>
            <w:r>
              <w:rPr>
                <w:rFonts w:hint="default" w:ascii="Times New Roman" w:hAnsi="Times New Roman" w:eastAsia="宋体" w:cs="Times New Roman"/>
                <w:bCs/>
                <w:color w:val="000000" w:themeColor="text1"/>
                <w:sz w:val="24"/>
                <w:szCs w:val="24"/>
                <w:highlight w:val="none"/>
                <w:lang w:val="en-US" w:eastAsia="en-US"/>
                <w14:textFill>
                  <w14:solidFill>
                    <w14:schemeClr w14:val="tx1"/>
                  </w14:solidFill>
                </w14:textFill>
              </w:rPr>
              <w:t>排水量</w:t>
            </w:r>
            <w:r>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t>相同，</w:t>
            </w:r>
            <w:r>
              <w:rPr>
                <w:rFonts w:hint="default" w:ascii="Times New Roman" w:hAnsi="Times New Roman" w:eastAsia="宋体" w:cs="Times New Roman"/>
                <w:color w:val="000000" w:themeColor="text1"/>
                <w:spacing w:val="-4"/>
                <w:highlight w:val="none"/>
                <w14:textFill>
                  <w14:solidFill>
                    <w14:schemeClr w14:val="tx1"/>
                  </w14:solidFill>
                </w14:textFill>
              </w:rPr>
              <w:t>排污量为</w:t>
            </w:r>
            <w:r>
              <w:rPr>
                <w:rFonts w:hint="default" w:ascii="Times New Roman" w:hAnsi="Times New Roman" w:eastAsia="宋体" w:cs="Times New Roman"/>
                <w:color w:val="000000" w:themeColor="text1"/>
                <w:spacing w:val="-4"/>
                <w:highlight w:val="none"/>
                <w:lang w:val="en-US" w:eastAsia="zh-CN"/>
                <w14:textFill>
                  <w14:solidFill>
                    <w14:schemeClr w14:val="tx1"/>
                  </w14:solidFill>
                </w14:textFill>
              </w:rPr>
              <w:t>循环量占比1%，</w:t>
            </w:r>
            <w:r>
              <w:rPr>
                <w:rFonts w:hint="default" w:ascii="Times New Roman" w:hAnsi="Times New Roman" w:cs="Times New Roman"/>
                <w:color w:val="000000" w:themeColor="text1"/>
                <w:spacing w:val="-4"/>
                <w:highlight w:val="none"/>
                <w:lang w:val="en-US" w:eastAsia="zh-CN"/>
                <w14:textFill>
                  <w14:solidFill>
                    <w14:schemeClr w14:val="tx1"/>
                  </w14:solidFill>
                </w14:textFill>
              </w:rPr>
              <w:t>本项目</w:t>
            </w:r>
            <w:r>
              <w:rPr>
                <w:rFonts w:hint="default" w:ascii="Times New Roman" w:hAnsi="Times New Roman" w:eastAsia="宋体" w:cs="Times New Roman"/>
                <w:color w:val="000000" w:themeColor="text1"/>
                <w:spacing w:val="-4"/>
                <w:highlight w:val="none"/>
                <w:lang w:val="en-US" w:eastAsia="zh-CN"/>
                <w14:textFill>
                  <w14:solidFill>
                    <w14:schemeClr w14:val="tx1"/>
                  </w14:solidFill>
                </w14:textFill>
              </w:rPr>
              <w:t>循环水循环量为</w:t>
            </w:r>
            <w:r>
              <w:rPr>
                <w:rFonts w:hint="default" w:ascii="Times New Roman" w:hAnsi="Times New Roman" w:cs="Times New Roman"/>
                <w:color w:val="000000" w:themeColor="text1"/>
                <w:spacing w:val="-4"/>
                <w:highlight w:val="none"/>
                <w:lang w:val="en-US" w:eastAsia="zh-CN"/>
                <w14:textFill>
                  <w14:solidFill>
                    <w14:schemeClr w14:val="tx1"/>
                  </w14:solidFill>
                </w14:textFill>
              </w:rPr>
              <w:t>82</w:t>
            </w:r>
            <w:r>
              <w:rPr>
                <w:rFonts w:hint="default" w:ascii="Times New Roman" w:hAnsi="Times New Roman" w:eastAsia="宋体" w:cs="Times New Roman"/>
                <w:color w:val="000000" w:themeColor="text1"/>
                <w:spacing w:val="-4"/>
                <w:highlight w:val="none"/>
                <w:lang w:val="en-US" w:eastAsia="zh-CN"/>
                <w14:textFill>
                  <w14:solidFill>
                    <w14:schemeClr w14:val="tx1"/>
                  </w14:solidFill>
                </w14:textFill>
              </w:rPr>
              <w:t>t/h，</w:t>
            </w:r>
            <w:r>
              <w:rPr>
                <w:rFonts w:hint="default" w:ascii="Times New Roman" w:hAnsi="Times New Roman" w:eastAsia="宋体" w:cs="Times New Roman"/>
                <w:color w:val="000000" w:themeColor="text1"/>
                <w:spacing w:val="-4"/>
                <w:highlight w:val="none"/>
                <w14:textFill>
                  <w14:solidFill>
                    <w14:schemeClr w14:val="tx1"/>
                  </w14:solidFill>
                </w14:textFill>
              </w:rPr>
              <w:t>循环水运行时间为7200h/a，</w:t>
            </w:r>
            <w:r>
              <w:rPr>
                <w:rFonts w:hint="default" w:ascii="Times New Roman" w:hAnsi="Times New Roman" w:eastAsia="宋体" w:cs="Times New Roman"/>
                <w:color w:val="000000" w:themeColor="text1"/>
                <w:spacing w:val="-4"/>
                <w:highlight w:val="none"/>
                <w:lang w:val="en-US" w:eastAsia="zh-CN"/>
                <w14:textFill>
                  <w14:solidFill>
                    <w14:schemeClr w14:val="tx1"/>
                  </w14:solidFill>
                </w14:textFill>
              </w:rPr>
              <w:t>则补充水量</w:t>
            </w:r>
            <w:r>
              <w:rPr>
                <w:rFonts w:hint="default" w:ascii="Times New Roman" w:hAnsi="Times New Roman" w:eastAsia="宋体" w:cs="Times New Roman"/>
                <w:bCs/>
                <w:color w:val="000000" w:themeColor="text1"/>
                <w:sz w:val="24"/>
                <w:szCs w:val="24"/>
                <w:highlight w:val="none"/>
                <w:lang w:val="en-US" w:eastAsia="en-US"/>
                <w14:textFill>
                  <w14:solidFill>
                    <w14:schemeClr w14:val="tx1"/>
                  </w14:solidFill>
                </w14:textFill>
              </w:rPr>
              <w:t>为</w:t>
            </w:r>
            <w:r>
              <w:rPr>
                <w:rFonts w:hint="default" w:ascii="Times New Roman" w:hAnsi="Times New Roman" w:cs="Times New Roman"/>
                <w:bCs/>
                <w:color w:val="000000" w:themeColor="text1"/>
                <w:sz w:val="24"/>
                <w:szCs w:val="24"/>
                <w:highlight w:val="none"/>
                <w:lang w:val="en-US" w:eastAsia="zh-CN"/>
                <w14:textFill>
                  <w14:solidFill>
                    <w14:schemeClr w14:val="tx1"/>
                  </w14:solidFill>
                </w14:textFill>
              </w:rPr>
              <w:t>0.82</w:t>
            </w:r>
            <w:r>
              <w:rPr>
                <w:rFonts w:hint="default" w:ascii="Times New Roman" w:hAnsi="Times New Roman" w:eastAsia="宋体" w:cs="Times New Roman"/>
                <w:bCs/>
                <w:color w:val="000000" w:themeColor="text1"/>
                <w:sz w:val="24"/>
                <w:szCs w:val="24"/>
                <w:highlight w:val="none"/>
                <w:lang w:val="en-US" w:eastAsia="en-US"/>
                <w14:textFill>
                  <w14:solidFill>
                    <w14:schemeClr w14:val="tx1"/>
                  </w14:solidFill>
                </w14:textFill>
              </w:rPr>
              <w:t>m³/</w:t>
            </w:r>
            <w:r>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t>h（</w:t>
            </w:r>
            <w:r>
              <w:rPr>
                <w:rFonts w:hint="default" w:ascii="Times New Roman" w:hAnsi="Times New Roman" w:cs="Times New Roman"/>
                <w:bCs/>
                <w:color w:val="000000" w:themeColor="text1"/>
                <w:sz w:val="24"/>
                <w:szCs w:val="24"/>
                <w:highlight w:val="none"/>
                <w:lang w:val="en-US" w:eastAsia="zh-CN"/>
                <w14:textFill>
                  <w14:solidFill>
                    <w14:schemeClr w14:val="tx1"/>
                  </w14:solidFill>
                </w14:textFill>
              </w:rPr>
              <w:t>5904</w:t>
            </w:r>
            <w:r>
              <w:rPr>
                <w:rFonts w:hint="default" w:ascii="Times New Roman" w:hAnsi="Times New Roman" w:eastAsia="宋体" w:cs="Times New Roman"/>
                <w:bCs/>
                <w:color w:val="000000" w:themeColor="text1"/>
                <w:sz w:val="24"/>
                <w:szCs w:val="24"/>
                <w:highlight w:val="none"/>
                <w:lang w:val="en-US" w:eastAsia="en-US"/>
                <w14:textFill>
                  <w14:solidFill>
                    <w14:schemeClr w14:val="tx1"/>
                  </w14:solidFill>
                </w14:textFill>
              </w:rPr>
              <w:t>m³/a</w:t>
            </w:r>
            <w:r>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bCs/>
                <w:color w:val="000000" w:themeColor="text1"/>
                <w:sz w:val="24"/>
                <w:szCs w:val="24"/>
                <w:highlight w:val="none"/>
                <w:lang w:val="en-US" w:eastAsia="en-US"/>
                <w14:textFill>
                  <w14:solidFill>
                    <w14:schemeClr w14:val="tx1"/>
                  </w14:solidFill>
                </w14:textFill>
              </w:rPr>
              <w:t>用</w:t>
            </w:r>
            <w:r>
              <w:rPr>
                <w:rFonts w:hint="default" w:ascii="Times New Roman" w:hAnsi="Times New Roman" w:eastAsia="宋体" w:cs="Times New Roman"/>
                <w:color w:val="000000" w:themeColor="text1"/>
                <w:sz w:val="24"/>
                <w:szCs w:val="24"/>
                <w:highlight w:val="none"/>
                <w:lang w:val="en-US" w:eastAsia="en-US"/>
                <w14:textFill>
                  <w14:solidFill>
                    <w14:schemeClr w14:val="tx1"/>
                  </w14:solidFill>
                </w14:textFill>
              </w:rPr>
              <w:t>水由生产供水系统直接补给。</w:t>
            </w:r>
          </w:p>
          <w:p w14:paraId="140BC00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3）余热锅炉用水</w:t>
            </w:r>
          </w:p>
          <w:p w14:paraId="034CA2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32"/>
                <w:highlight w:val="none"/>
                <w:lang w:val="en-US"/>
                <w14:textFill>
                  <w14:solidFill>
                    <w14:schemeClr w14:val="tx1"/>
                  </w14:solidFill>
                </w14:textFill>
              </w:rPr>
            </w:pPr>
            <w:r>
              <w:rPr>
                <w:rFonts w:hint="default" w:ascii="Times New Roman" w:hAnsi="Times New Roman" w:eastAsia="宋体" w:cs="Times New Roman"/>
                <w:color w:val="000000" w:themeColor="text1"/>
                <w:sz w:val="24"/>
                <w:szCs w:val="32"/>
                <w:highlight w:val="none"/>
                <w14:textFill>
                  <w14:solidFill>
                    <w14:schemeClr w14:val="tx1"/>
                  </w14:solidFill>
                </w14:textFill>
              </w:rPr>
              <w:t>本项目</w:t>
            </w:r>
            <w:r>
              <w:rPr>
                <w:rFonts w:hint="default" w:ascii="Times New Roman" w:hAnsi="Times New Roman" w:eastAsia="宋体" w:cs="Times New Roman"/>
                <w:color w:val="000000" w:themeColor="text1"/>
                <w:sz w:val="24"/>
                <w:szCs w:val="32"/>
                <w:highlight w:val="none"/>
                <w:lang w:val="en-US" w:eastAsia="zh-CN"/>
                <w14:textFill>
                  <w14:solidFill>
                    <w14:schemeClr w14:val="tx1"/>
                  </w14:solidFill>
                </w14:textFill>
              </w:rPr>
              <w:t>配置了一套全自动软水制备装置，为余热锅炉用软水供应，原水通过多介质过滤器，活性炭过滤器，一级反渗透机组，二级反渗透机组等设备处理后，出水供给余热锅炉用水，软水制备能力为</w:t>
            </w:r>
            <w:r>
              <w:rPr>
                <w:rFonts w:hint="default" w:ascii="Times New Roman" w:hAnsi="Times New Roman" w:eastAsia="宋体" w:cs="Times New Roman"/>
                <w:b w:val="0"/>
                <w:bCs w:val="0"/>
                <w:color w:val="000000" w:themeColor="text1"/>
                <w:sz w:val="24"/>
                <w:szCs w:val="32"/>
                <w:highlight w:val="none"/>
                <w:lang w:val="en-US" w:eastAsia="zh-CN"/>
                <w14:textFill>
                  <w14:solidFill>
                    <w14:schemeClr w14:val="tx1"/>
                  </w14:solidFill>
                </w14:textFill>
              </w:rPr>
              <w:t>15m</w:t>
            </w:r>
            <w:r>
              <w:rPr>
                <w:rFonts w:hint="default" w:ascii="Times New Roman" w:hAnsi="Times New Roman" w:eastAsia="宋体" w:cs="Times New Roman"/>
                <w:b w:val="0"/>
                <w:bCs w:val="0"/>
                <w:color w:val="000000" w:themeColor="text1"/>
                <w:sz w:val="24"/>
                <w:szCs w:val="32"/>
                <w:highlight w:val="none"/>
                <w:vertAlign w:val="superscript"/>
                <w:lang w:val="en-US" w:eastAsia="zh-CN"/>
                <w14:textFill>
                  <w14:solidFill>
                    <w14:schemeClr w14:val="tx1"/>
                  </w14:solidFill>
                </w14:textFill>
              </w:rPr>
              <w:t>3</w:t>
            </w:r>
            <w:r>
              <w:rPr>
                <w:rFonts w:hint="default" w:ascii="Times New Roman" w:hAnsi="Times New Roman" w:eastAsia="宋体" w:cs="Times New Roman"/>
                <w:b w:val="0"/>
                <w:bCs w:val="0"/>
                <w:color w:val="000000" w:themeColor="text1"/>
                <w:sz w:val="24"/>
                <w:szCs w:val="32"/>
                <w:highlight w:val="none"/>
                <w:lang w:val="en-US" w:eastAsia="zh-CN"/>
                <w14:textFill>
                  <w14:solidFill>
                    <w14:schemeClr w14:val="tx1"/>
                  </w14:solidFill>
                </w14:textFill>
              </w:rPr>
              <w:t>/h</w:t>
            </w:r>
            <w:r>
              <w:rPr>
                <w:rFonts w:hint="default" w:ascii="Times New Roman" w:hAnsi="Times New Roman" w:eastAsia="宋体" w:cs="Times New Roman"/>
                <w:b/>
                <w:bCs/>
                <w:color w:val="000000" w:themeColor="text1"/>
                <w:sz w:val="24"/>
                <w:szCs w:val="32"/>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32"/>
                <w:highlight w:val="none"/>
                <w:lang w:val="en-US" w:eastAsia="zh-CN"/>
                <w14:textFill>
                  <w14:solidFill>
                    <w14:schemeClr w14:val="tx1"/>
                  </w14:solidFill>
                </w14:textFill>
              </w:rPr>
              <w:t>软化效率为90%。</w:t>
            </w:r>
          </w:p>
          <w:p w14:paraId="2B608DD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32"/>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32"/>
                <w:highlight w:val="none"/>
                <w:lang w:val="en-US" w:eastAsia="zh-CN"/>
                <w14:textFill>
                  <w14:solidFill>
                    <w14:schemeClr w14:val="tx1"/>
                  </w14:solidFill>
                </w14:textFill>
              </w:rPr>
              <w:t>锅炉用软水制备工艺原理：水的硬度主要由其中的阳离子（Ca</w:t>
            </w:r>
            <w:r>
              <w:rPr>
                <w:rFonts w:hint="default" w:ascii="Times New Roman" w:hAnsi="Times New Roman" w:eastAsia="宋体" w:cs="Times New Roman"/>
                <w:color w:val="000000" w:themeColor="text1"/>
                <w:sz w:val="24"/>
                <w:szCs w:val="32"/>
                <w:highlight w:val="none"/>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z w:val="24"/>
                <w:szCs w:val="32"/>
                <w:highlight w:val="none"/>
                <w:lang w:val="en-US" w:eastAsia="zh-CN"/>
                <w14:textFill>
                  <w14:solidFill>
                    <w14:schemeClr w14:val="tx1"/>
                  </w14:solidFill>
                </w14:textFill>
              </w:rPr>
              <w:t>、Mg</w:t>
            </w:r>
            <w:r>
              <w:rPr>
                <w:rFonts w:hint="default" w:ascii="Times New Roman" w:hAnsi="Times New Roman" w:eastAsia="宋体" w:cs="Times New Roman"/>
                <w:color w:val="000000" w:themeColor="text1"/>
                <w:sz w:val="24"/>
                <w:szCs w:val="32"/>
                <w:highlight w:val="none"/>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z w:val="24"/>
                <w:szCs w:val="32"/>
                <w:highlight w:val="none"/>
                <w:lang w:val="en-US" w:eastAsia="zh-CN"/>
                <w14:textFill>
                  <w14:solidFill>
                    <w14:schemeClr w14:val="tx1"/>
                  </w14:solidFill>
                </w14:textFill>
              </w:rPr>
              <w:t>）离子构成。当含有硬度的原水通过交换器的树脂层时，水中的钙、镁离子被树脂吸附，同时释放出钠离子。这样从交换器内流出的水就是去掉了硬度离子的软化水，当吸附钙、镁离子的树脂达到一定程度后，出水硬度增大，此时软水器按照预定的程序自动进行失效树脂的再生工作，利用较高浓度的氯化钠溶液通过树脂，使失效的树脂重新恢复至钠型树脂。</w:t>
            </w:r>
          </w:p>
          <w:p w14:paraId="1F015C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32"/>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2"/>
                <w:sz w:val="24"/>
                <w:szCs w:val="32"/>
                <w:highlight w:val="none"/>
                <w:lang w:val="en-US" w:eastAsia="zh-CN" w:bidi="ar"/>
                <w14:textFill>
                  <w14:solidFill>
                    <w14:schemeClr w14:val="tx1"/>
                  </w14:solidFill>
                </w14:textFill>
              </w:rPr>
              <w:t>根据《行业用水定额》（DB15T385-2020）中表13工业用水定额-D4430热力生产和供应，工业蒸汽生产系数为1.3m</w:t>
            </w:r>
            <w:r>
              <w:rPr>
                <w:rFonts w:hint="default" w:ascii="Times New Roman" w:hAnsi="Times New Roman" w:eastAsia="宋体" w:cs="Times New Roman"/>
                <w:color w:val="000000" w:themeColor="text1"/>
                <w:kern w:val="2"/>
                <w:sz w:val="24"/>
                <w:szCs w:val="32"/>
                <w:highlight w:val="none"/>
                <w:vertAlign w:val="superscript"/>
                <w:lang w:val="en-US" w:eastAsia="zh-CN" w:bidi="ar"/>
                <w14:textFill>
                  <w14:solidFill>
                    <w14:schemeClr w14:val="tx1"/>
                  </w14:solidFill>
                </w14:textFill>
              </w:rPr>
              <w:t>3</w:t>
            </w:r>
            <w:r>
              <w:rPr>
                <w:rFonts w:hint="default" w:ascii="Times New Roman" w:hAnsi="Times New Roman" w:eastAsia="宋体" w:cs="Times New Roman"/>
                <w:color w:val="000000" w:themeColor="text1"/>
                <w:kern w:val="2"/>
                <w:sz w:val="24"/>
                <w:szCs w:val="32"/>
                <w:highlight w:val="none"/>
                <w:lang w:val="en-US" w:eastAsia="zh-CN" w:bidi="ar"/>
                <w14:textFill>
                  <w14:solidFill>
                    <w14:schemeClr w14:val="tx1"/>
                  </w14:solidFill>
                </w14:textFill>
              </w:rPr>
              <w:t>/m</w:t>
            </w:r>
            <w:r>
              <w:rPr>
                <w:rFonts w:hint="default" w:ascii="Times New Roman" w:hAnsi="Times New Roman" w:eastAsia="宋体" w:cs="Times New Roman"/>
                <w:color w:val="000000" w:themeColor="text1"/>
                <w:kern w:val="2"/>
                <w:sz w:val="24"/>
                <w:szCs w:val="32"/>
                <w:highlight w:val="none"/>
                <w:vertAlign w:val="superscript"/>
                <w:lang w:val="en-US" w:eastAsia="zh-CN" w:bidi="ar"/>
                <w14:textFill>
                  <w14:solidFill>
                    <w14:schemeClr w14:val="tx1"/>
                  </w14:solidFill>
                </w14:textFill>
              </w:rPr>
              <w:t>3</w:t>
            </w:r>
            <w:r>
              <w:rPr>
                <w:rFonts w:hint="default" w:ascii="Times New Roman" w:hAnsi="Times New Roman" w:eastAsia="宋体" w:cs="Times New Roman"/>
                <w:color w:val="000000" w:themeColor="text1"/>
                <w:kern w:val="2"/>
                <w:sz w:val="24"/>
                <w:szCs w:val="32"/>
                <w:highlight w:val="none"/>
                <w:vertAlign w:val="baseline"/>
                <w:lang w:val="en-US" w:eastAsia="zh-CN" w:bidi="ar"/>
                <w14:textFill>
                  <w14:solidFill>
                    <w14:schemeClr w14:val="tx1"/>
                  </w14:solidFill>
                </w14:textFill>
              </w:rPr>
              <w:t>，锅炉负荷为15</w:t>
            </w:r>
            <w:r>
              <w:rPr>
                <w:rFonts w:hint="default" w:ascii="Times New Roman" w:hAnsi="Times New Roman" w:cs="Times New Roman"/>
                <w:color w:val="000000" w:themeColor="text1"/>
                <w:kern w:val="2"/>
                <w:sz w:val="24"/>
                <w:szCs w:val="32"/>
                <w:highlight w:val="none"/>
                <w:vertAlign w:val="baseline"/>
                <w:lang w:val="en-US" w:eastAsia="zh-CN" w:bidi="ar"/>
                <w14:textFill>
                  <w14:solidFill>
                    <w14:schemeClr w14:val="tx1"/>
                  </w14:solidFill>
                </w14:textFill>
              </w:rPr>
              <w:t>.09</w:t>
            </w:r>
            <w:r>
              <w:rPr>
                <w:rFonts w:hint="default" w:ascii="Times New Roman" w:hAnsi="Times New Roman" w:eastAsia="宋体" w:cs="Times New Roman"/>
                <w:color w:val="000000" w:themeColor="text1"/>
                <w:kern w:val="2"/>
                <w:sz w:val="24"/>
                <w:szCs w:val="32"/>
                <w:highlight w:val="none"/>
                <w:vertAlign w:val="baseline"/>
                <w:lang w:val="en-US" w:eastAsia="zh-CN" w:bidi="ar"/>
                <w14:textFill>
                  <w14:solidFill>
                    <w14:schemeClr w14:val="tx1"/>
                  </w14:solidFill>
                </w14:textFill>
              </w:rPr>
              <w:t>t/h（对外</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提供9.5t/h的蒸汽</w:t>
            </w:r>
            <w:r>
              <w:rPr>
                <w:rFonts w:hint="default" w:ascii="Times New Roman" w:hAnsi="Times New Roman" w:eastAsia="宋体" w:cs="Times New Roman"/>
                <w:color w:val="000000" w:themeColor="text1"/>
                <w:kern w:val="2"/>
                <w:sz w:val="24"/>
                <w:szCs w:val="32"/>
                <w:highlight w:val="none"/>
                <w:vertAlign w:val="baseline"/>
                <w:lang w:val="en-US" w:eastAsia="zh-CN" w:bidi="ar"/>
                <w14:textFill>
                  <w14:solidFill>
                    <w14:schemeClr w14:val="tx1"/>
                  </w14:solidFill>
                </w14:textFill>
              </w:rPr>
              <w:t>），则余热锅炉需软水量为141242.4m</w:t>
            </w:r>
            <w:r>
              <w:rPr>
                <w:rFonts w:hint="default" w:ascii="Times New Roman" w:hAnsi="Times New Roman" w:eastAsia="宋体" w:cs="Times New Roman"/>
                <w:color w:val="000000" w:themeColor="text1"/>
                <w:kern w:val="2"/>
                <w:sz w:val="24"/>
                <w:szCs w:val="32"/>
                <w:highlight w:val="none"/>
                <w:vertAlign w:val="superscript"/>
                <w:lang w:val="en-US" w:eastAsia="zh-CN" w:bidi="ar"/>
                <w14:textFill>
                  <w14:solidFill>
                    <w14:schemeClr w14:val="tx1"/>
                  </w14:solidFill>
                </w14:textFill>
              </w:rPr>
              <w:t>3</w:t>
            </w:r>
            <w:r>
              <w:rPr>
                <w:rFonts w:hint="default" w:ascii="Times New Roman" w:hAnsi="Times New Roman" w:eastAsia="宋体" w:cs="Times New Roman"/>
                <w:color w:val="000000" w:themeColor="text1"/>
                <w:kern w:val="2"/>
                <w:sz w:val="24"/>
                <w:szCs w:val="32"/>
                <w:highlight w:val="none"/>
                <w:vertAlign w:val="baseline"/>
                <w:lang w:val="en-US" w:eastAsia="zh-CN" w:bidi="ar"/>
                <w14:textFill>
                  <w14:solidFill>
                    <w14:schemeClr w14:val="tx1"/>
                  </w14:solidFill>
                </w14:textFill>
              </w:rPr>
              <w:t>/a，</w:t>
            </w:r>
            <w:r>
              <w:rPr>
                <w:rFonts w:hint="default" w:ascii="Times New Roman" w:hAnsi="Times New Roman" w:eastAsia="宋体" w:cs="Times New Roman"/>
                <w:color w:val="000000" w:themeColor="text1"/>
                <w:kern w:val="2"/>
                <w:sz w:val="24"/>
                <w:szCs w:val="32"/>
                <w:highlight w:val="none"/>
                <w:lang w:val="en-US" w:eastAsia="zh-CN" w:bidi="ar"/>
                <w14:textFill>
                  <w14:solidFill>
                    <w14:schemeClr w14:val="tx1"/>
                  </w14:solidFill>
                </w14:textFill>
              </w:rPr>
              <w:t>软水制水率为90%</w:t>
            </w:r>
            <w:r>
              <w:rPr>
                <w:rFonts w:hint="default" w:ascii="Times New Roman" w:hAnsi="Times New Roman" w:eastAsia="宋体" w:cs="Times New Roman"/>
                <w:color w:val="000000" w:themeColor="text1"/>
                <w:spacing w:val="-4"/>
                <w:sz w:val="24"/>
                <w:szCs w:val="32"/>
                <w:highlight w:val="none"/>
                <w:lang w:eastAsia="zh-CN"/>
                <w14:textFill>
                  <w14:solidFill>
                    <w14:schemeClr w14:val="tx1"/>
                  </w14:solidFill>
                </w14:textFill>
              </w:rPr>
              <w:t>，</w:t>
            </w:r>
            <w:r>
              <w:rPr>
                <w:rFonts w:hint="default" w:ascii="Times New Roman" w:hAnsi="Times New Roman" w:eastAsia="宋体" w:cs="Times New Roman"/>
                <w:color w:val="000000" w:themeColor="text1"/>
                <w:kern w:val="2"/>
                <w:sz w:val="24"/>
                <w:szCs w:val="32"/>
                <w:highlight w:val="none"/>
                <w:lang w:val="en-US" w:eastAsia="zh-CN" w:bidi="ar"/>
                <w14:textFill>
                  <w14:solidFill>
                    <w14:schemeClr w14:val="tx1"/>
                  </w14:solidFill>
                </w14:textFill>
              </w:rPr>
              <w:t>则</w:t>
            </w:r>
            <w:r>
              <w:rPr>
                <w:rFonts w:hint="default" w:ascii="Times New Roman" w:hAnsi="Times New Roman" w:eastAsia="宋体" w:cs="Times New Roman"/>
                <w:color w:val="000000" w:themeColor="text1"/>
                <w:sz w:val="24"/>
                <w:szCs w:val="32"/>
                <w:highlight w:val="none"/>
                <w:lang w:val="en-US" w:eastAsia="zh-CN"/>
                <w14:textFill>
                  <w14:solidFill>
                    <w14:schemeClr w14:val="tx1"/>
                  </w14:solidFill>
                </w14:textFill>
              </w:rPr>
              <w:t>软水制备补充</w:t>
            </w:r>
            <w:r>
              <w:rPr>
                <w:rFonts w:hint="default" w:ascii="Times New Roman" w:hAnsi="Times New Roman" w:eastAsia="宋体" w:cs="Times New Roman"/>
                <w:color w:val="000000" w:themeColor="text1"/>
                <w:sz w:val="24"/>
                <w:szCs w:val="32"/>
                <w:highlight w:val="none"/>
                <w14:textFill>
                  <w14:solidFill>
                    <w14:schemeClr w14:val="tx1"/>
                  </w14:solidFill>
                </w14:textFill>
              </w:rPr>
              <w:t>用</w:t>
            </w:r>
            <w:r>
              <w:rPr>
                <w:rFonts w:hint="default" w:ascii="Times New Roman" w:hAnsi="Times New Roman" w:eastAsia="宋体" w:cs="Times New Roman"/>
                <w:color w:val="000000" w:themeColor="text1"/>
                <w:kern w:val="2"/>
                <w:sz w:val="24"/>
                <w:szCs w:val="32"/>
                <w:highlight w:val="none"/>
                <w:lang w:val="en-US" w:eastAsia="zh-CN" w:bidi="ar"/>
                <w14:textFill>
                  <w14:solidFill>
                    <w14:schemeClr w14:val="tx1"/>
                  </w14:solidFill>
                </w14:textFill>
              </w:rPr>
              <w:t>原水</w:t>
            </w:r>
            <w:r>
              <w:rPr>
                <w:rFonts w:hint="default" w:ascii="Times New Roman" w:hAnsi="Times New Roman" w:eastAsia="宋体" w:cs="Times New Roman"/>
                <w:color w:val="000000" w:themeColor="text1"/>
                <w:sz w:val="24"/>
                <w:szCs w:val="32"/>
                <w:highlight w:val="none"/>
                <w14:textFill>
                  <w14:solidFill>
                    <w14:schemeClr w14:val="tx1"/>
                  </w14:solidFill>
                </w14:textFill>
              </w:rPr>
              <w:t>水量为</w:t>
            </w:r>
            <w:r>
              <w:rPr>
                <w:rFonts w:hint="default" w:ascii="Times New Roman" w:hAnsi="Times New Roman" w:eastAsia="宋体" w:cs="Times New Roman"/>
                <w:color w:val="000000" w:themeColor="text1"/>
                <w:sz w:val="24"/>
                <w:szCs w:val="32"/>
                <w:highlight w:val="none"/>
                <w:lang w:val="en-US" w:eastAsia="zh-CN"/>
                <w14:textFill>
                  <w14:solidFill>
                    <w14:schemeClr w14:val="tx1"/>
                  </w14:solidFill>
                </w14:textFill>
              </w:rPr>
              <w:t>523.12</w:t>
            </w:r>
            <w:r>
              <w:rPr>
                <w:rFonts w:hint="default" w:ascii="Times New Roman" w:hAnsi="Times New Roman" w:eastAsia="宋体" w:cs="Times New Roman"/>
                <w:color w:val="000000" w:themeColor="text1"/>
                <w:spacing w:val="-4"/>
                <w:sz w:val="24"/>
                <w:szCs w:val="32"/>
                <w:highlight w:val="none"/>
                <w14:textFill>
                  <w14:solidFill>
                    <w14:schemeClr w14:val="tx1"/>
                  </w14:solidFill>
                </w14:textFill>
              </w:rPr>
              <w:t>m</w:t>
            </w:r>
            <w:r>
              <w:rPr>
                <w:rFonts w:hint="default" w:ascii="Times New Roman" w:hAnsi="Times New Roman" w:eastAsia="宋体" w:cs="Times New Roman"/>
                <w:color w:val="000000" w:themeColor="text1"/>
                <w:spacing w:val="-4"/>
                <w:sz w:val="24"/>
                <w:szCs w:val="32"/>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pacing w:val="-4"/>
                <w:sz w:val="24"/>
                <w:szCs w:val="32"/>
                <w:highlight w:val="none"/>
                <w14:textFill>
                  <w14:solidFill>
                    <w14:schemeClr w14:val="tx1"/>
                  </w14:solidFill>
                </w14:textFill>
              </w:rPr>
              <w:t>/d（</w:t>
            </w:r>
            <w:r>
              <w:rPr>
                <w:rFonts w:hint="default" w:ascii="Times New Roman" w:hAnsi="Times New Roman" w:eastAsia="宋体" w:cs="Times New Roman"/>
                <w:color w:val="000000" w:themeColor="text1"/>
                <w:spacing w:val="-4"/>
                <w:sz w:val="24"/>
                <w:szCs w:val="32"/>
                <w:highlight w:val="none"/>
                <w:lang w:val="en-US" w:eastAsia="zh-CN"/>
                <w14:textFill>
                  <w14:solidFill>
                    <w14:schemeClr w14:val="tx1"/>
                  </w14:solidFill>
                </w14:textFill>
              </w:rPr>
              <w:t>156936</w:t>
            </w:r>
            <w:r>
              <w:rPr>
                <w:rFonts w:hint="default" w:ascii="Times New Roman" w:hAnsi="Times New Roman" w:eastAsia="宋体" w:cs="Times New Roman"/>
                <w:color w:val="000000" w:themeColor="text1"/>
                <w:spacing w:val="-4"/>
                <w:sz w:val="24"/>
                <w:szCs w:val="32"/>
                <w:highlight w:val="none"/>
                <w14:textFill>
                  <w14:solidFill>
                    <w14:schemeClr w14:val="tx1"/>
                  </w14:solidFill>
                </w14:textFill>
              </w:rPr>
              <w:t>m</w:t>
            </w:r>
            <w:r>
              <w:rPr>
                <w:rFonts w:hint="default" w:ascii="Times New Roman" w:hAnsi="Times New Roman" w:eastAsia="宋体" w:cs="Times New Roman"/>
                <w:color w:val="000000" w:themeColor="text1"/>
                <w:spacing w:val="-4"/>
                <w:sz w:val="24"/>
                <w:szCs w:val="32"/>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pacing w:val="-4"/>
                <w:sz w:val="24"/>
                <w:szCs w:val="32"/>
                <w:highlight w:val="none"/>
                <w14:textFill>
                  <w14:solidFill>
                    <w14:schemeClr w14:val="tx1"/>
                  </w14:solidFill>
                </w14:textFill>
              </w:rPr>
              <w:t>/a）。</w:t>
            </w:r>
          </w:p>
          <w:p w14:paraId="07031C9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4）</w:t>
            </w:r>
            <w:r>
              <w:rPr>
                <w:rFonts w:hint="default" w:ascii="Times New Roman" w:hAnsi="Times New Roman" w:eastAsia="宋体" w:cs="Times New Roman"/>
                <w:color w:val="000000" w:themeColor="text1"/>
                <w:sz w:val="24"/>
                <w:szCs w:val="24"/>
                <w:highlight w:val="none"/>
                <w14:textFill>
                  <w14:solidFill>
                    <w14:schemeClr w14:val="tx1"/>
                  </w14:solidFill>
                </w14:textFill>
              </w:rPr>
              <w:t>脱硫装置补充水</w:t>
            </w:r>
          </w:p>
          <w:p w14:paraId="52EF5E7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脱硫系统对水质要求不高，脱硫系统石灰浆制备可软水排水，脱硫系统使用含固量20%浆液的石灰石，脱硫剂用量为</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12</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00t/a，则脱硫系统用水量为</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48</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00m</w:t>
            </w:r>
            <w:r>
              <w:rPr>
                <w:rFonts w:hint="default" w:ascii="Times New Roman" w:hAnsi="Times New Roman" w:eastAsia="宋体" w:cs="Times New Roman"/>
                <w:color w:val="000000" w:themeColor="text1"/>
                <w:sz w:val="24"/>
                <w:szCs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/a。脱硫工艺过程中，脱硫石膏带走一部分水，损耗一部分水，其余作为脱硫系统废水用于灰的调湿。脱硫石膏含水量按</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1</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0%计，则脱硫石膏</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量为1243t/a，</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带走水量为</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124</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m</w:t>
            </w:r>
            <w:r>
              <w:rPr>
                <w:rFonts w:hint="default" w:ascii="Times New Roman" w:hAnsi="Times New Roman" w:eastAsia="宋体" w:cs="Times New Roman"/>
                <w:color w:val="000000" w:themeColor="text1"/>
                <w:sz w:val="24"/>
                <w:szCs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/a；脱硫系统烟气损失量为80%，损耗</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38</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40m</w:t>
            </w:r>
            <w:r>
              <w:rPr>
                <w:rFonts w:hint="default" w:ascii="Times New Roman" w:hAnsi="Times New Roman" w:eastAsia="宋体" w:cs="Times New Roman"/>
                <w:color w:val="000000" w:themeColor="text1"/>
                <w:sz w:val="24"/>
                <w:szCs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/a，排水量</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836</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m</w:t>
            </w:r>
            <w:r>
              <w:rPr>
                <w:rFonts w:hint="default" w:ascii="Times New Roman" w:hAnsi="Times New Roman" w:eastAsia="宋体" w:cs="Times New Roman"/>
                <w:color w:val="000000" w:themeColor="text1"/>
                <w:sz w:val="24"/>
                <w:szCs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/a。</w:t>
            </w:r>
          </w:p>
          <w:p w14:paraId="1052767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z w:val="24"/>
                <w:szCs w:val="24"/>
                <w:highlight w:val="none"/>
                <w14:textFill>
                  <w14:solidFill>
                    <w14:schemeClr w14:val="tx1"/>
                  </w14:solidFill>
                </w14:textFill>
              </w:rPr>
              <w:t>洒水抑尘用水</w:t>
            </w:r>
          </w:p>
          <w:p w14:paraId="384132B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本项目在</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道路扬尘</w:t>
            </w:r>
            <w:r>
              <w:rPr>
                <w:rFonts w:hint="default" w:ascii="Times New Roman" w:hAnsi="Times New Roman" w:eastAsia="宋体" w:cs="Times New Roman"/>
                <w:color w:val="000000" w:themeColor="text1"/>
                <w:sz w:val="24"/>
                <w:szCs w:val="24"/>
                <w:highlight w:val="none"/>
                <w14:textFill>
                  <w14:solidFill>
                    <w14:schemeClr w14:val="tx1"/>
                  </w14:solidFill>
                </w14:textFill>
              </w:rPr>
              <w:t>过程中配置洒水抑尘装置，抑尘</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洒</w:t>
            </w:r>
            <w:r>
              <w:rPr>
                <w:rFonts w:hint="default" w:ascii="Times New Roman" w:hAnsi="Times New Roman" w:eastAsia="宋体" w:cs="Times New Roman"/>
                <w:color w:val="000000" w:themeColor="text1"/>
                <w:sz w:val="24"/>
                <w:szCs w:val="24"/>
                <w:highlight w:val="none"/>
                <w14:textFill>
                  <w14:solidFill>
                    <w14:schemeClr w14:val="tx1"/>
                  </w14:solidFill>
                </w14:textFill>
              </w:rPr>
              <w:t>水量按照3L/t.物料计算，抑尘</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洒水</w:t>
            </w:r>
            <w:r>
              <w:rPr>
                <w:rFonts w:hint="default" w:ascii="Times New Roman" w:hAnsi="Times New Roman" w:eastAsia="宋体" w:cs="Times New Roman"/>
                <w:color w:val="000000" w:themeColor="text1"/>
                <w:sz w:val="24"/>
                <w:szCs w:val="24"/>
                <w:highlight w:val="none"/>
                <w14:textFill>
                  <w14:solidFill>
                    <w14:schemeClr w14:val="tx1"/>
                  </w14:solidFill>
                </w14:textFill>
              </w:rPr>
              <w:t>消耗量为6</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00</w:t>
            </w:r>
            <w:r>
              <w:rPr>
                <w:rFonts w:hint="default" w:ascii="Times New Roman" w:hAnsi="Times New Roman" w:eastAsia="宋体" w:cs="Times New Roman"/>
                <w:color w:val="000000" w:themeColor="text1"/>
                <w:sz w:val="24"/>
                <w:szCs w:val="24"/>
                <w:highlight w:val="none"/>
                <w14:textFill>
                  <w14:solidFill>
                    <w14:schemeClr w14:val="tx1"/>
                  </w14:solidFill>
                </w14:textFill>
              </w:rPr>
              <w:t>m</w:t>
            </w:r>
            <w:r>
              <w:rPr>
                <w:rFonts w:hint="default" w:ascii="Times New Roman" w:hAnsi="Times New Roman" w:eastAsia="宋体"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z w:val="24"/>
                <w:szCs w:val="24"/>
                <w:highlight w:val="none"/>
                <w14:textFill>
                  <w14:solidFill>
                    <w14:schemeClr w14:val="tx1"/>
                  </w14:solidFill>
                </w14:textFill>
              </w:rPr>
              <w:t>/a。</w:t>
            </w:r>
          </w:p>
          <w:p w14:paraId="6638A4A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本项目厂区运输量较大，除及时清扫道路，保持清洁外，需要定期进行</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洒水</w:t>
            </w:r>
            <w:r>
              <w:rPr>
                <w:rFonts w:hint="default" w:ascii="Times New Roman" w:hAnsi="Times New Roman" w:eastAsia="宋体" w:cs="Times New Roman"/>
                <w:color w:val="000000" w:themeColor="text1"/>
                <w:sz w:val="24"/>
                <w:szCs w:val="24"/>
                <w:highlight w:val="none"/>
                <w14:textFill>
                  <w14:solidFill>
                    <w14:schemeClr w14:val="tx1"/>
                  </w14:solidFill>
                </w14:textFill>
              </w:rPr>
              <w:t>。本项目物料在厂区内运输道路总长度为710m、道路宽度为</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7</w:t>
            </w:r>
            <w:r>
              <w:rPr>
                <w:rFonts w:hint="default" w:ascii="Times New Roman" w:hAnsi="Times New Roman" w:eastAsia="宋体" w:cs="Times New Roman"/>
                <w:color w:val="000000" w:themeColor="text1"/>
                <w:sz w:val="24"/>
                <w:szCs w:val="24"/>
                <w:highlight w:val="none"/>
                <w14:textFill>
                  <w14:solidFill>
                    <w14:schemeClr w14:val="tx1"/>
                  </w14:solidFill>
                </w14:textFill>
              </w:rPr>
              <w:t>m，根据《内蒙古自治区行业用水定额标准》</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DB15/T385-2020</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中规定，“城市环境卫生管理-场地、道路喷洒”用水定额为2L</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m</w:t>
            </w:r>
            <w:r>
              <w:rPr>
                <w:rFonts w:hint="default" w:ascii="Times New Roman" w:hAnsi="Times New Roman" w:eastAsia="宋体" w:cs="Times New Roman"/>
                <w:color w:val="000000" w:themeColor="text1"/>
                <w:sz w:val="24"/>
                <w:szCs w:val="24"/>
                <w:highlight w:val="none"/>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z w:val="24"/>
                <w:szCs w:val="24"/>
                <w:highlight w:val="none"/>
                <w:vertAlign w:val="baseli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d，则本项目运营期道路</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洒水</w:t>
            </w:r>
            <w:r>
              <w:rPr>
                <w:rFonts w:hint="default" w:ascii="Times New Roman" w:hAnsi="Times New Roman" w:eastAsia="宋体" w:cs="Times New Roman"/>
                <w:color w:val="000000" w:themeColor="text1"/>
                <w:sz w:val="24"/>
                <w:szCs w:val="24"/>
                <w:highlight w:val="none"/>
                <w14:textFill>
                  <w14:solidFill>
                    <w14:schemeClr w14:val="tx1"/>
                  </w14:solidFill>
                </w14:textFill>
              </w:rPr>
              <w:t>抑尘用水量为</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2982</w:t>
            </w:r>
            <w:r>
              <w:rPr>
                <w:rFonts w:hint="default" w:ascii="Times New Roman" w:hAnsi="Times New Roman" w:eastAsia="宋体" w:cs="Times New Roman"/>
                <w:color w:val="000000" w:themeColor="text1"/>
                <w:sz w:val="24"/>
                <w:szCs w:val="24"/>
                <w:highlight w:val="none"/>
                <w14:textFill>
                  <w14:solidFill>
                    <w14:schemeClr w14:val="tx1"/>
                  </w14:solidFill>
                </w14:textFill>
              </w:rPr>
              <w:t>m</w:t>
            </w:r>
            <w:r>
              <w:rPr>
                <w:rFonts w:hint="default" w:ascii="Times New Roman" w:hAnsi="Times New Roman" w:eastAsia="宋体"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cs="Times New Roman"/>
                <w:color w:val="000000" w:themeColor="text1"/>
                <w:sz w:val="24"/>
                <w:szCs w:val="24"/>
                <w:highlight w:val="none"/>
                <w:vertAlign w:val="baseline"/>
                <w:lang w:val="en-US" w:eastAsia="zh-CN"/>
                <w14:textFill>
                  <w14:solidFill>
                    <w14:schemeClr w14:val="tx1"/>
                  </w14:solidFill>
                </w14:textFill>
              </w:rPr>
              <w:t>/a</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p>
          <w:p w14:paraId="764807D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综上，本项目运营期抑尘</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洒水</w:t>
            </w:r>
            <w:r>
              <w:rPr>
                <w:rFonts w:hint="default" w:ascii="Times New Roman" w:hAnsi="Times New Roman" w:eastAsia="宋体" w:cs="Times New Roman"/>
                <w:color w:val="000000" w:themeColor="text1"/>
                <w:sz w:val="24"/>
                <w:szCs w:val="24"/>
                <w:highlight w:val="none"/>
                <w14:textFill>
                  <w14:solidFill>
                    <w14:schemeClr w14:val="tx1"/>
                  </w14:solidFill>
                </w14:textFill>
              </w:rPr>
              <w:t>总量为</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3582</w:t>
            </w:r>
            <w:r>
              <w:rPr>
                <w:rFonts w:hint="default" w:ascii="Times New Roman" w:hAnsi="Times New Roman" w:eastAsia="宋体" w:cs="Times New Roman"/>
                <w:color w:val="000000" w:themeColor="text1"/>
                <w:sz w:val="24"/>
                <w:szCs w:val="24"/>
                <w:highlight w:val="none"/>
                <w14:textFill>
                  <w14:solidFill>
                    <w14:schemeClr w14:val="tx1"/>
                  </w14:solidFill>
                </w14:textFill>
              </w:rPr>
              <w:t>m</w:t>
            </w:r>
            <w:r>
              <w:rPr>
                <w:rFonts w:hint="default" w:ascii="Times New Roman" w:hAnsi="Times New Roman" w:eastAsia="宋体"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/a</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p>
          <w:p w14:paraId="39A91EC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6）</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绿化用水</w:t>
            </w:r>
          </w:p>
          <w:p w14:paraId="59E3143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根据《内蒙古自治区行业用水定额》（DB15/T385-2020），绿化用水量1.1L</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m</w:t>
            </w:r>
            <w:r>
              <w:rPr>
                <w:rFonts w:hint="default" w:ascii="Times New Roman" w:hAnsi="Times New Roman" w:eastAsia="宋体" w:cs="Times New Roman"/>
                <w:color w:val="000000" w:themeColor="text1"/>
                <w:sz w:val="24"/>
                <w:szCs w:val="24"/>
                <w:highlight w:val="none"/>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．D），本项目绿化面积约</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8</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00.0m</w:t>
            </w:r>
            <w:r>
              <w:rPr>
                <w:rFonts w:hint="default" w:ascii="Times New Roman" w:hAnsi="Times New Roman" w:eastAsia="宋体" w:cs="Times New Roman"/>
                <w:color w:val="000000" w:themeColor="text1"/>
                <w:sz w:val="24"/>
                <w:szCs w:val="24"/>
                <w:highlight w:val="none"/>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，全年绿化时间150天，绿化用水量为</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1</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3</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t/a。</w:t>
            </w:r>
          </w:p>
          <w:p w14:paraId="1F48530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（2）排水</w:t>
            </w:r>
          </w:p>
          <w:p w14:paraId="32EB3C1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1）生活污水</w:t>
            </w:r>
          </w:p>
          <w:p w14:paraId="71C0A62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snapToGrid w:val="0"/>
                <w:color w:val="000000" w:themeColor="text1"/>
                <w:sz w:val="24"/>
                <w:szCs w:val="24"/>
                <w:highlight w:val="none"/>
                <w14:textFill>
                  <w14:solidFill>
                    <w14:schemeClr w14:val="tx1"/>
                  </w14:solidFill>
                </w14:textFill>
              </w:rPr>
              <w:t>本项目</w:t>
            </w:r>
            <w:r>
              <w:rPr>
                <w:rFonts w:hint="default" w:ascii="Times New Roman" w:hAnsi="Times New Roman" w:eastAsia="宋体" w:cs="Times New Roman"/>
                <w:color w:val="000000" w:themeColor="text1"/>
                <w:sz w:val="24"/>
                <w:szCs w:val="24"/>
                <w:highlight w:val="none"/>
                <w14:textFill>
                  <w14:solidFill>
                    <w14:schemeClr w14:val="tx1"/>
                  </w14:solidFill>
                </w14:textFill>
              </w:rPr>
              <w:t>生活污水产生系数按80%计算，本项目生活污水产生量为</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504</w:t>
            </w:r>
            <w:r>
              <w:rPr>
                <w:rFonts w:hint="default" w:ascii="Times New Roman" w:hAnsi="Times New Roman" w:eastAsia="宋体" w:cs="Times New Roman"/>
                <w:bCs/>
                <w:color w:val="000000" w:themeColor="text1"/>
                <w:sz w:val="24"/>
                <w:szCs w:val="24"/>
                <w:highlight w:val="none"/>
                <w14:textFill>
                  <w14:solidFill>
                    <w14:schemeClr w14:val="tx1"/>
                  </w14:solidFill>
                </w14:textFill>
              </w:rPr>
              <w:t>m</w:t>
            </w:r>
            <w:r>
              <w:rPr>
                <w:rFonts w:hint="default" w:ascii="Times New Roman" w:hAnsi="Times New Roman" w:eastAsia="宋体" w:cs="Times New Roman"/>
                <w:bCs/>
                <w:color w:val="000000" w:themeColor="text1"/>
                <w:sz w:val="24"/>
                <w:szCs w:val="24"/>
                <w:highlight w:val="none"/>
                <w:vertAlign w:val="superscript"/>
                <w14:textFill>
                  <w14:solidFill>
                    <w14:schemeClr w14:val="tx1"/>
                  </w14:solidFill>
                </w14:textFill>
              </w:rPr>
              <w:t>3</w:t>
            </w:r>
            <w:r>
              <w:rPr>
                <w:rFonts w:hint="default" w:ascii="Times New Roman" w:hAnsi="Times New Roman" w:eastAsia="宋体" w:cs="Times New Roman"/>
                <w:bCs/>
                <w:color w:val="000000" w:themeColor="text1"/>
                <w:sz w:val="24"/>
                <w:szCs w:val="24"/>
                <w:highlight w:val="none"/>
                <w14:textFill>
                  <w14:solidFill>
                    <w14:schemeClr w14:val="tx1"/>
                  </w14:solidFill>
                </w14:textFill>
              </w:rPr>
              <w:t>/a，</w:t>
            </w:r>
            <w:r>
              <w:rPr>
                <w:rFonts w:hint="default" w:ascii="Times New Roman" w:hAnsi="Times New Roman" w:eastAsia="宋体" w:cs="Times New Roman"/>
                <w:color w:val="000000" w:themeColor="text1"/>
                <w:sz w:val="24"/>
                <w:szCs w:val="24"/>
                <w:highlight w:val="none"/>
                <w14:textFill>
                  <w14:solidFill>
                    <w14:schemeClr w14:val="tx1"/>
                  </w14:solidFill>
                </w14:textFill>
              </w:rPr>
              <w:t>由</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防渗</w:t>
            </w:r>
            <w:r>
              <w:rPr>
                <w:rFonts w:hint="default" w:ascii="Times New Roman" w:hAnsi="Times New Roman" w:eastAsia="宋体" w:cs="Times New Roman"/>
                <w:color w:val="000000" w:themeColor="text1"/>
                <w:sz w:val="24"/>
                <w:szCs w:val="24"/>
                <w:highlight w:val="none"/>
                <w14:textFill>
                  <w14:solidFill>
                    <w14:schemeClr w14:val="tx1"/>
                  </w14:solidFill>
                </w14:textFill>
              </w:rPr>
              <w:t>化粪池收集后通过</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罐车拉运</w:t>
            </w:r>
            <w:r>
              <w:rPr>
                <w:rFonts w:hint="default" w:ascii="Times New Roman" w:hAnsi="Times New Roman" w:eastAsia="宋体" w:cs="Times New Roman"/>
                <w:color w:val="000000" w:themeColor="text1"/>
                <w:sz w:val="24"/>
                <w:szCs w:val="24"/>
                <w:highlight w:val="none"/>
                <w14:textFill>
                  <w14:solidFill>
                    <w14:schemeClr w14:val="tx1"/>
                  </w14:solidFill>
                </w14:textFill>
              </w:rPr>
              <w:t>园区污水处理厂。</w:t>
            </w:r>
          </w:p>
          <w:p w14:paraId="35EE40B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2）软水制备排水</w:t>
            </w:r>
          </w:p>
          <w:p w14:paraId="694B27D3">
            <w:pPr>
              <w:spacing w:line="360" w:lineRule="auto"/>
              <w:ind w:firstLine="480" w:firstLineChars="200"/>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2"/>
                <w:sz w:val="24"/>
                <w:szCs w:val="32"/>
                <w:highlight w:val="none"/>
                <w:lang w:val="en-US" w:eastAsia="zh-CN" w:bidi="ar"/>
                <w14:textFill>
                  <w14:solidFill>
                    <w14:schemeClr w14:val="tx1"/>
                  </w14:solidFill>
                </w14:textFill>
              </w:rPr>
              <w:t>根据项目用水情况</w:t>
            </w:r>
            <w:r>
              <w:rPr>
                <w:rFonts w:hint="default" w:ascii="Times New Roman" w:hAnsi="Times New Roman" w:eastAsia="宋体" w:cs="Times New Roman"/>
                <w:color w:val="000000" w:themeColor="text1"/>
                <w:sz w:val="24"/>
                <w:szCs w:val="32"/>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kern w:val="2"/>
                <w:sz w:val="24"/>
                <w:szCs w:val="32"/>
                <w:highlight w:val="none"/>
                <w:vertAlign w:val="baseline"/>
                <w:lang w:val="en-US" w:eastAsia="zh-CN" w:bidi="ar"/>
                <w14:textFill>
                  <w14:solidFill>
                    <w14:schemeClr w14:val="tx1"/>
                  </w14:solidFill>
                </w14:textFill>
              </w:rPr>
              <w:t>余热锅炉需软水量为141242.4m</w:t>
            </w:r>
            <w:r>
              <w:rPr>
                <w:rFonts w:hint="default" w:ascii="Times New Roman" w:hAnsi="Times New Roman" w:eastAsia="宋体" w:cs="Times New Roman"/>
                <w:color w:val="000000" w:themeColor="text1"/>
                <w:kern w:val="2"/>
                <w:sz w:val="24"/>
                <w:szCs w:val="32"/>
                <w:highlight w:val="none"/>
                <w:vertAlign w:val="superscript"/>
                <w:lang w:val="en-US" w:eastAsia="zh-CN" w:bidi="ar"/>
                <w14:textFill>
                  <w14:solidFill>
                    <w14:schemeClr w14:val="tx1"/>
                  </w14:solidFill>
                </w14:textFill>
              </w:rPr>
              <w:t>3</w:t>
            </w:r>
            <w:r>
              <w:rPr>
                <w:rFonts w:hint="default" w:ascii="Times New Roman" w:hAnsi="Times New Roman" w:eastAsia="宋体" w:cs="Times New Roman"/>
                <w:color w:val="000000" w:themeColor="text1"/>
                <w:kern w:val="2"/>
                <w:sz w:val="24"/>
                <w:szCs w:val="32"/>
                <w:highlight w:val="none"/>
                <w:vertAlign w:val="baseline"/>
                <w:lang w:val="en-US" w:eastAsia="zh-CN" w:bidi="ar"/>
                <w14:textFill>
                  <w14:solidFill>
                    <w14:schemeClr w14:val="tx1"/>
                  </w14:solidFill>
                </w14:textFill>
              </w:rPr>
              <w:t>/a，</w:t>
            </w:r>
            <w:r>
              <w:rPr>
                <w:rFonts w:hint="default" w:ascii="Times New Roman" w:hAnsi="Times New Roman" w:eastAsia="宋体" w:cs="Times New Roman"/>
                <w:color w:val="000000" w:themeColor="text1"/>
                <w:kern w:val="2"/>
                <w:sz w:val="24"/>
                <w:szCs w:val="32"/>
                <w:highlight w:val="none"/>
                <w:lang w:val="en-US" w:eastAsia="zh-CN" w:bidi="ar"/>
                <w14:textFill>
                  <w14:solidFill>
                    <w14:schemeClr w14:val="tx1"/>
                  </w14:solidFill>
                </w14:textFill>
              </w:rPr>
              <w:t>软水制水率为90%</w:t>
            </w:r>
            <w:r>
              <w:rPr>
                <w:rFonts w:hint="default" w:ascii="Times New Roman" w:hAnsi="Times New Roman" w:eastAsia="宋体" w:cs="Times New Roman"/>
                <w:color w:val="000000" w:themeColor="text1"/>
                <w:spacing w:val="-4"/>
                <w:sz w:val="24"/>
                <w:szCs w:val="32"/>
                <w:highlight w:val="none"/>
                <w:lang w:eastAsia="zh-CN"/>
                <w14:textFill>
                  <w14:solidFill>
                    <w14:schemeClr w14:val="tx1"/>
                  </w14:solidFill>
                </w14:textFill>
              </w:rPr>
              <w:t>，</w:t>
            </w:r>
            <w:r>
              <w:rPr>
                <w:rFonts w:hint="default" w:ascii="Times New Roman" w:hAnsi="Times New Roman" w:eastAsia="宋体" w:cs="Times New Roman"/>
                <w:color w:val="000000" w:themeColor="text1"/>
                <w:kern w:val="2"/>
                <w:sz w:val="24"/>
                <w:szCs w:val="32"/>
                <w:highlight w:val="none"/>
                <w:lang w:val="en-US" w:eastAsia="zh-CN" w:bidi="ar"/>
                <w14:textFill>
                  <w14:solidFill>
                    <w14:schemeClr w14:val="tx1"/>
                  </w14:solidFill>
                </w14:textFill>
              </w:rPr>
              <w:t>则</w:t>
            </w:r>
            <w:r>
              <w:rPr>
                <w:rFonts w:hint="default" w:ascii="Times New Roman" w:hAnsi="Times New Roman" w:eastAsia="宋体" w:cs="Times New Roman"/>
                <w:color w:val="000000" w:themeColor="text1"/>
                <w:sz w:val="24"/>
                <w:szCs w:val="32"/>
                <w:highlight w:val="none"/>
                <w:lang w:val="en-US" w:eastAsia="zh-CN"/>
                <w14:textFill>
                  <w14:solidFill>
                    <w14:schemeClr w14:val="tx1"/>
                  </w14:solidFill>
                </w14:textFill>
              </w:rPr>
              <w:t>软水制备排水</w:t>
            </w:r>
            <w:r>
              <w:rPr>
                <w:rFonts w:hint="default" w:ascii="Times New Roman" w:hAnsi="Times New Roman" w:eastAsia="宋体" w:cs="Times New Roman"/>
                <w:color w:val="000000" w:themeColor="text1"/>
                <w:sz w:val="24"/>
                <w:szCs w:val="32"/>
                <w:highlight w:val="none"/>
                <w14:textFill>
                  <w14:solidFill>
                    <w14:schemeClr w14:val="tx1"/>
                  </w14:solidFill>
                </w14:textFill>
              </w:rPr>
              <w:t>量为</w:t>
            </w:r>
            <w:r>
              <w:rPr>
                <w:rFonts w:hint="default" w:ascii="Times New Roman" w:hAnsi="Times New Roman" w:eastAsia="宋体" w:cs="Times New Roman"/>
                <w:color w:val="000000" w:themeColor="text1"/>
                <w:sz w:val="24"/>
                <w:szCs w:val="32"/>
                <w:highlight w:val="none"/>
                <w:lang w:val="en-US" w:eastAsia="zh-CN"/>
                <w14:textFill>
                  <w14:solidFill>
                    <w14:schemeClr w14:val="tx1"/>
                  </w14:solidFill>
                </w14:textFill>
              </w:rPr>
              <w:t>52.31</w:t>
            </w:r>
            <w:r>
              <w:rPr>
                <w:rFonts w:hint="default" w:ascii="Times New Roman" w:hAnsi="Times New Roman" w:eastAsia="宋体" w:cs="Times New Roman"/>
                <w:color w:val="000000" w:themeColor="text1"/>
                <w:spacing w:val="-4"/>
                <w:sz w:val="24"/>
                <w:szCs w:val="32"/>
                <w:highlight w:val="none"/>
                <w14:textFill>
                  <w14:solidFill>
                    <w14:schemeClr w14:val="tx1"/>
                  </w14:solidFill>
                </w14:textFill>
              </w:rPr>
              <w:t>m</w:t>
            </w:r>
            <w:r>
              <w:rPr>
                <w:rFonts w:hint="default" w:ascii="Times New Roman" w:hAnsi="Times New Roman" w:eastAsia="宋体" w:cs="Times New Roman"/>
                <w:color w:val="000000" w:themeColor="text1"/>
                <w:spacing w:val="-4"/>
                <w:sz w:val="24"/>
                <w:szCs w:val="32"/>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pacing w:val="-4"/>
                <w:sz w:val="24"/>
                <w:szCs w:val="32"/>
                <w:highlight w:val="none"/>
                <w14:textFill>
                  <w14:solidFill>
                    <w14:schemeClr w14:val="tx1"/>
                  </w14:solidFill>
                </w14:textFill>
              </w:rPr>
              <w:t>/d（</w:t>
            </w:r>
            <w:r>
              <w:rPr>
                <w:rFonts w:hint="default" w:ascii="Times New Roman" w:hAnsi="Times New Roman" w:eastAsia="宋体" w:cs="Times New Roman"/>
                <w:color w:val="000000" w:themeColor="text1"/>
                <w:spacing w:val="-4"/>
                <w:sz w:val="24"/>
                <w:szCs w:val="32"/>
                <w:highlight w:val="none"/>
                <w:lang w:val="en-US" w:eastAsia="zh-CN"/>
                <w14:textFill>
                  <w14:solidFill>
                    <w14:schemeClr w14:val="tx1"/>
                  </w14:solidFill>
                </w14:textFill>
              </w:rPr>
              <w:t>15693.6</w:t>
            </w:r>
            <w:r>
              <w:rPr>
                <w:rFonts w:hint="default" w:ascii="Times New Roman" w:hAnsi="Times New Roman" w:eastAsia="宋体" w:cs="Times New Roman"/>
                <w:color w:val="000000" w:themeColor="text1"/>
                <w:spacing w:val="-4"/>
                <w:sz w:val="24"/>
                <w:szCs w:val="32"/>
                <w:highlight w:val="none"/>
                <w14:textFill>
                  <w14:solidFill>
                    <w14:schemeClr w14:val="tx1"/>
                  </w14:solidFill>
                </w14:textFill>
              </w:rPr>
              <w:t>m</w:t>
            </w:r>
            <w:r>
              <w:rPr>
                <w:rFonts w:hint="default" w:ascii="Times New Roman" w:hAnsi="Times New Roman" w:eastAsia="宋体" w:cs="Times New Roman"/>
                <w:color w:val="000000" w:themeColor="text1"/>
                <w:spacing w:val="-4"/>
                <w:sz w:val="24"/>
                <w:szCs w:val="32"/>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pacing w:val="-4"/>
                <w:sz w:val="24"/>
                <w:szCs w:val="32"/>
                <w:highlight w:val="none"/>
                <w14:textFill>
                  <w14:solidFill>
                    <w14:schemeClr w14:val="tx1"/>
                  </w14:solidFill>
                </w14:textFill>
              </w:rPr>
              <w:t>/a）</w:t>
            </w:r>
            <w:r>
              <w:rPr>
                <w:rFonts w:hint="default" w:ascii="Times New Roman" w:hAnsi="Times New Roman" w:eastAsia="宋体" w:cs="Times New Roman"/>
                <w:color w:val="000000" w:themeColor="text1"/>
                <w:spacing w:val="-4"/>
                <w:sz w:val="24"/>
                <w:szCs w:val="32"/>
                <w:highlight w:val="none"/>
                <w:lang w:val="en-US" w:eastAsia="zh-CN"/>
                <w14:textFill>
                  <w14:solidFill>
                    <w14:schemeClr w14:val="tx1"/>
                  </w14:solidFill>
                </w14:textFill>
              </w:rPr>
              <w:t>，通过罐车拉运至污水处理厂。</w:t>
            </w:r>
          </w:p>
          <w:p w14:paraId="64BF3B4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3）锅炉排污水</w:t>
            </w:r>
          </w:p>
          <w:p w14:paraId="32C3AA1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2"/>
                <w:sz w:val="24"/>
                <w:szCs w:val="32"/>
                <w:highlight w:val="none"/>
                <w:vertAlign w:val="baseline"/>
                <w:lang w:val="en-US" w:eastAsia="zh-CN" w:bidi="ar"/>
                <w14:textFill>
                  <w14:solidFill>
                    <w14:schemeClr w14:val="tx1"/>
                  </w14:solidFill>
                </w14:textFill>
              </w:rPr>
              <w:t>余热锅炉需软水量为141242.4m</w:t>
            </w:r>
            <w:r>
              <w:rPr>
                <w:rFonts w:hint="default" w:ascii="Times New Roman" w:hAnsi="Times New Roman" w:eastAsia="宋体" w:cs="Times New Roman"/>
                <w:color w:val="000000" w:themeColor="text1"/>
                <w:kern w:val="2"/>
                <w:sz w:val="24"/>
                <w:szCs w:val="32"/>
                <w:highlight w:val="none"/>
                <w:vertAlign w:val="superscript"/>
                <w:lang w:val="en-US" w:eastAsia="zh-CN" w:bidi="ar"/>
                <w14:textFill>
                  <w14:solidFill>
                    <w14:schemeClr w14:val="tx1"/>
                  </w14:solidFill>
                </w14:textFill>
              </w:rPr>
              <w:t>3</w:t>
            </w:r>
            <w:r>
              <w:rPr>
                <w:rFonts w:hint="default" w:ascii="Times New Roman" w:hAnsi="Times New Roman" w:eastAsia="宋体" w:cs="Times New Roman"/>
                <w:color w:val="000000" w:themeColor="text1"/>
                <w:kern w:val="2"/>
                <w:sz w:val="24"/>
                <w:szCs w:val="32"/>
                <w:highlight w:val="none"/>
                <w:vertAlign w:val="baseline"/>
                <w:lang w:val="en-US" w:eastAsia="zh-CN" w:bidi="ar"/>
                <w14:textFill>
                  <w14:solidFill>
                    <w14:schemeClr w14:val="tx1"/>
                  </w14:solidFill>
                </w14:textFill>
              </w:rPr>
              <w:t>/a，</w:t>
            </w:r>
            <w:r>
              <w:rPr>
                <w:rFonts w:hint="default" w:ascii="Times New Roman" w:hAnsi="Times New Roman" w:eastAsia="宋体" w:cs="Times New Roman"/>
                <w:color w:val="000000" w:themeColor="text1"/>
                <w:kern w:val="2"/>
                <w:sz w:val="24"/>
                <w:szCs w:val="32"/>
                <w:highlight w:val="none"/>
                <w:lang w:bidi="ar"/>
                <w14:textFill>
                  <w14:solidFill>
                    <w14:schemeClr w14:val="tx1"/>
                  </w14:solidFill>
                </w14:textFill>
              </w:rPr>
              <w:t>项目</w:t>
            </w:r>
            <w:r>
              <w:rPr>
                <w:rFonts w:hint="default" w:ascii="Times New Roman" w:hAnsi="Times New Roman" w:eastAsia="宋体" w:cs="Times New Roman"/>
                <w:color w:val="000000" w:themeColor="text1"/>
                <w:kern w:val="2"/>
                <w:sz w:val="24"/>
                <w:szCs w:val="32"/>
                <w:highlight w:val="none"/>
                <w:lang w:val="en-US" w:eastAsia="zh-CN" w:bidi="ar"/>
                <w14:textFill>
                  <w14:solidFill>
                    <w14:schemeClr w14:val="tx1"/>
                  </w14:solidFill>
                </w14:textFill>
              </w:rPr>
              <w:t>余热锅炉</w:t>
            </w:r>
            <w:r>
              <w:rPr>
                <w:rFonts w:hint="default" w:ascii="Times New Roman" w:hAnsi="Times New Roman" w:eastAsia="宋体" w:cs="Times New Roman"/>
                <w:color w:val="000000" w:themeColor="text1"/>
                <w:sz w:val="24"/>
                <w:szCs w:val="32"/>
                <w:highlight w:val="none"/>
                <w:lang w:val="en-US" w:eastAsia="zh-CN"/>
                <w14:textFill>
                  <w14:solidFill>
                    <w14:schemeClr w14:val="tx1"/>
                  </w14:solidFill>
                </w14:textFill>
              </w:rPr>
              <w:t>的排污</w:t>
            </w:r>
            <w:r>
              <w:rPr>
                <w:rFonts w:hint="default" w:ascii="Times New Roman" w:hAnsi="Times New Roman" w:cs="Times New Roman"/>
                <w:color w:val="000000" w:themeColor="text1"/>
                <w:sz w:val="24"/>
                <w:szCs w:val="32"/>
                <w:highlight w:val="none"/>
                <w:lang w:val="en-US" w:eastAsia="zh-CN"/>
                <w14:textFill>
                  <w14:solidFill>
                    <w14:schemeClr w14:val="tx1"/>
                  </w14:solidFill>
                </w14:textFill>
              </w:rPr>
              <w:t>水量</w:t>
            </w:r>
            <w:r>
              <w:rPr>
                <w:rFonts w:hint="default" w:ascii="Times New Roman" w:hAnsi="Times New Roman" w:eastAsia="宋体" w:cs="Times New Roman"/>
                <w:color w:val="000000" w:themeColor="text1"/>
                <w:sz w:val="24"/>
                <w:szCs w:val="32"/>
                <w:highlight w:val="none"/>
                <w:lang w:val="en-US" w:eastAsia="zh-CN"/>
                <w14:textFill>
                  <w14:solidFill>
                    <w14:schemeClr w14:val="tx1"/>
                  </w14:solidFill>
                </w14:textFill>
              </w:rPr>
              <w:t>为15</w:t>
            </w:r>
            <w:r>
              <w:rPr>
                <w:rFonts w:hint="default" w:ascii="Times New Roman" w:hAnsi="Times New Roman" w:cs="Times New Roman"/>
                <w:color w:val="000000" w:themeColor="text1"/>
                <w:sz w:val="24"/>
                <w:szCs w:val="32"/>
                <w:highlight w:val="none"/>
                <w:lang w:val="en-US" w:eastAsia="zh-CN"/>
                <w14:textFill>
                  <w14:solidFill>
                    <w14:schemeClr w14:val="tx1"/>
                  </w14:solidFill>
                </w14:textFill>
              </w:rPr>
              <w:t>.09</w:t>
            </w:r>
            <w:r>
              <w:rPr>
                <w:rFonts w:hint="default" w:ascii="Times New Roman" w:hAnsi="Times New Roman" w:eastAsia="宋体" w:cs="Times New Roman"/>
                <w:color w:val="000000" w:themeColor="text1"/>
                <w:sz w:val="24"/>
                <w:szCs w:val="32"/>
                <w:highlight w:val="none"/>
                <w:lang w:val="en-US" w:eastAsia="zh-CN"/>
                <w14:textFill>
                  <w14:solidFill>
                    <w14:schemeClr w14:val="tx1"/>
                  </w14:solidFill>
                </w14:textFill>
              </w:rPr>
              <w:t>t/h的5%，则排污水量为</w:t>
            </w:r>
            <w:r>
              <w:rPr>
                <w:rFonts w:hint="default" w:ascii="Times New Roman" w:hAnsi="Times New Roman" w:eastAsia="宋体" w:cs="Times New Roman"/>
                <w:color w:val="000000" w:themeColor="text1"/>
                <w:spacing w:val="-4"/>
                <w:sz w:val="24"/>
                <w:szCs w:val="32"/>
                <w:highlight w:val="none"/>
                <w:lang w:val="en-US" w:eastAsia="zh-CN"/>
                <w14:textFill>
                  <w14:solidFill>
                    <w14:schemeClr w14:val="tx1"/>
                  </w14:solidFill>
                </w14:textFill>
              </w:rPr>
              <w:t>5432.4</w:t>
            </w:r>
            <w:r>
              <w:rPr>
                <w:rFonts w:hint="default" w:ascii="Times New Roman" w:hAnsi="Times New Roman" w:eastAsia="宋体" w:cs="Times New Roman"/>
                <w:color w:val="000000" w:themeColor="text1"/>
                <w:spacing w:val="-4"/>
                <w:sz w:val="24"/>
                <w:szCs w:val="32"/>
                <w:highlight w:val="none"/>
                <w14:textFill>
                  <w14:solidFill>
                    <w14:schemeClr w14:val="tx1"/>
                  </w14:solidFill>
                </w14:textFill>
              </w:rPr>
              <w:t>m</w:t>
            </w:r>
            <w:r>
              <w:rPr>
                <w:rFonts w:hint="default" w:ascii="Times New Roman" w:hAnsi="Times New Roman" w:eastAsia="宋体" w:cs="Times New Roman"/>
                <w:color w:val="000000" w:themeColor="text1"/>
                <w:spacing w:val="-4"/>
                <w:sz w:val="24"/>
                <w:szCs w:val="32"/>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pacing w:val="-4"/>
                <w:sz w:val="24"/>
                <w:szCs w:val="32"/>
                <w:highlight w:val="none"/>
                <w14:textFill>
                  <w14:solidFill>
                    <w14:schemeClr w14:val="tx1"/>
                  </w14:solidFill>
                </w14:textFill>
              </w:rPr>
              <w:t>/a</w:t>
            </w:r>
            <w:r>
              <w:rPr>
                <w:rFonts w:hint="default" w:ascii="Times New Roman" w:hAnsi="Times New Roman" w:cs="Times New Roman"/>
                <w:color w:val="000000" w:themeColor="text1"/>
                <w:spacing w:val="-4"/>
                <w:sz w:val="24"/>
                <w:szCs w:val="32"/>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4"/>
                <w:sz w:val="24"/>
                <w:szCs w:val="32"/>
                <w:highlight w:val="none"/>
                <w:lang w:val="en-US" w:eastAsia="zh-CN"/>
                <w14:textFill>
                  <w14:solidFill>
                    <w14:schemeClr w14:val="tx1"/>
                  </w14:solidFill>
                </w14:textFill>
              </w:rPr>
              <w:t>通过罐车拉运至污水处理厂</w:t>
            </w:r>
            <w:r>
              <w:rPr>
                <w:rFonts w:hint="default" w:ascii="Times New Roman" w:hAnsi="Times New Roman" w:cs="Times New Roman"/>
                <w:color w:val="000000" w:themeColor="text1"/>
                <w:spacing w:val="-4"/>
                <w:sz w:val="24"/>
                <w:szCs w:val="32"/>
                <w:highlight w:val="none"/>
                <w:lang w:val="en-US" w:eastAsia="zh-CN"/>
                <w14:textFill>
                  <w14:solidFill>
                    <w14:schemeClr w14:val="tx1"/>
                  </w14:solidFill>
                </w14:textFill>
              </w:rPr>
              <w:t>。</w:t>
            </w:r>
          </w:p>
          <w:p w14:paraId="0FBFB41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4）脱硫废水</w:t>
            </w:r>
          </w:p>
          <w:p w14:paraId="39AA352F">
            <w:pPr>
              <w:spacing w:line="360" w:lineRule="auto"/>
              <w:ind w:firstLine="480" w:firstLineChars="200"/>
              <w:rPr>
                <w:rFonts w:hint="default" w:ascii="Times New Roman" w:hAnsi="Times New Roman" w:eastAsia="宋体" w:cs="Times New Roman"/>
                <w:color w:val="000000" w:themeColor="text1"/>
                <w:kern w:val="2"/>
                <w:sz w:val="24"/>
                <w:szCs w:val="32"/>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2"/>
                <w:sz w:val="24"/>
                <w:szCs w:val="32"/>
                <w:highlight w:val="none"/>
                <w:lang w:val="en-US" w:eastAsia="zh-CN" w:bidi="ar"/>
                <w14:textFill>
                  <w14:solidFill>
                    <w14:schemeClr w14:val="tx1"/>
                  </w14:solidFill>
                </w14:textFill>
              </w:rPr>
              <w:t>本期工程石灰石—石膏湿法烟气脱硫系统运行时，在石灰石制浆过程及石膏脱水等过程中，产生的脱硫废水，主要污染物为pH、盐类及金属类，脱硫系统中设置专用脱硫废水处理设施（三联箱处理），处理后的脱硫废水，</w:t>
            </w:r>
            <w:r>
              <w:rPr>
                <w:rFonts w:hint="default" w:ascii="Times New Roman" w:hAnsi="Times New Roman" w:eastAsia="宋体" w:cs="Times New Roman"/>
                <w:color w:val="000000" w:themeColor="text1"/>
                <w:spacing w:val="-4"/>
                <w:sz w:val="24"/>
                <w:szCs w:val="32"/>
                <w:highlight w:val="none"/>
                <w:lang w:val="en-US" w:eastAsia="zh-CN"/>
                <w14:textFill>
                  <w14:solidFill>
                    <w14:schemeClr w14:val="tx1"/>
                  </w14:solidFill>
                </w14:textFill>
              </w:rPr>
              <w:t>通过罐车拉运至污水处理厂</w:t>
            </w:r>
            <w:r>
              <w:rPr>
                <w:rFonts w:hint="default" w:ascii="Times New Roman" w:hAnsi="Times New Roman" w:eastAsia="宋体" w:cs="Times New Roman"/>
                <w:color w:val="000000" w:themeColor="text1"/>
                <w:kern w:val="2"/>
                <w:sz w:val="24"/>
                <w:szCs w:val="32"/>
                <w:highlight w:val="none"/>
                <w:lang w:val="en-US" w:eastAsia="zh-CN" w:bidi="ar"/>
                <w14:textFill>
                  <w14:solidFill>
                    <w14:schemeClr w14:val="tx1"/>
                  </w14:solidFill>
                </w14:textFill>
              </w:rPr>
              <w:t>。</w:t>
            </w:r>
          </w:p>
          <w:p w14:paraId="4548C2B6">
            <w:pPr>
              <w:pStyle w:val="9"/>
              <w:spacing w:after="0" w:line="360" w:lineRule="auto"/>
              <w:ind w:left="0" w:leftChars="0" w:firstLine="480" w:firstLineChars="200"/>
              <w:rPr>
                <w:rFonts w:hint="default" w:ascii="Times New Roman" w:hAnsi="Times New Roman" w:eastAsia="宋体" w:cs="Times New Roman"/>
                <w:bCs/>
                <w:color w:val="000000" w:themeColor="text1"/>
                <w:szCs w:val="24"/>
                <w:highlight w:val="none"/>
                <w14:textFill>
                  <w14:solidFill>
                    <w14:schemeClr w14:val="tx1"/>
                  </w14:solidFill>
                </w14:textFill>
              </w:rPr>
            </w:pPr>
            <w:r>
              <w:rPr>
                <w:rFonts w:hint="default" w:ascii="Times New Roman" w:hAnsi="Times New Roman" w:cs="Times New Roman"/>
                <w:bCs/>
                <w:color w:val="000000" w:themeColor="text1"/>
                <w:szCs w:val="24"/>
                <w:highlight w:val="none"/>
                <w:lang w:val="en-US" w:eastAsia="zh-CN"/>
                <w14:textFill>
                  <w14:solidFill>
                    <w14:schemeClr w14:val="tx1"/>
                  </w14:solidFill>
                </w14:textFill>
              </w:rPr>
              <w:t>5）</w:t>
            </w:r>
            <w:r>
              <w:rPr>
                <w:rFonts w:hint="default" w:ascii="Times New Roman" w:hAnsi="Times New Roman" w:eastAsia="宋体" w:cs="Times New Roman"/>
                <w:bCs/>
                <w:color w:val="000000" w:themeColor="text1"/>
                <w:szCs w:val="24"/>
                <w:highlight w:val="none"/>
                <w:lang w:val="en-US" w:eastAsia="zh-CN"/>
                <w14:textFill>
                  <w14:solidFill>
                    <w14:schemeClr w14:val="tx1"/>
                  </w14:solidFill>
                </w14:textFill>
              </w:rPr>
              <w:t>冷却系统</w:t>
            </w:r>
            <w:r>
              <w:rPr>
                <w:rFonts w:hint="default" w:ascii="Times New Roman" w:hAnsi="Times New Roman" w:cs="Times New Roman"/>
                <w:bCs/>
                <w:color w:val="000000" w:themeColor="text1"/>
                <w:szCs w:val="24"/>
                <w:highlight w:val="none"/>
                <w:lang w:val="en-US" w:eastAsia="zh-CN"/>
                <w14:textFill>
                  <w14:solidFill>
                    <w14:schemeClr w14:val="tx1"/>
                  </w14:solidFill>
                </w14:textFill>
              </w:rPr>
              <w:t>排</w:t>
            </w:r>
            <w:r>
              <w:rPr>
                <w:rFonts w:hint="default" w:ascii="Times New Roman" w:hAnsi="Times New Roman" w:eastAsia="宋体" w:cs="Times New Roman"/>
                <w:bCs/>
                <w:color w:val="000000" w:themeColor="text1"/>
                <w:szCs w:val="24"/>
                <w:highlight w:val="none"/>
                <w14:textFill>
                  <w14:solidFill>
                    <w14:schemeClr w14:val="tx1"/>
                  </w14:solidFill>
                </w14:textFill>
              </w:rPr>
              <w:t>水</w:t>
            </w:r>
          </w:p>
          <w:p w14:paraId="4C9DC305">
            <w:pPr>
              <w:pStyle w:val="9"/>
              <w:spacing w:after="0" w:line="360" w:lineRule="auto"/>
              <w:ind w:left="0" w:leftChars="0" w:firstLine="480" w:firstLineChars="200"/>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bCs/>
                <w:color w:val="000000" w:themeColor="text1"/>
                <w:szCs w:val="24"/>
                <w:highlight w:val="none"/>
                <w:lang w:val="en-US" w:eastAsia="en-US"/>
                <w14:textFill>
                  <w14:solidFill>
                    <w14:schemeClr w14:val="tx1"/>
                  </w14:solidFill>
                </w14:textFill>
              </w:rPr>
              <w:t>本项目</w:t>
            </w:r>
            <w:r>
              <w:rPr>
                <w:rFonts w:hint="default" w:ascii="Times New Roman" w:hAnsi="Times New Roman" w:eastAsia="宋体" w:cs="Times New Roman"/>
                <w:bCs/>
                <w:color w:val="000000" w:themeColor="text1"/>
                <w:sz w:val="24"/>
                <w:szCs w:val="24"/>
                <w:highlight w:val="none"/>
                <w:lang w:val="en-US" w:eastAsia="en-US"/>
                <w14:textFill>
                  <w14:solidFill>
                    <w14:schemeClr w14:val="tx1"/>
                  </w14:solidFill>
                </w14:textFill>
              </w:rPr>
              <w:t>设备冷却循环水</w:t>
            </w:r>
            <w:r>
              <w:rPr>
                <w:rFonts w:hint="default" w:ascii="Times New Roman" w:hAnsi="Times New Roman" w:cs="Times New Roman"/>
                <w:bCs/>
                <w:color w:val="000000" w:themeColor="text1"/>
                <w:sz w:val="24"/>
                <w:szCs w:val="24"/>
                <w:highlight w:val="none"/>
                <w:lang w:val="en-US" w:eastAsia="zh-CN"/>
                <w14:textFill>
                  <w14:solidFill>
                    <w14:schemeClr w14:val="tx1"/>
                  </w14:solidFill>
                </w14:textFill>
              </w:rPr>
              <w:t>排水</w:t>
            </w:r>
            <w:r>
              <w:rPr>
                <w:rFonts w:hint="default" w:ascii="Times New Roman" w:hAnsi="Times New Roman" w:eastAsia="宋体" w:cs="Times New Roman"/>
                <w:color w:val="000000" w:themeColor="text1"/>
                <w:spacing w:val="-4"/>
                <w:sz w:val="24"/>
                <w:szCs w:val="32"/>
                <w:highlight w:val="none"/>
                <w:lang w:val="en-US" w:eastAsia="zh-CN"/>
                <w14:textFill>
                  <w14:solidFill>
                    <w14:schemeClr w14:val="tx1"/>
                  </w14:solidFill>
                </w14:textFill>
              </w:rPr>
              <w:t>通过罐车拉运至污水处理厂</w:t>
            </w:r>
            <w:r>
              <w:rPr>
                <w:rFonts w:hint="default" w:ascii="Times New Roman" w:hAnsi="Times New Roman" w:cs="Times New Roman"/>
                <w:color w:val="000000" w:themeColor="text1"/>
                <w:spacing w:val="-4"/>
                <w:sz w:val="24"/>
                <w:szCs w:val="32"/>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项目水平衡一览表见</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下</w:t>
            </w:r>
            <w:r>
              <w:rPr>
                <w:rFonts w:hint="default" w:ascii="Times New Roman" w:hAnsi="Times New Roman" w:eastAsia="宋体" w:cs="Times New Roman"/>
                <w:color w:val="000000" w:themeColor="text1"/>
                <w:sz w:val="24"/>
                <w:highlight w:val="none"/>
                <w14:textFill>
                  <w14:solidFill>
                    <w14:schemeClr w14:val="tx1"/>
                  </w14:solidFill>
                </w14:textFill>
              </w:rPr>
              <w:t>表，本项目水平衡见</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下</w:t>
            </w:r>
            <w:r>
              <w:rPr>
                <w:rFonts w:hint="default" w:ascii="Times New Roman" w:hAnsi="Times New Roman" w:eastAsia="宋体" w:cs="Times New Roman"/>
                <w:color w:val="000000" w:themeColor="text1"/>
                <w:sz w:val="24"/>
                <w:highlight w:val="none"/>
                <w14:textFill>
                  <w14:solidFill>
                    <w14:schemeClr w14:val="tx1"/>
                  </w14:solidFill>
                </w14:textFill>
              </w:rPr>
              <w:t>图。</w:t>
            </w:r>
          </w:p>
          <w:p w14:paraId="6D76054C">
            <w:pPr>
              <w:keepNext/>
              <w:keepLines/>
              <w:snapToGrid w:val="0"/>
              <w:ind w:firstLine="482" w:firstLineChars="200"/>
              <w:jc w:val="center"/>
              <w:rPr>
                <w:rFonts w:hint="default" w:ascii="Times New Roman" w:hAnsi="Times New Roman" w:eastAsia="宋体" w:cs="Times New Roman"/>
                <w:b/>
                <w:bCs/>
                <w:color w:val="000000" w:themeColor="text1"/>
                <w:sz w:val="24"/>
                <w:szCs w:val="24"/>
                <w:highlight w:val="none"/>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14:textFill>
                  <w14:solidFill>
                    <w14:schemeClr w14:val="tx1"/>
                  </w14:solidFill>
                </w14:textFill>
              </w:rPr>
              <w:t>表</w:t>
            </w: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2-2</w:t>
            </w:r>
            <w:r>
              <w:rPr>
                <w:rFonts w:hint="default" w:ascii="Times New Roman" w:hAnsi="Times New Roman" w:cs="Times New Roman"/>
                <w:b/>
                <w:bCs/>
                <w:color w:val="000000" w:themeColor="text1"/>
                <w:sz w:val="24"/>
                <w:szCs w:val="24"/>
                <w:highlight w:val="none"/>
                <w:lang w:val="en-US" w:eastAsia="zh-CN"/>
                <w14:textFill>
                  <w14:solidFill>
                    <w14:schemeClr w14:val="tx1"/>
                  </w14:solidFill>
                </w14:textFill>
              </w:rPr>
              <w:t>5</w:t>
            </w:r>
            <w:r>
              <w:rPr>
                <w:rFonts w:hint="default" w:ascii="Times New Roman" w:hAnsi="Times New Roman" w:eastAsia="宋体" w:cs="Times New Roman"/>
                <w:b/>
                <w:bCs/>
                <w:color w:val="000000" w:themeColor="text1"/>
                <w:sz w:val="24"/>
                <w:szCs w:val="24"/>
                <w:highlight w:val="none"/>
                <w14:textFill>
                  <w14:solidFill>
                    <w14:schemeClr w14:val="tx1"/>
                  </w14:solidFill>
                </w14:textFill>
              </w:rPr>
              <w:t>项目水平衡一览表</w:t>
            </w:r>
          </w:p>
          <w:tbl>
            <w:tblPr>
              <w:tblStyle w:val="24"/>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8"/>
              <w:gridCol w:w="1334"/>
              <w:gridCol w:w="1210"/>
              <w:gridCol w:w="1210"/>
              <w:gridCol w:w="1173"/>
              <w:gridCol w:w="1141"/>
              <w:gridCol w:w="1148"/>
            </w:tblGrid>
            <w:tr w14:paraId="2AC33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91" w:type="pct"/>
                  <w:noWrap w:val="0"/>
                  <w:vAlign w:val="center"/>
                </w:tcPr>
                <w:p w14:paraId="398CE14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类别</w:t>
                  </w:r>
                </w:p>
              </w:tc>
              <w:tc>
                <w:tcPr>
                  <w:tcW w:w="796" w:type="pct"/>
                  <w:noWrap w:val="0"/>
                  <w:vAlign w:val="center"/>
                </w:tcPr>
                <w:p w14:paraId="4289437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新鲜</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/中水</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用水量</w:t>
                  </w: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m</w:t>
                  </w:r>
                  <w:r>
                    <w:rPr>
                      <w:rFonts w:hint="default" w:ascii="Times New Roman" w:hAnsi="Times New Roman" w:eastAsia="宋体" w:cs="Times New Roman"/>
                      <w:b w:val="0"/>
                      <w:bCs w:val="0"/>
                      <w:color w:val="000000" w:themeColor="text1"/>
                      <w:sz w:val="21"/>
                      <w:szCs w:val="21"/>
                      <w:highlight w:val="none"/>
                      <w:vertAlign w:val="superscript"/>
                      <w14:textFill>
                        <w14:solidFill>
                          <w14:schemeClr w14:val="tx1"/>
                        </w14:solidFill>
                      </w14:textFill>
                    </w:rPr>
                    <w:t>3</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a</w:t>
                  </w: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w:t>
                  </w:r>
                </w:p>
              </w:tc>
              <w:tc>
                <w:tcPr>
                  <w:tcW w:w="722" w:type="pct"/>
                  <w:noWrap w:val="0"/>
                  <w:vAlign w:val="center"/>
                </w:tcPr>
                <w:p w14:paraId="209D791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回用水</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量</w:t>
                  </w: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m</w:t>
                  </w:r>
                  <w:r>
                    <w:rPr>
                      <w:rFonts w:hint="default" w:ascii="Times New Roman" w:hAnsi="Times New Roman" w:eastAsia="宋体" w:cs="Times New Roman"/>
                      <w:b w:val="0"/>
                      <w:bCs w:val="0"/>
                      <w:color w:val="000000" w:themeColor="text1"/>
                      <w:sz w:val="21"/>
                      <w:szCs w:val="21"/>
                      <w:highlight w:val="none"/>
                      <w:vertAlign w:val="superscript"/>
                      <w14:textFill>
                        <w14:solidFill>
                          <w14:schemeClr w14:val="tx1"/>
                        </w14:solidFill>
                      </w14:textFill>
                    </w:rPr>
                    <w:t>3</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a</w:t>
                  </w: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w:t>
                  </w:r>
                </w:p>
              </w:tc>
              <w:tc>
                <w:tcPr>
                  <w:tcW w:w="722" w:type="pct"/>
                  <w:noWrap w:val="0"/>
                  <w:vAlign w:val="center"/>
                </w:tcPr>
                <w:p w14:paraId="0120487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排水量</w:t>
                  </w:r>
                </w:p>
                <w:p w14:paraId="67DA024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m</w:t>
                  </w:r>
                  <w:r>
                    <w:rPr>
                      <w:rFonts w:hint="default" w:ascii="Times New Roman" w:hAnsi="Times New Roman" w:eastAsia="宋体" w:cs="Times New Roman"/>
                      <w:b w:val="0"/>
                      <w:bCs w:val="0"/>
                      <w:color w:val="000000" w:themeColor="text1"/>
                      <w:sz w:val="21"/>
                      <w:szCs w:val="21"/>
                      <w:highlight w:val="none"/>
                      <w:vertAlign w:val="superscript"/>
                      <w14:textFill>
                        <w14:solidFill>
                          <w14:schemeClr w14:val="tx1"/>
                        </w14:solidFill>
                      </w14:textFill>
                    </w:rPr>
                    <w:t>3</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a</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w:t>
                  </w:r>
                </w:p>
              </w:tc>
              <w:tc>
                <w:tcPr>
                  <w:tcW w:w="700" w:type="pct"/>
                  <w:noWrap w:val="0"/>
                  <w:vAlign w:val="center"/>
                </w:tcPr>
                <w:p w14:paraId="2B7DBEF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损耗</w:t>
                  </w:r>
                </w:p>
                <w:p w14:paraId="6EC18B5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m</w:t>
                  </w:r>
                  <w:r>
                    <w:rPr>
                      <w:rFonts w:hint="default" w:ascii="Times New Roman" w:hAnsi="Times New Roman" w:eastAsia="宋体" w:cs="Times New Roman"/>
                      <w:b w:val="0"/>
                      <w:bCs w:val="0"/>
                      <w:color w:val="000000" w:themeColor="text1"/>
                      <w:sz w:val="21"/>
                      <w:szCs w:val="21"/>
                      <w:highlight w:val="none"/>
                      <w:vertAlign w:val="superscript"/>
                      <w14:textFill>
                        <w14:solidFill>
                          <w14:schemeClr w14:val="tx1"/>
                        </w14:solidFill>
                      </w14:textFill>
                    </w:rPr>
                    <w:t>3</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a</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w:t>
                  </w:r>
                </w:p>
              </w:tc>
              <w:tc>
                <w:tcPr>
                  <w:tcW w:w="681" w:type="pct"/>
                  <w:noWrap w:val="0"/>
                  <w:vAlign w:val="center"/>
                </w:tcPr>
                <w:p w14:paraId="0DC34EB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产生污泥</w:t>
                  </w:r>
                </w:p>
                <w:p w14:paraId="26571CA4">
                  <w:pPr>
                    <w:pStyle w:val="9"/>
                    <w:keepNext w:val="0"/>
                    <w:keepLines w:val="0"/>
                    <w:pageBreakBefore w:val="0"/>
                    <w:widowControl w:val="0"/>
                    <w:kinsoku/>
                    <w:wordWrap/>
                    <w:overflowPunct/>
                    <w:topLinePunct w:val="0"/>
                    <w:autoSpaceDE/>
                    <w:autoSpaceDN/>
                    <w:bidi w:val="0"/>
                    <w:adjustRightInd/>
                    <w:spacing w:after="0"/>
                    <w:ind w:left="0" w:leftChars="0" w:firstLine="0" w:firstLineChars="0"/>
                    <w:jc w:val="center"/>
                    <w:textAlignment w:val="auto"/>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m</w:t>
                  </w:r>
                  <w:r>
                    <w:rPr>
                      <w:rFonts w:hint="default" w:ascii="Times New Roman" w:hAnsi="Times New Roman" w:eastAsia="宋体" w:cs="Times New Roman"/>
                      <w:b w:val="0"/>
                      <w:bCs w:val="0"/>
                      <w:color w:val="000000" w:themeColor="text1"/>
                      <w:sz w:val="21"/>
                      <w:szCs w:val="21"/>
                      <w:highlight w:val="none"/>
                      <w:vertAlign w:val="superscript"/>
                      <w14:textFill>
                        <w14:solidFill>
                          <w14:schemeClr w14:val="tx1"/>
                        </w14:solidFill>
                      </w14:textFill>
                    </w:rPr>
                    <w:t>3</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a</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w:t>
                  </w:r>
                </w:p>
              </w:tc>
              <w:tc>
                <w:tcPr>
                  <w:tcW w:w="684" w:type="pct"/>
                  <w:noWrap w:val="0"/>
                  <w:vAlign w:val="center"/>
                </w:tcPr>
                <w:p w14:paraId="6AFAA0D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进入</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下游</w:t>
                  </w:r>
                </w:p>
                <w:p w14:paraId="15A5DCC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m</w:t>
                  </w:r>
                  <w:r>
                    <w:rPr>
                      <w:rFonts w:hint="default" w:ascii="Times New Roman" w:hAnsi="Times New Roman" w:eastAsia="宋体" w:cs="Times New Roman"/>
                      <w:b w:val="0"/>
                      <w:bCs w:val="0"/>
                      <w:color w:val="000000" w:themeColor="text1"/>
                      <w:sz w:val="21"/>
                      <w:szCs w:val="21"/>
                      <w:highlight w:val="none"/>
                      <w:vertAlign w:val="superscript"/>
                      <w14:textFill>
                        <w14:solidFill>
                          <w14:schemeClr w14:val="tx1"/>
                        </w14:solidFill>
                      </w14:textFill>
                    </w:rPr>
                    <w:t>3</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a</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w:t>
                  </w:r>
                </w:p>
              </w:tc>
            </w:tr>
            <w:tr w14:paraId="593D6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91" w:type="pct"/>
                  <w:noWrap w:val="0"/>
                  <w:vAlign w:val="center"/>
                </w:tcPr>
                <w:p w14:paraId="675F19F3">
                  <w:pPr>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软水</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站</w:t>
                  </w:r>
                </w:p>
              </w:tc>
              <w:tc>
                <w:tcPr>
                  <w:tcW w:w="1334" w:type="dxa"/>
                  <w:noWrap w:val="0"/>
                  <w:vAlign w:val="center"/>
                </w:tcPr>
                <w:p w14:paraId="56668188">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156936</w:t>
                  </w:r>
                </w:p>
              </w:tc>
              <w:tc>
                <w:tcPr>
                  <w:tcW w:w="1210" w:type="dxa"/>
                  <w:noWrap w:val="0"/>
                  <w:vAlign w:val="center"/>
                </w:tcPr>
                <w:p w14:paraId="3A12F998">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w:t>
                  </w:r>
                </w:p>
              </w:tc>
              <w:tc>
                <w:tcPr>
                  <w:tcW w:w="1210" w:type="dxa"/>
                  <w:noWrap w:val="0"/>
                  <w:vAlign w:val="center"/>
                </w:tcPr>
                <w:p w14:paraId="46DA83C5">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15693.6</w:t>
                  </w:r>
                </w:p>
              </w:tc>
              <w:tc>
                <w:tcPr>
                  <w:tcW w:w="1173" w:type="dxa"/>
                  <w:noWrap w:val="0"/>
                  <w:vAlign w:val="center"/>
                </w:tcPr>
                <w:p w14:paraId="278FA160">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w:t>
                  </w:r>
                </w:p>
              </w:tc>
              <w:tc>
                <w:tcPr>
                  <w:tcW w:w="1141" w:type="dxa"/>
                  <w:noWrap w:val="0"/>
                  <w:vAlign w:val="center"/>
                </w:tcPr>
                <w:p w14:paraId="61F7D83F">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w:t>
                  </w:r>
                </w:p>
              </w:tc>
              <w:tc>
                <w:tcPr>
                  <w:tcW w:w="1148" w:type="dxa"/>
                  <w:noWrap w:val="0"/>
                  <w:vAlign w:val="center"/>
                </w:tcPr>
                <w:p w14:paraId="0A8BE804">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141242.4</w:t>
                  </w:r>
                </w:p>
              </w:tc>
            </w:tr>
            <w:tr w14:paraId="1CDF0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91" w:type="pct"/>
                  <w:noWrap w:val="0"/>
                  <w:vAlign w:val="center"/>
                </w:tcPr>
                <w:p w14:paraId="1C1F4414">
                  <w:pPr>
                    <w:snapToGrid w:val="0"/>
                    <w:jc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锅炉用水</w:t>
                  </w:r>
                </w:p>
              </w:tc>
              <w:tc>
                <w:tcPr>
                  <w:tcW w:w="1334" w:type="dxa"/>
                  <w:noWrap w:val="0"/>
                  <w:vAlign w:val="center"/>
                </w:tcPr>
                <w:p w14:paraId="3833CAAD">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141242.4</w:t>
                  </w:r>
                </w:p>
              </w:tc>
              <w:tc>
                <w:tcPr>
                  <w:tcW w:w="1210" w:type="dxa"/>
                  <w:noWrap w:val="0"/>
                  <w:vAlign w:val="center"/>
                </w:tcPr>
                <w:p w14:paraId="175AD68D">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w:t>
                  </w:r>
                </w:p>
              </w:tc>
              <w:tc>
                <w:tcPr>
                  <w:tcW w:w="1210" w:type="dxa"/>
                  <w:noWrap w:val="0"/>
                  <w:vAlign w:val="center"/>
                </w:tcPr>
                <w:p w14:paraId="18BB45BF">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5432.4</w:t>
                  </w:r>
                </w:p>
              </w:tc>
              <w:tc>
                <w:tcPr>
                  <w:tcW w:w="1173" w:type="dxa"/>
                  <w:noWrap w:val="0"/>
                  <w:vAlign w:val="center"/>
                </w:tcPr>
                <w:p w14:paraId="30404B35">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24923</w:t>
                  </w:r>
                </w:p>
              </w:tc>
              <w:tc>
                <w:tcPr>
                  <w:tcW w:w="1141" w:type="dxa"/>
                  <w:noWrap w:val="0"/>
                  <w:vAlign w:val="center"/>
                </w:tcPr>
                <w:p w14:paraId="6B2ECFE3">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w:t>
                  </w:r>
                </w:p>
              </w:tc>
              <w:tc>
                <w:tcPr>
                  <w:tcW w:w="1148" w:type="dxa"/>
                  <w:noWrap w:val="0"/>
                  <w:vAlign w:val="center"/>
                </w:tcPr>
                <w:p w14:paraId="69AAF083">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110887</w:t>
                  </w:r>
                </w:p>
              </w:tc>
            </w:tr>
            <w:tr w14:paraId="7D916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91" w:type="pct"/>
                  <w:noWrap w:val="0"/>
                  <w:vAlign w:val="center"/>
                </w:tcPr>
                <w:p w14:paraId="56463251">
                  <w:pPr>
                    <w:snapToGrid w:val="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脱硫用水</w:t>
                  </w:r>
                </w:p>
              </w:tc>
              <w:tc>
                <w:tcPr>
                  <w:tcW w:w="1334" w:type="dxa"/>
                  <w:noWrap w:val="0"/>
                  <w:vAlign w:val="center"/>
                </w:tcPr>
                <w:p w14:paraId="4838980F">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w:t>
                  </w:r>
                </w:p>
              </w:tc>
              <w:tc>
                <w:tcPr>
                  <w:tcW w:w="1210" w:type="dxa"/>
                  <w:noWrap w:val="0"/>
                  <w:vAlign w:val="center"/>
                </w:tcPr>
                <w:p w14:paraId="45C204EA">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4418</w:t>
                  </w:r>
                </w:p>
              </w:tc>
              <w:tc>
                <w:tcPr>
                  <w:tcW w:w="1210" w:type="dxa"/>
                  <w:noWrap w:val="0"/>
                  <w:vAlign w:val="center"/>
                </w:tcPr>
                <w:p w14:paraId="7D682061">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836</w:t>
                  </w:r>
                </w:p>
              </w:tc>
              <w:tc>
                <w:tcPr>
                  <w:tcW w:w="1173" w:type="dxa"/>
                  <w:noWrap w:val="0"/>
                  <w:vAlign w:val="center"/>
                </w:tcPr>
                <w:p w14:paraId="0CCA6D9D">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3582</w:t>
                  </w:r>
                </w:p>
              </w:tc>
              <w:tc>
                <w:tcPr>
                  <w:tcW w:w="1141" w:type="dxa"/>
                  <w:noWrap w:val="0"/>
                  <w:vAlign w:val="center"/>
                </w:tcPr>
                <w:p w14:paraId="05B2A4A2">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忽略</w:t>
                  </w:r>
                </w:p>
              </w:tc>
              <w:tc>
                <w:tcPr>
                  <w:tcW w:w="1148" w:type="dxa"/>
                  <w:noWrap w:val="0"/>
                  <w:vAlign w:val="center"/>
                </w:tcPr>
                <w:p w14:paraId="5839A9AF">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w:t>
                  </w:r>
                </w:p>
              </w:tc>
            </w:tr>
            <w:tr w14:paraId="4456F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91" w:type="pct"/>
                  <w:noWrap w:val="0"/>
                  <w:vAlign w:val="center"/>
                </w:tcPr>
                <w:p w14:paraId="639B1D07">
                  <w:pPr>
                    <w:snapToGrid w:val="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洒水抑尘</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用水</w:t>
                  </w:r>
                </w:p>
              </w:tc>
              <w:tc>
                <w:tcPr>
                  <w:tcW w:w="1334" w:type="dxa"/>
                  <w:noWrap w:val="0"/>
                  <w:vAlign w:val="center"/>
                </w:tcPr>
                <w:p w14:paraId="4BE68BAE">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w:t>
                  </w:r>
                </w:p>
              </w:tc>
              <w:tc>
                <w:tcPr>
                  <w:tcW w:w="1210" w:type="dxa"/>
                  <w:noWrap w:val="0"/>
                  <w:vAlign w:val="center"/>
                </w:tcPr>
                <w:p w14:paraId="669B83C6">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3582</w:t>
                  </w:r>
                </w:p>
              </w:tc>
              <w:tc>
                <w:tcPr>
                  <w:tcW w:w="1210" w:type="dxa"/>
                  <w:noWrap w:val="0"/>
                  <w:vAlign w:val="center"/>
                </w:tcPr>
                <w:p w14:paraId="01D05311">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w:t>
                  </w:r>
                </w:p>
              </w:tc>
              <w:tc>
                <w:tcPr>
                  <w:tcW w:w="1173" w:type="dxa"/>
                  <w:noWrap w:val="0"/>
                  <w:vAlign w:val="center"/>
                </w:tcPr>
                <w:p w14:paraId="4DC71014">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3582</w:t>
                  </w:r>
                </w:p>
              </w:tc>
              <w:tc>
                <w:tcPr>
                  <w:tcW w:w="1141" w:type="dxa"/>
                  <w:noWrap w:val="0"/>
                  <w:vAlign w:val="center"/>
                </w:tcPr>
                <w:p w14:paraId="2D94CE7A">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w:t>
                  </w:r>
                </w:p>
              </w:tc>
              <w:tc>
                <w:tcPr>
                  <w:tcW w:w="1148" w:type="dxa"/>
                  <w:noWrap w:val="0"/>
                  <w:vAlign w:val="center"/>
                </w:tcPr>
                <w:p w14:paraId="0E5D7424">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w:t>
                  </w:r>
                </w:p>
              </w:tc>
            </w:tr>
            <w:tr w14:paraId="7DB46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91" w:type="pct"/>
                  <w:noWrap w:val="0"/>
                  <w:vAlign w:val="center"/>
                </w:tcPr>
                <w:p w14:paraId="15693F6D">
                  <w:pPr>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生活用水</w:t>
                  </w:r>
                </w:p>
              </w:tc>
              <w:tc>
                <w:tcPr>
                  <w:tcW w:w="1334" w:type="dxa"/>
                  <w:noWrap w:val="0"/>
                  <w:vAlign w:val="center"/>
                </w:tcPr>
                <w:p w14:paraId="02A04A48">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630</w:t>
                  </w:r>
                </w:p>
              </w:tc>
              <w:tc>
                <w:tcPr>
                  <w:tcW w:w="1210" w:type="dxa"/>
                  <w:noWrap w:val="0"/>
                  <w:vAlign w:val="center"/>
                </w:tcPr>
                <w:p w14:paraId="2E30E6C6">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w:t>
                  </w:r>
                </w:p>
              </w:tc>
              <w:tc>
                <w:tcPr>
                  <w:tcW w:w="1210" w:type="dxa"/>
                  <w:noWrap w:val="0"/>
                  <w:vAlign w:val="center"/>
                </w:tcPr>
                <w:p w14:paraId="36EC0FBC">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504</w:t>
                  </w:r>
                </w:p>
              </w:tc>
              <w:tc>
                <w:tcPr>
                  <w:tcW w:w="1173" w:type="dxa"/>
                  <w:noWrap w:val="0"/>
                  <w:vAlign w:val="center"/>
                </w:tcPr>
                <w:p w14:paraId="60C3ED83">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126</w:t>
                  </w:r>
                </w:p>
              </w:tc>
              <w:tc>
                <w:tcPr>
                  <w:tcW w:w="1141" w:type="dxa"/>
                  <w:noWrap w:val="0"/>
                  <w:vAlign w:val="center"/>
                </w:tcPr>
                <w:p w14:paraId="2D6FA4D0">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忽略</w:t>
                  </w:r>
                </w:p>
              </w:tc>
              <w:tc>
                <w:tcPr>
                  <w:tcW w:w="1148" w:type="dxa"/>
                  <w:noWrap w:val="0"/>
                  <w:vAlign w:val="center"/>
                </w:tcPr>
                <w:p w14:paraId="2B5161C4">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w:t>
                  </w:r>
                </w:p>
              </w:tc>
            </w:tr>
            <w:tr w14:paraId="59D6A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91" w:type="pct"/>
                  <w:noWrap w:val="0"/>
                  <w:vAlign w:val="center"/>
                </w:tcPr>
                <w:p w14:paraId="671ABB9F">
                  <w:pPr>
                    <w:snapToGrid w:val="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绿化用水</w:t>
                  </w:r>
                </w:p>
              </w:tc>
              <w:tc>
                <w:tcPr>
                  <w:tcW w:w="1334" w:type="dxa"/>
                  <w:noWrap w:val="0"/>
                  <w:vAlign w:val="center"/>
                </w:tcPr>
                <w:p w14:paraId="1A1BA1EA">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132</w:t>
                  </w:r>
                </w:p>
              </w:tc>
              <w:tc>
                <w:tcPr>
                  <w:tcW w:w="1210" w:type="dxa"/>
                  <w:noWrap w:val="0"/>
                  <w:vAlign w:val="center"/>
                </w:tcPr>
                <w:p w14:paraId="541FFB80">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w:t>
                  </w:r>
                </w:p>
              </w:tc>
              <w:tc>
                <w:tcPr>
                  <w:tcW w:w="1210" w:type="dxa"/>
                  <w:noWrap w:val="0"/>
                  <w:vAlign w:val="center"/>
                </w:tcPr>
                <w:p w14:paraId="2B6A9CEF">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w:t>
                  </w:r>
                </w:p>
              </w:tc>
              <w:tc>
                <w:tcPr>
                  <w:tcW w:w="1173" w:type="dxa"/>
                  <w:noWrap w:val="0"/>
                  <w:vAlign w:val="center"/>
                </w:tcPr>
                <w:p w14:paraId="614C29C3">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132</w:t>
                  </w:r>
                </w:p>
              </w:tc>
              <w:tc>
                <w:tcPr>
                  <w:tcW w:w="1141" w:type="dxa"/>
                  <w:noWrap w:val="0"/>
                  <w:vAlign w:val="center"/>
                </w:tcPr>
                <w:p w14:paraId="477754A6">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w:t>
                  </w:r>
                </w:p>
              </w:tc>
              <w:tc>
                <w:tcPr>
                  <w:tcW w:w="1148" w:type="dxa"/>
                  <w:noWrap w:val="0"/>
                  <w:vAlign w:val="center"/>
                </w:tcPr>
                <w:p w14:paraId="630F95A1">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w:t>
                  </w:r>
                </w:p>
              </w:tc>
            </w:tr>
            <w:tr w14:paraId="676E9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91" w:type="pct"/>
                  <w:noWrap w:val="0"/>
                  <w:vAlign w:val="center"/>
                </w:tcPr>
                <w:p w14:paraId="681AB5B2">
                  <w:pPr>
                    <w:snapToGrid w:val="0"/>
                    <w:jc w:val="cente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循环冷却水补水</w:t>
                  </w:r>
                </w:p>
              </w:tc>
              <w:tc>
                <w:tcPr>
                  <w:tcW w:w="1334" w:type="dxa"/>
                  <w:noWrap w:val="0"/>
                  <w:vAlign w:val="center"/>
                </w:tcPr>
                <w:p w14:paraId="1095070A">
                  <w:pPr>
                    <w:keepNext w:val="0"/>
                    <w:keepLines w:val="0"/>
                    <w:widowControl/>
                    <w:suppressLineNumbers w:val="0"/>
                    <w:jc w:val="center"/>
                    <w:textAlignment w:val="cente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w:t>
                  </w:r>
                </w:p>
              </w:tc>
              <w:tc>
                <w:tcPr>
                  <w:tcW w:w="1210" w:type="dxa"/>
                  <w:noWrap w:val="0"/>
                  <w:vAlign w:val="center"/>
                </w:tcPr>
                <w:p w14:paraId="6253C599">
                  <w:pPr>
                    <w:keepNext w:val="0"/>
                    <w:keepLines w:val="0"/>
                    <w:widowControl/>
                    <w:suppressLineNumbers w:val="0"/>
                    <w:jc w:val="center"/>
                    <w:textAlignment w:val="cente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5904</w:t>
                  </w:r>
                </w:p>
              </w:tc>
              <w:tc>
                <w:tcPr>
                  <w:tcW w:w="1210" w:type="dxa"/>
                  <w:noWrap w:val="0"/>
                  <w:vAlign w:val="center"/>
                </w:tcPr>
                <w:p w14:paraId="2936571A">
                  <w:pPr>
                    <w:keepNext w:val="0"/>
                    <w:keepLines w:val="0"/>
                    <w:widowControl/>
                    <w:suppressLineNumbers w:val="0"/>
                    <w:jc w:val="center"/>
                    <w:textAlignment w:val="cente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5904</w:t>
                  </w:r>
                </w:p>
              </w:tc>
              <w:tc>
                <w:tcPr>
                  <w:tcW w:w="1173" w:type="dxa"/>
                  <w:noWrap w:val="0"/>
                  <w:vAlign w:val="center"/>
                </w:tcPr>
                <w:p w14:paraId="7A1FCD37">
                  <w:pPr>
                    <w:keepNext w:val="0"/>
                    <w:keepLines w:val="0"/>
                    <w:widowControl/>
                    <w:suppressLineNumbers w:val="0"/>
                    <w:jc w:val="center"/>
                    <w:textAlignment w:val="cente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w:t>
                  </w:r>
                </w:p>
              </w:tc>
              <w:tc>
                <w:tcPr>
                  <w:tcW w:w="1141" w:type="dxa"/>
                  <w:noWrap w:val="0"/>
                  <w:vAlign w:val="center"/>
                </w:tcPr>
                <w:p w14:paraId="2E7E3DFA">
                  <w:pPr>
                    <w:keepNext w:val="0"/>
                    <w:keepLines w:val="0"/>
                    <w:widowControl/>
                    <w:suppressLineNumbers w:val="0"/>
                    <w:jc w:val="center"/>
                    <w:textAlignment w:val="cente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w:t>
                  </w:r>
                </w:p>
              </w:tc>
              <w:tc>
                <w:tcPr>
                  <w:tcW w:w="1148" w:type="dxa"/>
                  <w:noWrap w:val="0"/>
                  <w:vAlign w:val="center"/>
                </w:tcPr>
                <w:p w14:paraId="1C25AA1A">
                  <w:pPr>
                    <w:keepNext w:val="0"/>
                    <w:keepLines w:val="0"/>
                    <w:widowControl/>
                    <w:suppressLineNumbers w:val="0"/>
                    <w:jc w:val="center"/>
                    <w:textAlignment w:val="cente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w:t>
                  </w:r>
                </w:p>
              </w:tc>
            </w:tr>
            <w:tr w14:paraId="010A8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91" w:type="pct"/>
                  <w:noWrap w:val="0"/>
                  <w:vAlign w:val="center"/>
                </w:tcPr>
                <w:p w14:paraId="233F08EC">
                  <w:pPr>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共计</w:t>
                  </w:r>
                </w:p>
              </w:tc>
              <w:tc>
                <w:tcPr>
                  <w:tcW w:w="1334" w:type="dxa"/>
                  <w:noWrap w:val="0"/>
                  <w:vAlign w:val="center"/>
                </w:tcPr>
                <w:p w14:paraId="55BEF926">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298940.4</w:t>
                  </w:r>
                </w:p>
              </w:tc>
              <w:tc>
                <w:tcPr>
                  <w:tcW w:w="1210" w:type="dxa"/>
                  <w:noWrap w:val="0"/>
                  <w:vAlign w:val="center"/>
                </w:tcPr>
                <w:p w14:paraId="41490885">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sz w:val="21"/>
                      <w:szCs w:val="21"/>
                      <w:highlight w:val="none"/>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13904</w:t>
                  </w:r>
                </w:p>
              </w:tc>
              <w:tc>
                <w:tcPr>
                  <w:tcW w:w="1210" w:type="dxa"/>
                  <w:noWrap w:val="0"/>
                  <w:vAlign w:val="center"/>
                </w:tcPr>
                <w:p w14:paraId="0153619C">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28370</w:t>
                  </w:r>
                </w:p>
              </w:tc>
              <w:tc>
                <w:tcPr>
                  <w:tcW w:w="1173" w:type="dxa"/>
                  <w:noWrap w:val="0"/>
                  <w:vAlign w:val="center"/>
                </w:tcPr>
                <w:p w14:paraId="17BDF638">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32345</w:t>
                  </w:r>
                </w:p>
              </w:tc>
              <w:tc>
                <w:tcPr>
                  <w:tcW w:w="1141" w:type="dxa"/>
                  <w:noWrap w:val="0"/>
                  <w:vAlign w:val="center"/>
                </w:tcPr>
                <w:p w14:paraId="03A1CF04">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w:t>
                  </w:r>
                </w:p>
              </w:tc>
              <w:tc>
                <w:tcPr>
                  <w:tcW w:w="1147" w:type="dxa"/>
                  <w:noWrap w:val="0"/>
                  <w:vAlign w:val="center"/>
                </w:tcPr>
                <w:p w14:paraId="218ACABC">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252129.4</w:t>
                  </w:r>
                </w:p>
              </w:tc>
            </w:tr>
          </w:tbl>
          <w:p w14:paraId="4C7C6722">
            <w:pPr>
              <w:widowControl/>
              <w:spacing w:before="120" w:beforeLines="50"/>
              <w:jc w:val="center"/>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drawing>
                <wp:inline distT="0" distB="0" distL="114300" distR="114300">
                  <wp:extent cx="5324475" cy="3146425"/>
                  <wp:effectExtent l="0" t="0" r="9525" b="15875"/>
                  <wp:docPr id="6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2"/>
                          <pic:cNvPicPr>
                            <a:picLocks noChangeAspect="1"/>
                          </pic:cNvPicPr>
                        </pic:nvPicPr>
                        <pic:blipFill>
                          <a:blip r:embed="rId17"/>
                          <a:stretch>
                            <a:fillRect/>
                          </a:stretch>
                        </pic:blipFill>
                        <pic:spPr>
                          <a:xfrm>
                            <a:off x="0" y="0"/>
                            <a:ext cx="5324475" cy="3146425"/>
                          </a:xfrm>
                          <a:prstGeom prst="rect">
                            <a:avLst/>
                          </a:prstGeom>
                          <a:noFill/>
                          <a:ln>
                            <a:noFill/>
                          </a:ln>
                        </pic:spPr>
                      </pic:pic>
                    </a:graphicData>
                  </a:graphic>
                </wp:inline>
              </w:drawing>
            </w:r>
          </w:p>
          <w:p w14:paraId="33474DB2">
            <w:pPr>
              <w:widowControl/>
              <w:spacing w:before="120" w:beforeLines="50"/>
              <w:ind w:firstLine="482" w:firstLineChars="200"/>
              <w:jc w:val="cente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图2-2全厂水平衡图</w:t>
            </w:r>
          </w:p>
          <w:p w14:paraId="17346D73">
            <w:pPr>
              <w:widowControl/>
              <w:spacing w:before="120" w:beforeLines="50"/>
              <w:ind w:firstLine="480" w:firstLineChars="200"/>
              <w:jc w:val="left"/>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（3）供电</w:t>
            </w:r>
          </w:p>
          <w:p w14:paraId="478C19F1">
            <w:pPr>
              <w:spacing w:before="120" w:beforeLines="50" w:line="360" w:lineRule="auto"/>
              <w:ind w:firstLine="480" w:firstLineChars="200"/>
              <w:jc w:val="left"/>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本项目运营期新增用电约</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12.8</w:t>
            </w:r>
            <w:r>
              <w:rPr>
                <w:rFonts w:hint="default" w:ascii="Times New Roman" w:hAnsi="Times New Roman" w:eastAsia="宋体" w:cs="Times New Roman"/>
                <w:color w:val="000000" w:themeColor="text1"/>
                <w:sz w:val="24"/>
                <w:highlight w:val="none"/>
                <w14:textFill>
                  <w14:solidFill>
                    <w14:schemeClr w14:val="tx1"/>
                  </w14:solidFill>
                </w14:textFill>
              </w:rPr>
              <w:t>×10</w:t>
            </w:r>
            <w:r>
              <w:rPr>
                <w:rFonts w:hint="default" w:ascii="Times New Roman" w:hAnsi="Times New Roman" w:eastAsia="宋体" w:cs="Times New Roman"/>
                <w:color w:val="000000" w:themeColor="text1"/>
                <w:sz w:val="24"/>
                <w:highlight w:val="none"/>
                <w:vertAlign w:val="superscript"/>
                <w:lang w:val="en-US" w:eastAsia="zh-CN"/>
                <w14:textFill>
                  <w14:solidFill>
                    <w14:schemeClr w14:val="tx1"/>
                  </w14:solidFill>
                </w14:textFill>
              </w:rPr>
              <w:t>6</w:t>
            </w:r>
            <w:r>
              <w:rPr>
                <w:rFonts w:hint="default" w:ascii="Times New Roman" w:hAnsi="Times New Roman" w:eastAsia="宋体" w:cs="Times New Roman"/>
                <w:color w:val="000000" w:themeColor="text1"/>
                <w:sz w:val="24"/>
                <w:highlight w:val="none"/>
                <w14:textFill>
                  <w14:solidFill>
                    <w14:schemeClr w14:val="tx1"/>
                  </w14:solidFill>
                </w14:textFill>
              </w:rPr>
              <w:t>kW</w:t>
            </w:r>
            <w:r>
              <w:rPr>
                <w:rFonts w:hint="default" w:ascii="Times New Roman" w:hAnsi="Times New Roman" w:eastAsia="宋体" w:cs="Times New Roman"/>
                <w:b/>
                <w:bCs/>
                <w:color w:val="000000" w:themeColor="text1"/>
                <w:sz w:val="24"/>
                <w:highlight w:val="none"/>
                <w:vertAlign w:val="superscript"/>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h/a，由园区供给。</w:t>
            </w:r>
          </w:p>
          <w:p w14:paraId="595A4B8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全厂装机容量</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4408KW，其中10kV装机容量：1890kW，低压装机容量</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2518kW。</w:t>
            </w:r>
          </w:p>
          <w:p w14:paraId="50EED07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按工艺流程及负荷分布情况。新设2个电气室（其中1个包含10kV配电系统）：</w:t>
            </w:r>
          </w:p>
          <w:p w14:paraId="0F3038F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1）高岭土粉磨电气室：位于高岭土粉磨系统大收尘器下，设车间变压器、低压配电柜MCC、低压变频柜、UPS、DCS现场柜等。供电范围：高岭土冷却、高岭土粉磨、空压机站</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中控化验室。</w:t>
            </w:r>
          </w:p>
          <w:p w14:paraId="774CE30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2）窑尾电气室：位于生产线窑尾大收尘器下，设10kV开关柜、中压变频柜、车间变压器、低压配电柜MCC、低压变频柜、UPS、DCS现场柜等。供电范围：高岭土煅烧废气处理、高岭土煅烧窑尾、高岭土煅烧窑中、脱硝系统、余热锅炉、脱硫系统。</w:t>
            </w:r>
          </w:p>
          <w:p w14:paraId="4F406F5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w:t>
            </w:r>
            <w:r>
              <w:rPr>
                <w:rFonts w:hint="default" w:ascii="Times New Roman" w:hAnsi="Times New Roman" w:cs="Times New Roman"/>
                <w:color w:val="000000" w:themeColor="text1"/>
                <w:sz w:val="24"/>
                <w:highlight w:val="none"/>
                <w:lang w:val="en-US" w:eastAsia="zh-CN"/>
                <w14:textFill>
                  <w14:solidFill>
                    <w14:schemeClr w14:val="tx1"/>
                  </w14:solidFill>
                </w14:textFill>
              </w:rPr>
              <w:t>4</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）供暖与余热</w:t>
            </w:r>
          </w:p>
          <w:p w14:paraId="1C9090A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1）供热</w:t>
            </w:r>
          </w:p>
          <w:p w14:paraId="7D5D718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本项目热源来自市政热源和厂区蒸汽，有市政热源时，在热交换站经水-水板式换热器换热后，供采暖使用。当没有市政热源，由厂区提供蒸汽，经热交换站经汽-水板式换热器换热后，供采暖使用。</w:t>
            </w:r>
          </w:p>
          <w:p w14:paraId="3C538DA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换热站设置在靠近厂区负荷中心处。</w:t>
            </w:r>
          </w:p>
          <w:p w14:paraId="597D4E8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中控室、脱硫、水泵房等区域设置散热器供暖系统。</w:t>
            </w:r>
          </w:p>
          <w:p w14:paraId="6ADA554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室外采暖管网埋地敷设。</w:t>
            </w:r>
          </w:p>
          <w:p w14:paraId="352FFBB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2）余热</w:t>
            </w:r>
          </w:p>
          <w:p w14:paraId="12ABA0F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本工程余热利用以内蒙古伊东东晟公司年产20万吨煤矸石煅烧高岭土项目配套设计，遵循节约能源和改善环境的技术原则，充分利用可回收余热量。综合考虑煤矸石预处理生产线的工艺流程、场地布置、供配电结构、供水设施等因素，利用煤矸石预处理生产线预热器余热资源，配置余热锅炉为用户</w:t>
            </w:r>
            <w:r>
              <w:rPr>
                <w:rFonts w:hint="default" w:ascii="Times New Roman" w:hAnsi="Times New Roman" w:cs="Times New Roman"/>
                <w:color w:val="000000" w:themeColor="text1"/>
                <w:sz w:val="24"/>
                <w:highlight w:val="none"/>
                <w:lang w:eastAsia="zh-CN"/>
                <w14:textFill>
                  <w14:solidFill>
                    <w14:schemeClr w14:val="tx1"/>
                  </w14:solidFill>
                </w14:textFill>
              </w:rPr>
              <w:t>（</w:t>
            </w:r>
            <w:r>
              <w:rPr>
                <w:rFonts w:hint="default" w:ascii="Times New Roman" w:hAnsi="Times New Roman" w:cs="Times New Roman"/>
                <w:color w:val="000000" w:themeColor="text1"/>
                <w:sz w:val="24"/>
                <w:highlight w:val="none"/>
                <w:lang w:val="en-US" w:eastAsia="zh-CN"/>
                <w14:textFill>
                  <w14:solidFill>
                    <w14:schemeClr w14:val="tx1"/>
                  </w14:solidFill>
                </w14:textFill>
              </w:rPr>
              <w:t>附近造纸厂和化肥厂</w:t>
            </w:r>
            <w:r>
              <w:rPr>
                <w:rFonts w:hint="default" w:ascii="Times New Roman" w:hAnsi="Times New Roman"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提供生产用汽。冬季，可以为厂用供暖单元</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及附近工厂（高新公司、东发公司等）提供供暖需要的蒸汽</w:t>
            </w:r>
            <w:r>
              <w:rPr>
                <w:rFonts w:hint="default" w:ascii="Times New Roman" w:hAnsi="Times New Roman" w:eastAsia="宋体" w:cs="Times New Roman"/>
                <w:color w:val="000000" w:themeColor="text1"/>
                <w:sz w:val="24"/>
                <w:highlight w:val="none"/>
                <w14:textFill>
                  <w14:solidFill>
                    <w14:schemeClr w14:val="tx1"/>
                  </w14:solidFill>
                </w14:textFill>
              </w:rPr>
              <w:t>。同时，利旧原厂区高压发电机组的锅炉给水泵、除氧器、低压加热器、化水处理系统和循环水系</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统。</w:t>
            </w:r>
          </w:p>
          <w:p w14:paraId="4F6D418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（5）依托可行性分析</w:t>
            </w:r>
          </w:p>
          <w:p w14:paraId="6DB2076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cs="Times New Roman"/>
                <w:color w:val="000000" w:themeColor="text1"/>
                <w:sz w:val="24"/>
                <w:highlight w:val="none"/>
                <w:lang w:val="en-US" w:eastAsia="zh-CN"/>
                <w14:textFill>
                  <w14:solidFill>
                    <w14:schemeClr w14:val="tx1"/>
                  </w14:solidFill>
                </w14:textFill>
              </w:rPr>
              <w:t>1）循环冷却水系统</w:t>
            </w:r>
          </w:p>
          <w:p w14:paraId="71C5683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highlight w:val="none"/>
                <w:lang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本项目循环冷却水系统依托内蒙古伊东东发新材料有限责任公司</w:t>
            </w:r>
            <w:r>
              <w:rPr>
                <w:rFonts w:hint="default" w:ascii="Times New Roman" w:hAnsi="Times New Roman" w:cs="Times New Roman"/>
                <w:color w:val="000000" w:themeColor="text1"/>
                <w:sz w:val="24"/>
                <w:highlight w:val="none"/>
                <w:lang w:val="en-US" w:eastAsia="zh-CN"/>
                <w14:textFill>
                  <w14:solidFill>
                    <w14:schemeClr w14:val="tx1"/>
                  </w14:solidFill>
                </w14:textFill>
              </w:rPr>
              <w:t>联合水泵站的</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循环冷却水系统。</w:t>
            </w:r>
            <w:r>
              <w:rPr>
                <w:rFonts w:hint="default" w:ascii="Times New Roman" w:hAnsi="Times New Roman" w:eastAsia="宋体" w:cs="Times New Roman"/>
                <w:color w:val="000000" w:themeColor="text1"/>
                <w:sz w:val="24"/>
                <w:highlight w:val="none"/>
                <w14:textFill>
                  <w14:solidFill>
                    <w14:schemeClr w14:val="tx1"/>
                  </w14:solidFill>
                </w14:textFill>
              </w:rPr>
              <w:t>水池利用</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内蒙古伊东东发新材料有限责任公司</w:t>
            </w:r>
            <w:r>
              <w:rPr>
                <w:rFonts w:hint="default" w:ascii="Times New Roman" w:hAnsi="Times New Roman" w:eastAsia="宋体" w:cs="Times New Roman"/>
                <w:color w:val="000000" w:themeColor="text1"/>
                <w:sz w:val="24"/>
                <w:highlight w:val="none"/>
                <w14:textFill>
                  <w14:solidFill>
                    <w14:schemeClr w14:val="tx1"/>
                  </w14:solidFill>
                </w14:textFill>
              </w:rPr>
              <w:t>循环水池及泵房</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cs="Times New Roman"/>
                <w:color w:val="000000" w:themeColor="text1"/>
                <w:sz w:val="24"/>
                <w:highlight w:val="none"/>
                <w:lang w:val="en-US" w:eastAsia="zh-CN"/>
                <w14:textFill>
                  <w14:solidFill>
                    <w14:schemeClr w14:val="tx1"/>
                  </w14:solidFill>
                </w14:textFill>
              </w:rPr>
              <w:t>依托联合水泵站循环冷却水系统来源</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内蒙古伊东东发新材料有限责任公司</w:t>
            </w:r>
            <w:r>
              <w:rPr>
                <w:rFonts w:hint="default" w:ascii="Times New Roman" w:hAnsi="Times New Roman" w:cs="Times New Roman"/>
                <w:color w:val="000000" w:themeColor="text1"/>
                <w:sz w:val="24"/>
                <w:highlight w:val="none"/>
                <w:lang w:val="en-US" w:eastAsia="zh-CN"/>
                <w14:textFill>
                  <w14:solidFill>
                    <w14:schemeClr w14:val="tx1"/>
                  </w14:solidFill>
                </w14:textFill>
              </w:rPr>
              <w:t>位置于本项目位置关系详见附图。</w:t>
            </w:r>
          </w:p>
          <w:p w14:paraId="2B23D5F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内蒙古伊东东发新材料有限责任公司</w:t>
            </w:r>
            <w:r>
              <w:rPr>
                <w:rFonts w:hint="default" w:ascii="Times New Roman" w:hAnsi="Times New Roman" w:cs="Times New Roman"/>
                <w:color w:val="000000" w:themeColor="text1"/>
                <w:sz w:val="24"/>
                <w:highlight w:val="none"/>
                <w:lang w:val="en-US" w:eastAsia="zh-CN"/>
                <w14:textFill>
                  <w14:solidFill>
                    <w14:schemeClr w14:val="tx1"/>
                  </w14:solidFill>
                </w14:textFill>
              </w:rPr>
              <w:t>联合水泵站设置</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sz w:val="24"/>
                <w:szCs w:val="24"/>
                <w:highlight w:val="none"/>
                <w14:textFill>
                  <w14:solidFill>
                    <w14:schemeClr w14:val="tx1"/>
                  </w14:solidFill>
                </w14:textFill>
              </w:rPr>
              <w:t>套循环冷却水系统</w:t>
            </w:r>
            <w:r>
              <w:rPr>
                <w:rFonts w:hint="default" w:ascii="Times New Roman" w:hAnsi="Times New Roman"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用于生产冷却，</w:t>
            </w:r>
            <w:r>
              <w:rPr>
                <w:rFonts w:hint="default" w:ascii="Times New Roman" w:hAnsi="Times New Roman" w:eastAsia="宋体" w:cs="Times New Roman"/>
                <w:bCs/>
                <w:color w:val="000000" w:themeColor="text1"/>
                <w:sz w:val="24"/>
                <w:szCs w:val="24"/>
                <w:highlight w:val="none"/>
                <w:lang w:val="en-US" w:eastAsia="en-US"/>
                <w14:textFill>
                  <w14:solidFill>
                    <w14:schemeClr w14:val="tx1"/>
                  </w14:solidFill>
                </w14:textFill>
              </w:rPr>
              <w:t>冷却循环水</w:t>
            </w:r>
            <w:r>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t>总</w:t>
            </w:r>
            <w:r>
              <w:rPr>
                <w:rFonts w:hint="default" w:ascii="Times New Roman" w:hAnsi="Times New Roman" w:eastAsia="宋体" w:cs="Times New Roman"/>
                <w:bCs/>
                <w:color w:val="000000" w:themeColor="text1"/>
                <w:sz w:val="24"/>
                <w:szCs w:val="24"/>
                <w:highlight w:val="none"/>
                <w:lang w:val="en-US" w:eastAsia="en-US"/>
                <w14:textFill>
                  <w14:solidFill>
                    <w14:schemeClr w14:val="tx1"/>
                  </w14:solidFill>
                </w14:textFill>
              </w:rPr>
              <w:t>量为</w:t>
            </w:r>
            <w:r>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t>290</w:t>
            </w:r>
            <w:r>
              <w:rPr>
                <w:rFonts w:hint="default" w:ascii="Times New Roman" w:hAnsi="Times New Roman" w:eastAsia="宋体" w:cs="Times New Roman"/>
                <w:bCs/>
                <w:color w:val="000000" w:themeColor="text1"/>
                <w:sz w:val="24"/>
                <w:szCs w:val="24"/>
                <w:highlight w:val="none"/>
                <w:lang w:val="en-US" w:eastAsia="en-US"/>
                <w14:textFill>
                  <w14:solidFill>
                    <w14:schemeClr w14:val="tx1"/>
                  </w14:solidFill>
                </w14:textFill>
              </w:rPr>
              <w:t>m³/</w:t>
            </w:r>
            <w:r>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t>h，</w:t>
            </w:r>
            <w:r>
              <w:rPr>
                <w:rFonts w:hint="default" w:ascii="Times New Roman" w:hAnsi="Times New Roman" w:cs="Times New Roman"/>
                <w:bCs/>
                <w:color w:val="000000" w:themeColor="text1"/>
                <w:sz w:val="24"/>
                <w:szCs w:val="24"/>
                <w:highlight w:val="none"/>
                <w:lang w:val="en-US" w:eastAsia="zh-CN"/>
                <w14:textFill>
                  <w14:solidFill>
                    <w14:schemeClr w14:val="tx1"/>
                  </w14:solidFill>
                </w14:textFill>
              </w:rPr>
              <w:t>东发厂区</w:t>
            </w:r>
            <w:r>
              <w:rPr>
                <w:rFonts w:hint="default" w:ascii="Times New Roman" w:hAnsi="Times New Roman" w:cs="Times New Roman"/>
                <w:color w:val="000000" w:themeColor="text1"/>
                <w:spacing w:val="-2"/>
                <w:sz w:val="24"/>
                <w:szCs w:val="24"/>
                <w:highlight w:val="none"/>
                <w:lang w:val="zh-CN"/>
                <w14:textFill>
                  <w14:solidFill>
                    <w14:schemeClr w14:val="tx1"/>
                  </w14:solidFill>
                </w14:textFill>
              </w:rPr>
              <w:t>用循环水泵两台（</w:t>
            </w:r>
            <w:r>
              <w:rPr>
                <w:rFonts w:hint="default" w:ascii="Times New Roman" w:hAnsi="Times New Roman" w:cs="Times New Roman"/>
                <w:color w:val="000000" w:themeColor="text1"/>
                <w:spacing w:val="-2"/>
                <w:sz w:val="24"/>
                <w:szCs w:val="24"/>
                <w:highlight w:val="none"/>
                <w:lang w:val="en-US" w:eastAsia="zh-CN"/>
                <w14:textFill>
                  <w14:solidFill>
                    <w14:schemeClr w14:val="tx1"/>
                  </w14:solidFill>
                </w14:textFill>
              </w:rPr>
              <w:t>Q=208m</w:t>
            </w:r>
            <w:r>
              <w:rPr>
                <w:rFonts w:hint="default" w:ascii="Times New Roman" w:hAnsi="Times New Roman" w:cs="Times New Roman"/>
                <w:color w:val="000000" w:themeColor="text1"/>
                <w:spacing w:val="-2"/>
                <w:sz w:val="24"/>
                <w:szCs w:val="24"/>
                <w:highlight w:val="none"/>
                <w:vertAlign w:val="superscript"/>
                <w:lang w:val="en-US" w:eastAsia="zh-CN"/>
                <w14:textFill>
                  <w14:solidFill>
                    <w14:schemeClr w14:val="tx1"/>
                  </w14:solidFill>
                </w14:textFill>
              </w:rPr>
              <w:t>3</w:t>
            </w:r>
            <w:r>
              <w:rPr>
                <w:rFonts w:hint="default" w:ascii="Times New Roman" w:hAnsi="Times New Roman" w:cs="Times New Roman"/>
                <w:color w:val="000000" w:themeColor="text1"/>
                <w:spacing w:val="-2"/>
                <w:sz w:val="24"/>
                <w:szCs w:val="24"/>
                <w:highlight w:val="none"/>
                <w:lang w:val="en-US" w:eastAsia="zh-CN"/>
                <w14:textFill>
                  <w14:solidFill>
                    <w14:schemeClr w14:val="tx1"/>
                  </w14:solidFill>
                </w14:textFill>
              </w:rPr>
              <w:t>/h，H=55.5m，N=55kW</w:t>
            </w:r>
            <w:r>
              <w:rPr>
                <w:rFonts w:hint="default" w:ascii="Times New Roman" w:hAnsi="Times New Roman" w:cs="Times New Roman"/>
                <w:color w:val="000000" w:themeColor="text1"/>
                <w:spacing w:val="-2"/>
                <w:sz w:val="24"/>
                <w:szCs w:val="24"/>
                <w:highlight w:val="none"/>
                <w:lang w:val="zh-CN"/>
                <w14:textFill>
                  <w14:solidFill>
                    <w14:schemeClr w14:val="tx1"/>
                  </w14:solidFill>
                </w14:textFill>
              </w:rPr>
              <w:t>），一用一备；</w:t>
            </w:r>
            <w:r>
              <w:rPr>
                <w:rFonts w:hint="default" w:ascii="Times New Roman" w:hAnsi="Times New Roman" w:cs="Times New Roman"/>
                <w:color w:val="000000" w:themeColor="text1"/>
                <w:spacing w:val="-2"/>
                <w:sz w:val="24"/>
                <w:szCs w:val="24"/>
                <w:highlight w:val="none"/>
                <w:lang w:val="en-US" w:eastAsia="zh-CN"/>
                <w14:textFill>
                  <w14:solidFill>
                    <w14:schemeClr w14:val="tx1"/>
                  </w14:solidFill>
                </w14:textFill>
              </w:rPr>
              <w:t>外供循环水</w:t>
            </w:r>
            <w:r>
              <w:rPr>
                <w:rFonts w:hint="eastAsia" w:ascii="Times New Roman" w:hAnsi="Times New Roman" w:cs="Times New Roman"/>
                <w:color w:val="000000" w:themeColor="text1"/>
                <w:spacing w:val="-2"/>
                <w:sz w:val="24"/>
                <w:szCs w:val="24"/>
                <w:highlight w:val="none"/>
                <w:lang w:val="en-US" w:eastAsia="zh-CN"/>
                <w14:textFill>
                  <w14:solidFill>
                    <w14:schemeClr w14:val="tx1"/>
                  </w14:solidFill>
                </w14:textFill>
              </w:rPr>
              <w:t>给予</w:t>
            </w:r>
            <w:r>
              <w:rPr>
                <w:rFonts w:hint="default" w:ascii="Times New Roman" w:hAnsi="Times New Roman" w:cs="Times New Roman"/>
                <w:color w:val="000000" w:themeColor="text1"/>
                <w:spacing w:val="-2"/>
                <w:sz w:val="24"/>
                <w:szCs w:val="24"/>
                <w:highlight w:val="none"/>
                <w:lang w:val="en-US" w:eastAsia="zh-CN"/>
                <w14:textFill>
                  <w14:solidFill>
                    <w14:schemeClr w14:val="tx1"/>
                  </w14:solidFill>
                </w14:textFill>
              </w:rPr>
              <w:t>企业</w:t>
            </w:r>
            <w:r>
              <w:rPr>
                <w:rFonts w:hint="default" w:ascii="Times New Roman" w:hAnsi="Times New Roman" w:cs="Times New Roman"/>
                <w:color w:val="000000" w:themeColor="text1"/>
                <w:spacing w:val="-2"/>
                <w:sz w:val="24"/>
                <w:szCs w:val="24"/>
                <w:highlight w:val="none"/>
                <w:lang w:val="zh-CN"/>
                <w14:textFill>
                  <w14:solidFill>
                    <w14:schemeClr w14:val="tx1"/>
                  </w14:solidFill>
                </w14:textFill>
              </w:rPr>
              <w:t>东晟厂区用循环水泵两台（</w:t>
            </w:r>
            <w:r>
              <w:rPr>
                <w:rFonts w:hint="default" w:ascii="Times New Roman" w:hAnsi="Times New Roman" w:cs="Times New Roman"/>
                <w:color w:val="000000" w:themeColor="text1"/>
                <w:spacing w:val="-2"/>
                <w:sz w:val="24"/>
                <w:szCs w:val="24"/>
                <w:highlight w:val="none"/>
                <w:lang w:val="en-US" w:eastAsia="zh-CN"/>
                <w14:textFill>
                  <w14:solidFill>
                    <w14:schemeClr w14:val="tx1"/>
                  </w14:solidFill>
                </w14:textFill>
              </w:rPr>
              <w:t>Q=82m</w:t>
            </w:r>
            <w:r>
              <w:rPr>
                <w:rFonts w:hint="default" w:ascii="Times New Roman" w:hAnsi="Times New Roman" w:cs="Times New Roman"/>
                <w:color w:val="000000" w:themeColor="text1"/>
                <w:spacing w:val="-2"/>
                <w:sz w:val="24"/>
                <w:szCs w:val="24"/>
                <w:highlight w:val="none"/>
                <w:vertAlign w:val="superscript"/>
                <w:lang w:val="en-US" w:eastAsia="zh-CN"/>
                <w14:textFill>
                  <w14:solidFill>
                    <w14:schemeClr w14:val="tx1"/>
                  </w14:solidFill>
                </w14:textFill>
              </w:rPr>
              <w:t>3</w:t>
            </w:r>
            <w:r>
              <w:rPr>
                <w:rFonts w:hint="default" w:ascii="Times New Roman" w:hAnsi="Times New Roman" w:cs="Times New Roman"/>
                <w:color w:val="000000" w:themeColor="text1"/>
                <w:spacing w:val="-2"/>
                <w:sz w:val="24"/>
                <w:szCs w:val="24"/>
                <w:highlight w:val="none"/>
                <w:lang w:val="en-US" w:eastAsia="zh-CN"/>
                <w14:textFill>
                  <w14:solidFill>
                    <w14:schemeClr w14:val="tx1"/>
                  </w14:solidFill>
                </w14:textFill>
              </w:rPr>
              <w:t>/h，H=85m，N=37kW</w:t>
            </w:r>
            <w:r>
              <w:rPr>
                <w:rFonts w:hint="default" w:ascii="Times New Roman" w:hAnsi="Times New Roman" w:cs="Times New Roman"/>
                <w:color w:val="000000" w:themeColor="text1"/>
                <w:spacing w:val="-2"/>
                <w:sz w:val="24"/>
                <w:szCs w:val="24"/>
                <w:highlight w:val="none"/>
                <w:lang w:val="zh-CN"/>
                <w14:textFill>
                  <w14:solidFill>
                    <w14:schemeClr w14:val="tx1"/>
                  </w14:solidFill>
                </w14:textFill>
              </w:rPr>
              <w:t>），一用一备。</w:t>
            </w:r>
            <w:r>
              <w:rPr>
                <w:rFonts w:hint="default" w:ascii="Times New Roman" w:hAnsi="Times New Roman" w:eastAsia="宋体" w:cs="Times New Roman"/>
                <w:bCs/>
                <w:color w:val="000000" w:themeColor="text1"/>
                <w:sz w:val="24"/>
                <w:szCs w:val="24"/>
                <w:highlight w:val="none"/>
                <w:lang w:val="en-US" w:eastAsia="en-US"/>
                <w14:textFill>
                  <w14:solidFill>
                    <w14:schemeClr w14:val="tx1"/>
                  </w14:solidFill>
                </w14:textFill>
              </w:rPr>
              <w:t>本</w:t>
            </w:r>
            <w:r>
              <w:rPr>
                <w:rFonts w:hint="default" w:ascii="Times New Roman" w:hAnsi="Times New Roman" w:cs="Times New Roman"/>
                <w:bCs/>
                <w:color w:val="000000" w:themeColor="text1"/>
                <w:sz w:val="24"/>
                <w:szCs w:val="24"/>
                <w:highlight w:val="none"/>
                <w:lang w:val="en-US" w:eastAsia="zh-CN"/>
                <w14:textFill>
                  <w14:solidFill>
                    <w14:schemeClr w14:val="tx1"/>
                  </w14:solidFill>
                </w14:textFill>
              </w:rPr>
              <w:t>项目</w:t>
            </w:r>
            <w:r>
              <w:rPr>
                <w:rFonts w:hint="default" w:ascii="Times New Roman" w:hAnsi="Times New Roman" w:eastAsia="宋体" w:cs="Times New Roman"/>
                <w:bCs/>
                <w:color w:val="000000" w:themeColor="text1"/>
                <w:sz w:val="24"/>
                <w:szCs w:val="24"/>
                <w:highlight w:val="none"/>
                <w:lang w:val="en-US" w:eastAsia="en-US"/>
                <w14:textFill>
                  <w14:solidFill>
                    <w14:schemeClr w14:val="tx1"/>
                  </w14:solidFill>
                </w14:textFill>
              </w:rPr>
              <w:t>循环冷却水系统循环水</w:t>
            </w:r>
            <w:r>
              <w:rPr>
                <w:rFonts w:hint="default" w:ascii="Times New Roman" w:hAnsi="Times New Roman" w:cs="Times New Roman"/>
                <w:bCs/>
                <w:color w:val="000000" w:themeColor="text1"/>
                <w:sz w:val="24"/>
                <w:szCs w:val="24"/>
                <w:highlight w:val="none"/>
                <w:lang w:val="en-US" w:eastAsia="zh-CN"/>
                <w14:textFill>
                  <w14:solidFill>
                    <w14:schemeClr w14:val="tx1"/>
                  </w14:solidFill>
                </w14:textFill>
              </w:rPr>
              <w:t>量为</w:t>
            </w:r>
            <w:r>
              <w:rPr>
                <w:rFonts w:hint="default" w:ascii="Times New Roman" w:hAnsi="Times New Roman" w:cs="Times New Roman"/>
                <w:color w:val="000000" w:themeColor="text1"/>
                <w:spacing w:val="-2"/>
                <w:sz w:val="24"/>
                <w:szCs w:val="24"/>
                <w:highlight w:val="none"/>
                <w:lang w:val="en-US" w:eastAsia="zh-CN"/>
                <w14:textFill>
                  <w14:solidFill>
                    <w14:schemeClr w14:val="tx1"/>
                  </w14:solidFill>
                </w14:textFill>
              </w:rPr>
              <w:t>82m</w:t>
            </w:r>
            <w:r>
              <w:rPr>
                <w:rFonts w:hint="default" w:ascii="Times New Roman" w:hAnsi="Times New Roman" w:cs="Times New Roman"/>
                <w:color w:val="000000" w:themeColor="text1"/>
                <w:spacing w:val="-2"/>
                <w:sz w:val="24"/>
                <w:szCs w:val="24"/>
                <w:highlight w:val="none"/>
                <w:vertAlign w:val="superscript"/>
                <w:lang w:val="en-US" w:eastAsia="zh-CN"/>
                <w14:textFill>
                  <w14:solidFill>
                    <w14:schemeClr w14:val="tx1"/>
                  </w14:solidFill>
                </w14:textFill>
              </w:rPr>
              <w:t>3</w:t>
            </w:r>
            <w:r>
              <w:rPr>
                <w:rFonts w:hint="default" w:ascii="Times New Roman" w:hAnsi="Times New Roman" w:cs="Times New Roman"/>
                <w:color w:val="000000" w:themeColor="text1"/>
                <w:spacing w:val="-2"/>
                <w:sz w:val="24"/>
                <w:szCs w:val="24"/>
                <w:highlight w:val="none"/>
                <w:lang w:val="en-US" w:eastAsia="zh-CN"/>
                <w14:textFill>
                  <w14:solidFill>
                    <w14:schemeClr w14:val="tx1"/>
                  </w14:solidFill>
                </w14:textFill>
              </w:rPr>
              <w:t>/h</w:t>
            </w:r>
            <w:r>
              <w:rPr>
                <w:rFonts w:hint="default" w:ascii="Times New Roman" w:hAnsi="Times New Roman" w:eastAsia="宋体" w:cs="Times New Roman"/>
                <w:color w:val="000000" w:themeColor="text1"/>
                <w:sz w:val="24"/>
                <w:szCs w:val="24"/>
                <w:highlight w:val="none"/>
                <w:lang w:val="en-US" w:eastAsia="en-US"/>
                <w14:textFill>
                  <w14:solidFill>
                    <w14:schemeClr w14:val="tx1"/>
                  </w14:solidFill>
                </w14:textFill>
              </w:rPr>
              <w:t>。</w:t>
            </w:r>
          </w:p>
          <w:p w14:paraId="3E13DEB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cs="Times New Roman"/>
                <w:color w:val="000000" w:themeColor="text1"/>
                <w:sz w:val="24"/>
                <w:highlight w:val="none"/>
                <w:lang w:val="en-US" w:eastAsia="zh-CN"/>
                <w14:textFill>
                  <w14:solidFill>
                    <w14:schemeClr w14:val="tx1"/>
                  </w14:solidFill>
                </w14:textFill>
              </w:rPr>
              <w:t>2）燃料</w:t>
            </w:r>
          </w:p>
          <w:p w14:paraId="30115BB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本项目煤气由内蒙古伊东东方能源公司提供，内蒙古伊东东方能源公司位于内蒙古鄂尔多斯</w:t>
            </w:r>
            <w:r>
              <w:rPr>
                <w:rFonts w:hint="eastAsia" w:cs="Times New Roman"/>
                <w:color w:val="000000" w:themeColor="text1"/>
                <w:sz w:val="24"/>
                <w:highlight w:val="none"/>
                <w:lang w:val="en-US" w:eastAsia="zh-CN"/>
                <w14:textFill>
                  <w14:solidFill>
                    <w14:schemeClr w14:val="tx1"/>
                  </w14:solidFill>
                </w14:textFill>
              </w:rPr>
              <w:t>市</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准格尔经济开发区准格尔产业园（经度110.863799，纬度39.703745），主要生产销售洗精煤、焦炭及附属产品，煤焦油，粗苯硫磺，煤气，蒸汽等。本项目所需煤气由已建管道输送，管道全长约</w:t>
            </w:r>
            <w:r>
              <w:rPr>
                <w:rFonts w:hint="default" w:ascii="Times New Roman" w:hAnsi="Times New Roman" w:cs="Times New Roman"/>
                <w:color w:val="000000" w:themeColor="text1"/>
                <w:sz w:val="24"/>
                <w:highlight w:val="none"/>
                <w:lang w:val="en-US" w:eastAsia="zh-CN"/>
                <w14:textFill>
                  <w14:solidFill>
                    <w14:schemeClr w14:val="tx1"/>
                  </w14:solidFill>
                </w14:textFill>
              </w:rPr>
              <w:t>0.</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3公里。输送管道材质为螺旋钢管，内径为DN500，输送量约6000m。所输送煤气主要成分为氢气（55%～60%）和甲烷（23%～27%），另外还含有少量的一氧化碳（5%～8%）、C2以上不饱和烃（2%～4%）、二氧化碳（1.5%～3%）、氧气（0.3%～0.8%）</w:t>
            </w:r>
            <w:r>
              <w:rPr>
                <w:rFonts w:hint="default" w:ascii="Times New Roman" w:hAnsi="Times New Roman" w:cs="Times New Roman"/>
                <w:color w:val="000000" w:themeColor="text1"/>
                <w:sz w:val="24"/>
                <w:highlight w:val="none"/>
                <w:lang w:val="en-US" w:eastAsia="zh-CN"/>
                <w14:textFill>
                  <w14:solidFill>
                    <w14:schemeClr w14:val="tx1"/>
                  </w14:solidFill>
                </w14:textFill>
              </w:rPr>
              <w:t>和</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氮气（3%～7%）。其中氢气、甲烷、一氧化碳、C2以上不饱和烃为可燃组分二氧化碳、氮气、氧气为不可燃组分。</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根据《内蒙古伊东集团东方能源化工有限责任公司直立炉绿色转型节能技改项目环境影响报告书》中产品方</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案，</w:t>
            </w:r>
            <w:r>
              <w:rPr>
                <w:rFonts w:hint="default" w:ascii="Times New Roman" w:hAnsi="Times New Roman" w:eastAsia="宋体" w:cs="Times New Roman"/>
                <w:b w:val="0"/>
                <w:bCs w:val="0"/>
                <w:color w:val="000000" w:themeColor="text1"/>
                <w:spacing w:val="-1"/>
                <w:sz w:val="24"/>
                <w:szCs w:val="24"/>
                <w:highlight w:val="none"/>
                <w14:textFill>
                  <w14:solidFill>
                    <w14:schemeClr w14:val="tx1"/>
                  </w14:solidFill>
                </w14:textFill>
              </w:rPr>
              <w:t>技改前产品方案</w:t>
            </w:r>
            <w:r>
              <w:rPr>
                <w:rFonts w:hint="default" w:ascii="Times New Roman" w:hAnsi="Times New Roman" w:eastAsia="宋体" w:cs="Times New Roman"/>
                <w:b w:val="0"/>
                <w:bCs w:val="0"/>
                <w:color w:val="000000" w:themeColor="text1"/>
                <w:spacing w:val="-1"/>
                <w:sz w:val="24"/>
                <w:szCs w:val="24"/>
                <w:highlight w:val="none"/>
                <w:lang w:val="en-US" w:eastAsia="zh-CN"/>
                <w14:textFill>
                  <w14:solidFill>
                    <w14:schemeClr w14:val="tx1"/>
                  </w14:solidFill>
                </w14:textFill>
              </w:rPr>
              <w:t>煤气产量为64169</w:t>
            </w:r>
            <w:r>
              <w:rPr>
                <w:rFonts w:hint="eastAsia" w:ascii="Times New Roman" w:hAnsi="Times New Roman" w:eastAsia="宋体" w:cs="Times New Roman"/>
                <w:b w:val="0"/>
                <w:bCs w:val="0"/>
                <w:color w:val="000000" w:themeColor="text1"/>
                <w:spacing w:val="-1"/>
                <w:sz w:val="24"/>
                <w:szCs w:val="24"/>
                <w:highlight w:val="none"/>
                <w:lang w:val="en-US" w:eastAsia="zh-CN"/>
                <w14:textFill>
                  <w14:solidFill>
                    <w14:schemeClr w14:val="tx1"/>
                  </w14:solidFill>
                </w14:textFill>
              </w:rPr>
              <w:t>.23</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m</w:t>
            </w:r>
            <w:r>
              <w:rPr>
                <w:rFonts w:hint="default" w:ascii="Times New Roman" w:hAnsi="Times New Roman" w:eastAsia="宋体" w:cs="Times New Roman"/>
                <w:b w:val="0"/>
                <w:bCs w:val="0"/>
                <w:color w:val="000000" w:themeColor="text1"/>
                <w:sz w:val="24"/>
                <w:szCs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/h</w:t>
            </w:r>
            <w:r>
              <w:rPr>
                <w:rFonts w:hint="default" w:ascii="Times New Roman" w:hAnsi="Times New Roman" w:eastAsia="宋体" w:cs="Times New Roman"/>
                <w:b w:val="0"/>
                <w:bCs w:val="0"/>
                <w:color w:val="000000" w:themeColor="text1"/>
                <w:spacing w:val="-1"/>
                <w:sz w:val="24"/>
                <w:szCs w:val="24"/>
                <w:highlight w:val="none"/>
                <w:lang w:val="en-US" w:eastAsia="zh-CN"/>
                <w14:textFill>
                  <w14:solidFill>
                    <w14:schemeClr w14:val="tx1"/>
                  </w14:solidFill>
                </w14:textFill>
              </w:rPr>
              <w:t>（51335.38</w:t>
            </w:r>
            <w:r>
              <w:rPr>
                <w:rFonts w:hint="eastAsia" w:ascii="Times New Roman" w:hAnsi="Times New Roman" w:eastAsia="宋体" w:cs="Times New Roman"/>
                <w:b w:val="0"/>
                <w:bCs w:val="0"/>
                <w:color w:val="000000" w:themeColor="text1"/>
                <w:spacing w:val="-1"/>
                <w:sz w:val="24"/>
                <w:szCs w:val="24"/>
                <w:highlight w:val="none"/>
                <w:lang w:val="en-US" w:eastAsia="zh-CN"/>
                <w14:textFill>
                  <w14:solidFill>
                    <w14:schemeClr w14:val="tx1"/>
                  </w14:solidFill>
                </w14:textFill>
              </w:rPr>
              <w:t>万</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m</w:t>
            </w:r>
            <w:r>
              <w:rPr>
                <w:rFonts w:hint="default" w:ascii="Times New Roman" w:hAnsi="Times New Roman" w:eastAsia="宋体" w:cs="Times New Roman"/>
                <w:b w:val="0"/>
                <w:bCs w:val="0"/>
                <w:color w:val="000000" w:themeColor="text1"/>
                <w:sz w:val="24"/>
                <w:szCs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/a）</w:t>
            </w:r>
            <w:r>
              <w:rPr>
                <w:rFonts w:hint="default" w:ascii="Times New Roman" w:hAnsi="Times New Roman" w:eastAsia="宋体" w:cs="Times New Roman"/>
                <w:b w:val="0"/>
                <w:bCs w:val="0"/>
                <w:color w:val="000000" w:themeColor="text1"/>
                <w:spacing w:val="-1"/>
                <w:sz w:val="24"/>
                <w:szCs w:val="24"/>
                <w:highlight w:val="none"/>
                <w:lang w:val="en-US" w:eastAsia="zh-CN"/>
                <w14:textFill>
                  <w14:solidFill>
                    <w14:schemeClr w14:val="tx1"/>
                  </w14:solidFill>
                </w14:textFill>
              </w:rPr>
              <w:t>，技改后</w:t>
            </w:r>
            <w:r>
              <w:rPr>
                <w:rFonts w:hint="default" w:ascii="Times New Roman" w:hAnsi="Times New Roman" w:eastAsia="宋体" w:cs="Times New Roman"/>
                <w:b w:val="0"/>
                <w:bCs w:val="0"/>
                <w:color w:val="000000" w:themeColor="text1"/>
                <w:spacing w:val="-1"/>
                <w:sz w:val="24"/>
                <w:szCs w:val="24"/>
                <w:highlight w:val="none"/>
                <w14:textFill>
                  <w14:solidFill>
                    <w14:schemeClr w14:val="tx1"/>
                  </w14:solidFill>
                </w14:textFill>
              </w:rPr>
              <w:t>产品方案</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煤气产量</w:t>
            </w:r>
            <w:r>
              <w:rPr>
                <w:rFonts w:hint="eastAsia"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82826.25</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m</w:t>
            </w:r>
            <w:r>
              <w:rPr>
                <w:rFonts w:hint="default" w:ascii="Times New Roman" w:hAnsi="Times New Roman" w:eastAsia="宋体" w:cs="Times New Roman"/>
                <w:color w:val="000000" w:themeColor="text1"/>
                <w:sz w:val="24"/>
                <w:szCs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/h（66261万m</w:t>
            </w:r>
            <w:r>
              <w:rPr>
                <w:rFonts w:hint="default" w:ascii="Times New Roman" w:hAnsi="Times New Roman" w:eastAsia="宋体" w:cs="Times New Roman"/>
                <w:color w:val="000000" w:themeColor="text1"/>
                <w:sz w:val="24"/>
                <w:szCs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/a），</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技改后煤气</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新增</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量为</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18657.03</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m</w:t>
            </w:r>
            <w:r>
              <w:rPr>
                <w:rFonts w:hint="default" w:ascii="Times New Roman" w:hAnsi="Times New Roman" w:eastAsia="宋体" w:cs="Times New Roman"/>
                <w:b w:val="0"/>
                <w:bCs w:val="0"/>
                <w:color w:val="000000" w:themeColor="text1"/>
                <w:sz w:val="24"/>
                <w:szCs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/h</w:t>
            </w:r>
            <w:r>
              <w:rPr>
                <w:rFonts w:hint="default" w:ascii="Times New Roman" w:hAnsi="Times New Roman" w:eastAsia="宋体" w:cs="Times New Roman"/>
                <w:b w:val="0"/>
                <w:bCs w:val="0"/>
                <w:color w:val="000000" w:themeColor="text1"/>
                <w:spacing w:val="-1"/>
                <w:sz w:val="24"/>
                <w:szCs w:val="24"/>
                <w:highlight w:val="none"/>
                <w:lang w:val="en-US" w:eastAsia="zh-CN"/>
                <w14:textFill>
                  <w14:solidFill>
                    <w14:schemeClr w14:val="tx1"/>
                  </w14:solidFill>
                </w14:textFill>
              </w:rPr>
              <w:t>（</w:t>
            </w:r>
            <w:r>
              <w:rPr>
                <w:rFonts w:hint="eastAsia" w:ascii="Times New Roman" w:hAnsi="Times New Roman" w:eastAsia="宋体" w:cs="Times New Roman"/>
                <w:b w:val="0"/>
                <w:bCs w:val="0"/>
                <w:color w:val="000000" w:themeColor="text1"/>
                <w:spacing w:val="-1"/>
                <w:sz w:val="24"/>
                <w:szCs w:val="24"/>
                <w:highlight w:val="none"/>
                <w:lang w:val="en-US" w:eastAsia="zh-CN"/>
                <w14:textFill>
                  <w14:solidFill>
                    <w14:schemeClr w14:val="tx1"/>
                  </w14:solidFill>
                </w14:textFill>
              </w:rPr>
              <w:t>14925.62万</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m</w:t>
            </w:r>
            <w:r>
              <w:rPr>
                <w:rFonts w:hint="default" w:ascii="Times New Roman" w:hAnsi="Times New Roman" w:eastAsia="宋体" w:cs="Times New Roman"/>
                <w:b w:val="0"/>
                <w:bCs w:val="0"/>
                <w:color w:val="000000" w:themeColor="text1"/>
                <w:sz w:val="24"/>
                <w:szCs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/a）</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，本项目煤气用量为</w:t>
            </w:r>
            <w:r>
              <w:rPr>
                <w:rFonts w:hint="eastAsia" w:cs="Times New Roman"/>
                <w:color w:val="000000" w:themeColor="text1"/>
                <w:sz w:val="24"/>
                <w:szCs w:val="24"/>
                <w:highlight w:val="none"/>
                <w:lang w:val="en-US" w:eastAsia="zh-CN"/>
                <w14:textFill>
                  <w14:solidFill>
                    <w14:schemeClr w14:val="tx1"/>
                  </w14:solidFill>
                </w14:textFill>
              </w:rPr>
              <w:t>20730.03</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m</w:t>
            </w:r>
            <w:r>
              <w:rPr>
                <w:rFonts w:hint="default" w:ascii="Times New Roman" w:hAnsi="Times New Roman" w:eastAsia="宋体" w:cs="Times New Roman"/>
                <w:color w:val="000000" w:themeColor="text1"/>
                <w:sz w:val="24"/>
                <w:szCs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/h（</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14925.62</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万m</w:t>
            </w:r>
            <w:r>
              <w:rPr>
                <w:rFonts w:hint="default" w:ascii="Times New Roman" w:hAnsi="Times New Roman" w:eastAsia="宋体" w:cs="Times New Roman"/>
                <w:color w:val="000000" w:themeColor="text1"/>
                <w:sz w:val="24"/>
                <w:szCs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highlight w:val="none"/>
                <w:vertAlign w:val="baseline"/>
                <w:lang w:val="en-US" w:eastAsia="zh-CN"/>
                <w14:textFill>
                  <w14:solidFill>
                    <w14:schemeClr w14:val="tx1"/>
                  </w14:solidFill>
                </w14:textFill>
              </w:rPr>
              <w:t>/a</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），可以满足本项目用气需求。</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20</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21年</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项目</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停运，</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原有煤气制备甲醇工序停产，项目20</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23年</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项目进行</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技改环评，</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技改项目计划20</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26年5月启炉</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，因此，</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气量满足</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本项目用量</w:t>
            </w:r>
            <w:r>
              <w:rPr>
                <w:rFonts w:hint="eastAsia" w:cs="Times New Roman"/>
                <w:color w:val="000000" w:themeColor="text1"/>
                <w:sz w:val="24"/>
                <w:highlight w:val="none"/>
                <w:lang w:val="en-US" w:eastAsia="zh-CN"/>
                <w14:textFill>
                  <w14:solidFill>
                    <w14:schemeClr w14:val="tx1"/>
                  </w14:solidFill>
                </w14:textFill>
              </w:rPr>
              <w:t>。</w:t>
            </w:r>
            <w:r>
              <w:rPr>
                <w:rFonts w:hint="default" w:ascii="Times New Roman" w:hAnsi="Times New Roman" w:cs="Times New Roman"/>
                <w:color w:val="000000" w:themeColor="text1"/>
                <w:sz w:val="24"/>
                <w:highlight w:val="none"/>
                <w:lang w:val="en-US" w:eastAsia="zh-CN"/>
                <w14:textFill>
                  <w14:solidFill>
                    <w14:schemeClr w14:val="tx1"/>
                  </w14:solidFill>
                </w14:textFill>
              </w:rPr>
              <w:t>煤气来源内蒙古伊东东方能源公司位置</w:t>
            </w:r>
            <w:r>
              <w:rPr>
                <w:rFonts w:hint="eastAsia" w:ascii="Times New Roman" w:hAnsi="Times New Roman" w:cs="Times New Roman"/>
                <w:color w:val="000000" w:themeColor="text1"/>
                <w:sz w:val="24"/>
                <w:highlight w:val="none"/>
                <w:lang w:val="en-US" w:eastAsia="zh-CN"/>
                <w14:textFill>
                  <w14:solidFill>
                    <w14:schemeClr w14:val="tx1"/>
                  </w14:solidFill>
                </w14:textFill>
              </w:rPr>
              <w:t>与</w:t>
            </w:r>
            <w:r>
              <w:rPr>
                <w:rFonts w:hint="default" w:ascii="Times New Roman" w:hAnsi="Times New Roman" w:cs="Times New Roman"/>
                <w:color w:val="000000" w:themeColor="text1"/>
                <w:sz w:val="24"/>
                <w:highlight w:val="none"/>
                <w:lang w:val="en-US" w:eastAsia="zh-CN"/>
                <w14:textFill>
                  <w14:solidFill>
                    <w14:schemeClr w14:val="tx1"/>
                  </w14:solidFill>
                </w14:textFill>
              </w:rPr>
              <w:t>本项目位置关系详见附图。</w:t>
            </w:r>
          </w:p>
          <w:p w14:paraId="123AF7C9">
            <w:pPr>
              <w:keepNext w:val="0"/>
              <w:keepLines w:val="0"/>
              <w:pageBreakBefore w:val="0"/>
              <w:widowControl/>
              <w:kinsoku/>
              <w:wordWrap/>
              <w:overflowPunct/>
              <w:topLinePunct w:val="0"/>
              <w:autoSpaceDE/>
              <w:autoSpaceDN/>
              <w:bidi w:val="0"/>
              <w:adjustRightInd/>
              <w:snapToGrid/>
              <w:spacing w:line="360" w:lineRule="auto"/>
              <w:ind w:firstLine="482" w:firstLineChars="200"/>
              <w:jc w:val="left"/>
              <w:textAlignment w:val="auto"/>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t>1.</w:t>
            </w:r>
            <w:r>
              <w:rPr>
                <w:rFonts w:hint="default" w:ascii="Times New Roman" w:hAnsi="Times New Roman" w:cs="Times New Roman"/>
                <w:b/>
                <w:bCs/>
                <w:color w:val="000000" w:themeColor="text1"/>
                <w:sz w:val="24"/>
                <w:highlight w:val="none"/>
                <w:lang w:val="en-US" w:eastAsia="zh-CN"/>
                <w14:textFill>
                  <w14:solidFill>
                    <w14:schemeClr w14:val="tx1"/>
                  </w14:solidFill>
                </w14:textFill>
              </w:rPr>
              <w:t>9</w:t>
            </w:r>
            <w:r>
              <w:rPr>
                <w:rFonts w:hint="default" w:ascii="Times New Roman" w:hAnsi="Times New Roman" w:eastAsia="宋体" w:cs="Times New Roman"/>
                <w:b/>
                <w:bCs/>
                <w:color w:val="000000" w:themeColor="text1"/>
                <w:sz w:val="24"/>
                <w:highlight w:val="none"/>
                <w14:textFill>
                  <w14:solidFill>
                    <w14:schemeClr w14:val="tx1"/>
                  </w14:solidFill>
                </w14:textFill>
              </w:rPr>
              <w:t>厂区平面布局合理性分析</w:t>
            </w:r>
          </w:p>
          <w:p w14:paraId="58AE636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000000" w:themeColor="text1"/>
                <w:sz w:val="24"/>
                <w:highlight w:val="none"/>
                <w:lang w:val="en-US" w:eastAsia="zh-CN"/>
                <w14:textFill>
                  <w14:solidFill>
                    <w14:schemeClr w14:val="tx1"/>
                  </w14:solidFill>
                </w14:textFill>
              </w:rPr>
            </w:pPr>
            <w:r>
              <w:rPr>
                <w:rFonts w:hint="default" w:ascii="Times New Roman" w:hAnsi="Times New Roman" w:cs="Times New Roman"/>
                <w:color w:val="000000" w:themeColor="text1"/>
                <w:sz w:val="24"/>
                <w:highlight w:val="none"/>
                <w:lang w:val="en-US" w:eastAsia="zh-CN"/>
                <w14:textFill>
                  <w14:solidFill>
                    <w14:schemeClr w14:val="tx1"/>
                  </w14:solidFill>
                </w14:textFill>
              </w:rPr>
              <w:t>1）工厂总平面设计</w:t>
            </w:r>
          </w:p>
          <w:p w14:paraId="1B42647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根据所能使用的场地条件及工艺流程要求，结合工厂总图运输设计原则，总图布置将新增煤矸石生产线与内蒙古伊东高新材料有限公司的粉磨站平行布置</w:t>
            </w:r>
            <w:r>
              <w:rPr>
                <w:rFonts w:hint="default" w:ascii="Times New Roman" w:hAnsi="Times New Roman" w:cs="Times New Roman"/>
                <w:color w:val="000000" w:themeColor="text1"/>
                <w:sz w:val="24"/>
                <w:highlight w:val="none"/>
                <w:lang w:val="en-US" w:eastAsia="zh-CN"/>
                <w14:textFill>
                  <w14:solidFill>
                    <w14:schemeClr w14:val="tx1"/>
                  </w14:solidFill>
                </w14:textFill>
              </w:rPr>
              <w:t>，便于原料气力输送</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。根据不同的功能分区，本项目总共分为3个区域，分别为窑尾烧成区、高岭土冷却分选区</w:t>
            </w:r>
            <w:r>
              <w:rPr>
                <w:rFonts w:hint="default" w:ascii="Times New Roman" w:hAnsi="Times New Roman" w:cs="Times New Roman"/>
                <w:color w:val="000000" w:themeColor="text1"/>
                <w:sz w:val="24"/>
                <w:highlight w:val="none"/>
                <w:lang w:val="en-US" w:eastAsia="zh-CN"/>
                <w14:textFill>
                  <w14:solidFill>
                    <w14:schemeClr w14:val="tx1"/>
                  </w14:solidFill>
                </w14:textFill>
              </w:rPr>
              <w:t>（含窑头电气）</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、大小袋包装及储存区等。本项目辅助生产</w:t>
            </w:r>
            <w:r>
              <w:rPr>
                <w:rFonts w:hint="default" w:ascii="Times New Roman" w:hAnsi="Times New Roman" w:cs="Times New Roman"/>
                <w:color w:val="000000" w:themeColor="text1"/>
                <w:sz w:val="24"/>
                <w:highlight w:val="none"/>
                <w:lang w:val="en-US" w:eastAsia="zh-CN"/>
                <w14:textFill>
                  <w14:solidFill>
                    <w14:schemeClr w14:val="tx1"/>
                  </w14:solidFill>
                </w14:textFill>
              </w:rPr>
              <w:t>及环保工程</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主要有：中控化验室、空压站、</w:t>
            </w:r>
            <w:r>
              <w:rPr>
                <w:rFonts w:hint="eastAsia" w:cs="Times New Roman"/>
                <w:color w:val="000000" w:themeColor="text1"/>
                <w:sz w:val="24"/>
                <w:highlight w:val="none"/>
                <w:lang w:val="en-US" w:eastAsia="zh-CN"/>
                <w14:textFill>
                  <w14:solidFill>
                    <w14:schemeClr w14:val="tx1"/>
                  </w14:solidFill>
                </w14:textFill>
              </w:rPr>
              <w:t>软水</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处理、电气室、余热锅炉、脱硫系统、脱硝系统、门卫等。辅助生产车间根据主要服务车间的不同，分散布置在各自的负荷中心附近，以最大限度减少管道、线路等长度，节省工程投资，减少损耗，节省能源等。具体布置情况如下：</w:t>
            </w:r>
          </w:p>
          <w:p w14:paraId="4765447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一</w:t>
            </w:r>
            <w:r>
              <w:rPr>
                <w:rFonts w:hint="default" w:ascii="Times New Roman" w:hAnsi="Times New Roman" w:cs="Times New Roman"/>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窑尾烧成区</w:t>
            </w:r>
          </w:p>
          <w:p w14:paraId="1A25F69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该</w:t>
            </w:r>
            <w:r>
              <w:rPr>
                <w:rFonts w:hint="default" w:ascii="Times New Roman" w:hAnsi="Times New Roman" w:cs="Times New Roman"/>
                <w:color w:val="000000" w:themeColor="text1"/>
                <w:sz w:val="24"/>
                <w:highlight w:val="none"/>
                <w:lang w:val="en-US" w:eastAsia="zh-CN"/>
                <w14:textFill>
                  <w14:solidFill>
                    <w14:schemeClr w14:val="tx1"/>
                  </w14:solidFill>
                </w14:textFill>
              </w:rPr>
              <w:t>区域</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位于本项目用地的</w:t>
            </w:r>
            <w:r>
              <w:rPr>
                <w:rFonts w:hint="default" w:ascii="Times New Roman" w:hAnsi="Times New Roman" w:cs="Times New Roman"/>
                <w:color w:val="000000" w:themeColor="text1"/>
                <w:sz w:val="24"/>
                <w:highlight w:val="none"/>
                <w:lang w:val="en-US" w:eastAsia="zh-CN"/>
                <w14:textFill>
                  <w14:solidFill>
                    <w14:schemeClr w14:val="tx1"/>
                  </w14:solidFill>
                </w14:textFill>
              </w:rPr>
              <w:t>中部</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，包括</w:t>
            </w:r>
            <w:r>
              <w:rPr>
                <w:rFonts w:hint="default" w:ascii="Times New Roman" w:hAnsi="Times New Roman" w:cs="Times New Roman"/>
                <w:color w:val="000000" w:themeColor="text1"/>
                <w:sz w:val="24"/>
                <w:highlight w:val="none"/>
                <w:lang w:val="en-US" w:eastAsia="zh-CN"/>
                <w14:textFill>
                  <w14:solidFill>
                    <w14:schemeClr w14:val="tx1"/>
                  </w14:solidFill>
                </w14:textFill>
              </w:rPr>
              <w:t>煅烧</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窑尾及收尘、</w:t>
            </w:r>
            <w:r>
              <w:rPr>
                <w:rFonts w:hint="default" w:ascii="Times New Roman" w:hAnsi="Times New Roman" w:cs="Times New Roman"/>
                <w:color w:val="000000" w:themeColor="text1"/>
                <w:sz w:val="24"/>
                <w:highlight w:val="none"/>
                <w:lang w:val="en-US" w:eastAsia="zh-CN"/>
                <w14:textFill>
                  <w14:solidFill>
                    <w14:schemeClr w14:val="tx1"/>
                  </w14:solidFill>
                </w14:textFill>
              </w:rPr>
              <w:t>煅烧</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窑中等，该</w:t>
            </w:r>
            <w:r>
              <w:rPr>
                <w:rFonts w:hint="default" w:ascii="Times New Roman" w:hAnsi="Times New Roman" w:cs="Times New Roman"/>
                <w:color w:val="000000" w:themeColor="text1"/>
                <w:sz w:val="24"/>
                <w:highlight w:val="none"/>
                <w:lang w:val="en-US" w:eastAsia="zh-CN"/>
                <w14:textFill>
                  <w14:solidFill>
                    <w14:schemeClr w14:val="tx1"/>
                  </w14:solidFill>
                </w14:textFill>
              </w:rPr>
              <w:t>区域</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位于本项目场地较高处。</w:t>
            </w:r>
          </w:p>
          <w:p w14:paraId="3069FE1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二</w:t>
            </w:r>
            <w:r>
              <w:rPr>
                <w:rFonts w:hint="default" w:ascii="Times New Roman" w:hAnsi="Times New Roman" w:cs="Times New Roman"/>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高岭土冷却分选区</w:t>
            </w:r>
          </w:p>
          <w:p w14:paraId="4F27CA0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该区位于本项目用地中部，主要有高岭土冷却、高岭土分选车间等。</w:t>
            </w:r>
          </w:p>
          <w:p w14:paraId="3C103C7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三</w:t>
            </w:r>
            <w:r>
              <w:rPr>
                <w:rFonts w:hint="default" w:ascii="Times New Roman" w:hAnsi="Times New Roman" w:cs="Times New Roman"/>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大小袋包装及储存区</w:t>
            </w:r>
          </w:p>
          <w:p w14:paraId="36D4AC6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该区位于本项目用地</w:t>
            </w:r>
            <w:r>
              <w:rPr>
                <w:rFonts w:hint="default" w:ascii="Times New Roman" w:hAnsi="Times New Roman" w:cs="Times New Roman"/>
                <w:color w:val="000000" w:themeColor="text1"/>
                <w:sz w:val="24"/>
                <w:highlight w:val="none"/>
                <w:lang w:val="en-US" w:eastAsia="zh-CN"/>
                <w14:textFill>
                  <w14:solidFill>
                    <w14:schemeClr w14:val="tx1"/>
                  </w14:solidFill>
                </w14:textFill>
              </w:rPr>
              <w:t>北部</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，主要有</w:t>
            </w:r>
            <w:r>
              <w:rPr>
                <w:rFonts w:hint="eastAsia" w:cs="Times New Roman"/>
                <w:color w:val="000000" w:themeColor="text1"/>
                <w:sz w:val="24"/>
                <w:highlight w:val="none"/>
                <w:lang w:val="en-US" w:eastAsia="zh-CN"/>
                <w14:textFill>
                  <w14:solidFill>
                    <w14:schemeClr w14:val="tx1"/>
                  </w14:solidFill>
                </w14:textFill>
              </w:rPr>
              <w:t>软水</w:t>
            </w:r>
            <w:r>
              <w:rPr>
                <w:rFonts w:hint="default" w:ascii="Times New Roman" w:hAnsi="Times New Roman" w:cs="Times New Roman"/>
                <w:color w:val="000000" w:themeColor="text1"/>
                <w:sz w:val="24"/>
                <w:highlight w:val="none"/>
                <w:lang w:val="en-US" w:eastAsia="zh-CN"/>
                <w14:textFill>
                  <w14:solidFill>
                    <w14:schemeClr w14:val="tx1"/>
                  </w14:solidFill>
                </w14:textFill>
              </w:rPr>
              <w:t>处理、原料粉储存及输送、机电车间及材料库、黄料库。</w:t>
            </w:r>
          </w:p>
          <w:p w14:paraId="650D370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000000" w:themeColor="text1"/>
                <w:sz w:val="24"/>
                <w:highlight w:val="none"/>
                <w:lang w:val="en-US" w:eastAsia="zh-CN"/>
                <w14:textFill>
                  <w14:solidFill>
                    <w14:schemeClr w14:val="tx1"/>
                  </w14:solidFill>
                </w14:textFill>
              </w:rPr>
            </w:pPr>
            <w:r>
              <w:rPr>
                <w:rFonts w:hint="default" w:ascii="Times New Roman" w:hAnsi="Times New Roman" w:cs="Times New Roman"/>
                <w:color w:val="000000" w:themeColor="text1"/>
                <w:sz w:val="24"/>
                <w:highlight w:val="none"/>
                <w:lang w:val="en-US" w:eastAsia="zh-CN"/>
                <w14:textFill>
                  <w14:solidFill>
                    <w14:schemeClr w14:val="tx1"/>
                  </w14:solidFill>
                </w14:textFill>
              </w:rPr>
              <w:t>四、产品存储及包装</w:t>
            </w:r>
          </w:p>
          <w:p w14:paraId="17712AC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高岭土大袋包装、高岭土小袋包装、成品堆棚等。该区位于本项目场地较低处，且与园区环城路距离较近，便于成品装车和发运。</w:t>
            </w:r>
          </w:p>
          <w:p w14:paraId="4EB9BD95">
            <w:pPr>
              <w:pStyle w:val="8"/>
              <w:spacing w:line="360" w:lineRule="auto"/>
              <w:rPr>
                <w:rFonts w:hint="default" w:ascii="Times New Roman" w:hAnsi="Times New Roman" w:cs="Times New Roman"/>
                <w:color w:val="000000" w:themeColor="text1"/>
                <w:sz w:val="24"/>
                <w:highlight w:val="none"/>
                <w:lang w:val="en-US" w:eastAsia="zh-CN"/>
                <w14:textFill>
                  <w14:solidFill>
                    <w14:schemeClr w14:val="tx1"/>
                  </w14:solidFill>
                </w14:textFill>
              </w:rPr>
            </w:pPr>
            <w:r>
              <w:rPr>
                <w:rFonts w:hint="default" w:ascii="Times New Roman" w:hAnsi="Times New Roman" w:cs="Times New Roman"/>
                <w:color w:val="000000" w:themeColor="text1"/>
                <w:sz w:val="24"/>
                <w:highlight w:val="none"/>
                <w:lang w:val="en-US" w:eastAsia="zh-CN"/>
                <w14:textFill>
                  <w14:solidFill>
                    <w14:schemeClr w14:val="tx1"/>
                  </w14:solidFill>
                </w14:textFill>
              </w:rPr>
              <w:t>五、</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辅助生产车间</w:t>
            </w:r>
            <w:r>
              <w:rPr>
                <w:rFonts w:hint="default" w:ascii="Times New Roman" w:hAnsi="Times New Roman" w:cs="Times New Roman"/>
                <w:color w:val="000000" w:themeColor="text1"/>
                <w:sz w:val="24"/>
                <w:highlight w:val="none"/>
                <w:lang w:val="en-US" w:eastAsia="zh-CN"/>
                <w14:textFill>
                  <w14:solidFill>
                    <w14:schemeClr w14:val="tx1"/>
                  </w14:solidFill>
                </w14:textFill>
              </w:rPr>
              <w:t>和环保工程</w:t>
            </w:r>
          </w:p>
          <w:p w14:paraId="59A102AF">
            <w:pPr>
              <w:pStyle w:val="8"/>
              <w:spacing w:line="360" w:lineRule="auto"/>
              <w:rPr>
                <w:rFonts w:hint="default" w:ascii="Times New Roman" w:hAnsi="Times New Roman" w:cs="Times New Roman"/>
                <w:color w:val="000000" w:themeColor="text1"/>
                <w:highlight w:val="none"/>
                <w:lang w:val="en-US"/>
                <w14:textFill>
                  <w14:solidFill>
                    <w14:schemeClr w14:val="tx1"/>
                  </w14:solidFill>
                </w14:textFill>
              </w:rPr>
            </w:pPr>
            <w:r>
              <w:rPr>
                <w:rFonts w:hint="default" w:ascii="Times New Roman" w:hAnsi="Times New Roman" w:cs="Times New Roman"/>
                <w:color w:val="000000" w:themeColor="text1"/>
                <w:sz w:val="24"/>
                <w:highlight w:val="none"/>
                <w:lang w:val="en-US" w:eastAsia="zh-CN"/>
                <w14:textFill>
                  <w14:solidFill>
                    <w14:schemeClr w14:val="tx1"/>
                  </w14:solidFill>
                </w14:textFill>
              </w:rPr>
              <w:t>氨水罐区、脱硫系统、换热站、中控室、办公楼。</w:t>
            </w:r>
          </w:p>
          <w:p w14:paraId="0BB11F0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具体布置详见厂区总平面布置图。</w:t>
            </w:r>
          </w:p>
          <w:p w14:paraId="3F53836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综上，本方案布置工艺流程合理，物料流向顺畅、短捷，厂区交通便利，总平面布置紧凑、完善等优点</w:t>
            </w:r>
            <w:r>
              <w:rPr>
                <w:rFonts w:hint="default" w:ascii="Times New Roman" w:hAnsi="Times New Roman" w:eastAsia="宋体" w:cs="Times New Roman"/>
                <w:color w:val="000000" w:themeColor="text1"/>
                <w:sz w:val="24"/>
                <w:highlight w:val="none"/>
                <w14:textFill>
                  <w14:solidFill>
                    <w14:schemeClr w14:val="tx1"/>
                  </w14:solidFill>
                </w14:textFill>
              </w:rPr>
              <w:t>。</w:t>
            </w:r>
          </w:p>
          <w:p w14:paraId="775C39D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厂区竖向设计及场地排水</w:t>
            </w:r>
          </w:p>
          <w:p w14:paraId="48E70B0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本方案顺应地势进行竖向设计，以尽量减少场平填挖方量，同时满足运输、消防、检修和排水</w:t>
            </w:r>
            <w:r>
              <w:rPr>
                <w:rFonts w:hint="default" w:ascii="Times New Roman" w:hAnsi="Times New Roman" w:cs="Times New Roman"/>
                <w:color w:val="000000" w:themeColor="text1"/>
                <w:sz w:val="24"/>
                <w:highlight w:val="none"/>
                <w:lang w:val="en-US" w:eastAsia="zh-CN"/>
                <w14:textFill>
                  <w14:solidFill>
                    <w14:schemeClr w14:val="tx1"/>
                  </w14:solidFill>
                </w14:textFill>
              </w:rPr>
              <w:t>等</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要求。</w:t>
            </w:r>
          </w:p>
          <w:p w14:paraId="52EEAEC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厂区内设置排雨水管网系统，以收集雨水排出厂外。</w:t>
            </w:r>
          </w:p>
          <w:p w14:paraId="0B25A30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lang w:val="en-US" w:eastAsia="zh-CN"/>
                <w14:textFill>
                  <w14:solidFill>
                    <w14:schemeClr w14:val="tx1"/>
                  </w14:solidFill>
                </w14:textFill>
              </w:rPr>
              <w:t>3）</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厂区道路</w:t>
            </w:r>
          </w:p>
          <w:p w14:paraId="1F0F223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结合运输、消防及检修要求，结合粉磨站已建厂区道路及硬化场地现状，本项目新增道路及硬化场地范围满足生产运营、检修、消防</w:t>
            </w:r>
            <w:r>
              <w:rPr>
                <w:rFonts w:hint="default" w:ascii="Times New Roman" w:hAnsi="Times New Roman" w:cs="Times New Roman"/>
                <w:color w:val="000000" w:themeColor="text1"/>
                <w:sz w:val="24"/>
                <w:highlight w:val="none"/>
                <w:lang w:val="en-US" w:eastAsia="zh-CN"/>
                <w14:textFill>
                  <w14:solidFill>
                    <w14:schemeClr w14:val="tx1"/>
                  </w14:solidFill>
                </w14:textFill>
              </w:rPr>
              <w:t>等</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需求。</w:t>
            </w:r>
          </w:p>
          <w:p w14:paraId="5B7EEF6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厂内道路呈环形设置，采用郊区型道路型式。厂内主要道路宽7</w:t>
            </w:r>
            <w:r>
              <w:rPr>
                <w:rFonts w:hint="default" w:ascii="Times New Roman" w:hAnsi="Times New Roman" w:cs="Times New Roman"/>
                <w:color w:val="000000" w:themeColor="text1"/>
                <w:sz w:val="24"/>
                <w:highlight w:val="none"/>
                <w:lang w:val="en-US" w:eastAsia="zh-CN"/>
                <w14:textFill>
                  <w14:solidFill>
                    <w14:schemeClr w14:val="tx1"/>
                  </w14:solidFill>
                </w14:textFill>
              </w:rPr>
              <w:t>m</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，车间引道宽4</w:t>
            </w:r>
            <w:r>
              <w:rPr>
                <w:rFonts w:hint="default" w:ascii="Times New Roman" w:hAnsi="Times New Roman" w:cs="Times New Roman"/>
                <w:color w:val="000000" w:themeColor="text1"/>
                <w:sz w:val="24"/>
                <w:highlight w:val="none"/>
                <w:lang w:val="en-US" w:eastAsia="zh-CN"/>
                <w14:textFill>
                  <w14:solidFill>
                    <w14:schemeClr w14:val="tx1"/>
                  </w14:solidFill>
                </w14:textFill>
              </w:rPr>
              <w:t>m</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，以满足厂内物料运输、设备检修及消防的需要。各主要建构筑物一侧或两侧均设有道路，各主要车间设计有车间引道，使车辆可以顺利地进入各车间，以满足大型设备检修及消防安全的需要。</w:t>
            </w:r>
          </w:p>
          <w:p w14:paraId="587A58F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鉴于沙圪堵镇</w:t>
            </w:r>
            <w:r>
              <w:rPr>
                <w:rFonts w:hint="default" w:ascii="Times New Roman" w:hAnsi="Times New Roman" w:cs="Times New Roman"/>
                <w:color w:val="000000" w:themeColor="text1"/>
                <w:sz w:val="24"/>
                <w:highlight w:val="none"/>
                <w:lang w:val="en-US" w:eastAsia="zh-CN"/>
                <w14:textFill>
                  <w14:solidFill>
                    <w14:schemeClr w14:val="tx1"/>
                  </w14:solidFill>
                </w14:textFill>
              </w:rPr>
              <w:t>覆土深度</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达1</w:t>
            </w:r>
            <w:r>
              <w:rPr>
                <w:rFonts w:hint="default" w:ascii="Times New Roman" w:hAnsi="Times New Roman" w:cs="Times New Roman"/>
                <w:color w:val="000000" w:themeColor="text1"/>
                <w:sz w:val="24"/>
                <w:highlight w:val="none"/>
                <w:lang w:val="en-US" w:eastAsia="zh-CN"/>
                <w14:textFill>
                  <w14:solidFill>
                    <w14:schemeClr w14:val="tx1"/>
                  </w14:solidFill>
                </w14:textFill>
              </w:rPr>
              <w:t>m</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，道路路基需进行换填处理；换填作业中开挖的土方，可用于成品库装车站台的填方工程。</w:t>
            </w:r>
          </w:p>
          <w:p w14:paraId="76D7F34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lang w:val="en-US" w:eastAsia="zh-CN"/>
                <w14:textFill>
                  <w14:solidFill>
                    <w14:schemeClr w14:val="tx1"/>
                  </w14:solidFill>
                </w14:textFill>
              </w:rPr>
              <w:t>4）</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工厂运输</w:t>
            </w:r>
          </w:p>
          <w:p w14:paraId="6864406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本项目原料通过气力输送设备等运输，成品运输为汽车运输。本设计不考虑购置运输设备，由社会运输力量解决厂外物料运输的问题。</w:t>
            </w:r>
          </w:p>
          <w:p w14:paraId="1FE3AB6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本项目新增1台汽车衡进行成品结算计量，汽车衡设在厂区大门口处。</w:t>
            </w:r>
          </w:p>
          <w:p w14:paraId="5094C8A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cs="Times New Roman"/>
                <w:color w:val="000000" w:themeColor="text1"/>
                <w:sz w:val="24"/>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工厂绿化规划</w:t>
            </w:r>
          </w:p>
          <w:p w14:paraId="5FAEE57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为了改善工厂生产、生活环境，对本厂进行绿化规划。</w:t>
            </w:r>
          </w:p>
          <w:p w14:paraId="0556608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本方案绿化以厂内道路两侧条带地段及场地边坡绿化为主，车间四周空地绿化为辅。对有粉尘产生的车间四周种植一些阔叶、抗尘吸尘树种作为防护带，尽量减少粉尘的扩散。</w:t>
            </w:r>
          </w:p>
          <w:p w14:paraId="3580084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本项目地理位置总平面布置图见</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附图1、</w:t>
            </w:r>
            <w:r>
              <w:rPr>
                <w:rFonts w:hint="default" w:ascii="Times New Roman" w:hAnsi="Times New Roman" w:eastAsia="宋体" w:cs="Times New Roman"/>
                <w:color w:val="000000" w:themeColor="text1"/>
                <w:sz w:val="24"/>
                <w:highlight w:val="none"/>
                <w14:textFill>
                  <w14:solidFill>
                    <w14:schemeClr w14:val="tx1"/>
                  </w14:solidFill>
                </w14:textFill>
              </w:rPr>
              <w:t>图</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sz w:val="24"/>
                <w:highlight w:val="none"/>
                <w14:textFill>
                  <w14:solidFill>
                    <w14:schemeClr w14:val="tx1"/>
                  </w14:solidFill>
                </w14:textFill>
              </w:rPr>
              <w:t>。</w:t>
            </w:r>
          </w:p>
        </w:tc>
      </w:tr>
      <w:tr w14:paraId="2A669C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65" w:hRule="atLeast"/>
          <w:jc w:val="center"/>
        </w:trPr>
        <w:tc>
          <w:tcPr>
            <w:tcW w:w="251" w:type="pct"/>
            <w:noWrap w:val="0"/>
            <w:vAlign w:val="center"/>
          </w:tcPr>
          <w:p w14:paraId="5DB14371">
            <w:pPr>
              <w:pStyle w:val="20"/>
              <w:adjustRightInd w:val="0"/>
              <w:snapToGrid w:val="0"/>
              <w:spacing w:before="0" w:beforeAutospacing="0" w:after="0" w:afterAutospacing="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Cs w:val="24"/>
                <w:highlight w:val="none"/>
                <w14:textFill>
                  <w14:solidFill>
                    <w14:schemeClr w14:val="tx1"/>
                  </w14:solidFill>
                </w14:textFill>
              </w:rPr>
              <w:t>工艺流程和产排污环节</w:t>
            </w:r>
          </w:p>
        </w:tc>
        <w:tc>
          <w:tcPr>
            <w:tcW w:w="4748" w:type="pct"/>
            <w:noWrap w:val="0"/>
            <w:vAlign w:val="top"/>
          </w:tcPr>
          <w:p w14:paraId="17393259">
            <w:pPr>
              <w:pStyle w:val="9"/>
              <w:spacing w:before="120" w:beforeLines="50" w:after="0"/>
              <w:ind w:left="0" w:leftChars="0" w:firstLine="482"/>
              <w:jc w:val="left"/>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b/>
                <w:bCs/>
                <w:color w:val="000000" w:themeColor="text1"/>
                <w:szCs w:val="24"/>
                <w:highlight w:val="none"/>
                <w14:textFill>
                  <w14:solidFill>
                    <w14:schemeClr w14:val="tx1"/>
                  </w14:solidFill>
                </w14:textFill>
              </w:rPr>
              <w:t>一、施工期主要工序及排污节点</w:t>
            </w:r>
          </w:p>
          <w:p w14:paraId="08D1BD03">
            <w:pPr>
              <w:pStyle w:val="99"/>
              <w:spacing w:before="120" w:beforeLines="50" w:line="360" w:lineRule="auto"/>
              <w:ind w:firstLineChars="200"/>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本项目的施工过程包括：土方开挖、主体工程建设、设备安装等步骤，施工过程中主要产生少量粉尘、施工废水、噪声、生活污水及施工垃圾等污染物。施工工艺流程及排污节点如</w:t>
            </w:r>
            <w:r>
              <w:rPr>
                <w:rFonts w:hint="default" w:ascii="Times New Roman" w:hAnsi="Times New Roman" w:eastAsia="宋体" w:cs="Times New Roman"/>
                <w:color w:val="000000" w:themeColor="text1"/>
                <w:highlight w:val="none"/>
                <w:lang w:val="en-US" w:eastAsia="zh-CN"/>
                <w14:textFill>
                  <w14:solidFill>
                    <w14:schemeClr w14:val="tx1"/>
                  </w14:solidFill>
                </w14:textFill>
              </w:rPr>
              <w:t>下</w:t>
            </w:r>
            <w:r>
              <w:rPr>
                <w:rFonts w:hint="default" w:ascii="Times New Roman" w:hAnsi="Times New Roman" w:eastAsia="宋体" w:cs="Times New Roman"/>
                <w:color w:val="000000" w:themeColor="text1"/>
                <w:highlight w:val="none"/>
                <w14:textFill>
                  <w14:solidFill>
                    <w14:schemeClr w14:val="tx1"/>
                  </w14:solidFill>
                </w14:textFill>
              </w:rPr>
              <w:t>图所示。</w:t>
            </w:r>
          </w:p>
          <w:p w14:paraId="08812EFC">
            <w:pPr>
              <w:pStyle w:val="14"/>
              <w:rPr>
                <w:rFonts w:hint="default" w:ascii="Times New Roman" w:hAnsi="Times New Roman" w:eastAsia="宋体" w:cs="Times New Roman"/>
                <w:color w:val="000000" w:themeColor="text1"/>
                <w:highlight w:val="none"/>
                <w14:textFill>
                  <w14:solidFill>
                    <w14:schemeClr w14:val="tx1"/>
                  </w14:solidFill>
                </w14:textFill>
              </w:rPr>
            </w:pPr>
          </w:p>
          <w:p w14:paraId="2606E09B">
            <w:pPr>
              <w:jc w:val="center"/>
              <w:rPr>
                <w:rFonts w:hint="default" w:ascii="Times New Roman" w:hAnsi="Times New Roman" w:eastAsia="宋体" w:cs="Times New Roman"/>
                <w:color w:val="000000" w:themeColor="text1"/>
                <w:sz w:val="24"/>
                <w:highlight w:val="none"/>
                <w14:textFill>
                  <w14:solidFill>
                    <w14:schemeClr w14:val="tx1"/>
                  </w14:solidFill>
                </w14:textFill>
              </w:rPr>
            </w:pPr>
            <w:r>
              <w:rPr>
                <w:color w:val="000000" w:themeColor="text1"/>
                <w:sz w:val="21"/>
                <w14:textFill>
                  <w14:solidFill>
                    <w14:schemeClr w14:val="tx1"/>
                  </w14:solidFill>
                </w14:textFill>
              </w:rPr>
              <mc:AlternateContent>
                <mc:Choice Requires="wps">
                  <w:drawing>
                    <wp:anchor distT="0" distB="0" distL="114300" distR="114300" simplePos="0" relativeHeight="251710464" behindDoc="0" locked="0" layoutInCell="1" allowOverlap="1">
                      <wp:simplePos x="0" y="0"/>
                      <wp:positionH relativeFrom="column">
                        <wp:posOffset>2778125</wp:posOffset>
                      </wp:positionH>
                      <wp:positionV relativeFrom="paragraph">
                        <wp:posOffset>259715</wp:posOffset>
                      </wp:positionV>
                      <wp:extent cx="1608455" cy="1859915"/>
                      <wp:effectExtent l="0" t="0" r="10795" b="6985"/>
                      <wp:wrapNone/>
                      <wp:docPr id="87" name="文本框 87"/>
                      <wp:cNvGraphicFramePr/>
                      <a:graphic xmlns:a="http://schemas.openxmlformats.org/drawingml/2006/main">
                        <a:graphicData uri="http://schemas.microsoft.com/office/word/2010/wordprocessingShape">
                          <wps:wsp>
                            <wps:cNvSpPr txBox="1"/>
                            <wps:spPr>
                              <a:xfrm>
                                <a:off x="0" y="0"/>
                                <a:ext cx="1608455" cy="1859915"/>
                              </a:xfrm>
                              <a:prstGeom prst="rect">
                                <a:avLst/>
                              </a:prstGeom>
                              <a:solidFill>
                                <a:srgbClr val="FFFFFF"/>
                              </a:solidFill>
                              <a:ln>
                                <a:noFill/>
                              </a:ln>
                            </wps:spPr>
                            <wps:txbx>
                              <w:txbxContent>
                                <w:p w14:paraId="6AB1B805"/>
                              </w:txbxContent>
                            </wps:txbx>
                            <wps:bodyPr upright="1"/>
                          </wps:wsp>
                        </a:graphicData>
                      </a:graphic>
                    </wp:anchor>
                  </w:drawing>
                </mc:Choice>
                <mc:Fallback>
                  <w:pict>
                    <v:shape id="_x0000_s1026" o:spid="_x0000_s1026" o:spt="202" type="#_x0000_t202" style="position:absolute;left:0pt;margin-left:218.75pt;margin-top:20.45pt;height:146.45pt;width:126.65pt;z-index:251710464;mso-width-relative:page;mso-height-relative:page;" fillcolor="#FFFFFF" filled="t" stroked="f" coordsize="21600,21600" o:gfxdata="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CAPeg7YAAAACgEAAA8AAAAAAAAAAQAgAAAAIgAAAGRycy9kb3ducmV2&#10;LnhtbFBLAQIUABQAAAAIAIdO4kDdmcZXwwEAAHoDAAAOAAAAAAAAAAEAIAAAACcBAABkcnMvZTJv&#10;RG9jLnhtbFBLBQYAAAAABgAGAFkBAABcBQAAAAA=&#10;">
                      <v:fill on="t" focussize="0,0"/>
                      <v:stroke on="f"/>
                      <v:imagedata o:title=""/>
                      <o:lock v:ext="edit" aspectratio="f"/>
                      <v:textbox>
                        <w:txbxContent>
                          <w:p w14:paraId="6AB1B805"/>
                        </w:txbxContent>
                      </v:textbox>
                    </v:shape>
                  </w:pict>
                </mc:Fallback>
              </mc:AlternateContent>
            </w:r>
            <w:r>
              <w:rPr>
                <w:rFonts w:hint="default" w:ascii="Times New Roman" w:hAnsi="Times New Roman" w:cs="Times New Roman"/>
                <w:color w:val="000000" w:themeColor="text1"/>
                <w:sz w:val="21"/>
                <w:highlight w:val="none"/>
                <w14:textFill>
                  <w14:solidFill>
                    <w14:schemeClr w14:val="tx1"/>
                  </w14:solidFill>
                </w14:textFill>
              </w:rPr>
              <mc:AlternateContent>
                <mc:Choice Requires="wps">
                  <w:drawing>
                    <wp:anchor distT="0" distB="0" distL="114300" distR="114300" simplePos="0" relativeHeight="251691008" behindDoc="0" locked="0" layoutInCell="1" allowOverlap="1">
                      <wp:simplePos x="0" y="0"/>
                      <wp:positionH relativeFrom="column">
                        <wp:posOffset>2564130</wp:posOffset>
                      </wp:positionH>
                      <wp:positionV relativeFrom="paragraph">
                        <wp:posOffset>27305</wp:posOffset>
                      </wp:positionV>
                      <wp:extent cx="961390" cy="2037715"/>
                      <wp:effectExtent l="0" t="0" r="3810" b="6985"/>
                      <wp:wrapNone/>
                      <wp:docPr id="35" name="文本框 197"/>
                      <wp:cNvGraphicFramePr/>
                      <a:graphic xmlns:a="http://schemas.openxmlformats.org/drawingml/2006/main">
                        <a:graphicData uri="http://schemas.microsoft.com/office/word/2010/wordprocessingShape">
                          <wps:wsp>
                            <wps:cNvSpPr txBox="1"/>
                            <wps:spPr>
                              <a:xfrm>
                                <a:off x="0" y="0"/>
                                <a:ext cx="961390" cy="2037715"/>
                              </a:xfrm>
                              <a:prstGeom prst="rect">
                                <a:avLst/>
                              </a:prstGeom>
                              <a:solidFill>
                                <a:srgbClr val="FFFFFF"/>
                              </a:solidFill>
                              <a:ln>
                                <a:noFill/>
                              </a:ln>
                            </wps:spPr>
                            <wps:txbx>
                              <w:txbxContent>
                                <w:p w14:paraId="53A41751"/>
                              </w:txbxContent>
                            </wps:txbx>
                            <wps:bodyPr upright="1"/>
                          </wps:wsp>
                        </a:graphicData>
                      </a:graphic>
                    </wp:anchor>
                  </w:drawing>
                </mc:Choice>
                <mc:Fallback>
                  <w:pict>
                    <v:shape id="文本框 197" o:spid="_x0000_s1026" o:spt="202" type="#_x0000_t202" style="position:absolute;left:0pt;margin-left:201.9pt;margin-top:2.15pt;height:160.45pt;width:75.7pt;z-index:251691008;mso-width-relative:page;mso-height-relative:page;" fillcolor="#FFFFFF" filled="t" stroked="f" coordsize="21600,21600" o:gfxdata="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xblp59cAAAAJAQAADwAAAAAAAAABACAAAAAiAAAAZHJzL2Rvd25yZXYu&#10;eG1sUEsBAhQAFAAAAAgAh07iQPFlLjXDAQAAegMAAA4AAAAAAAAAAQAgAAAAJgEAAGRycy9lMm9E&#10;b2MueG1sUEsFBgAAAAAGAAYAWQEAAFsFAAAAAA==&#10;">
                      <v:fill on="t" focussize="0,0"/>
                      <v:stroke on="f"/>
                      <v:imagedata o:title=""/>
                      <o:lock v:ext="edit" aspectratio="f"/>
                      <v:textbox>
                        <w:txbxContent>
                          <w:p w14:paraId="53A41751"/>
                        </w:txbxContent>
                      </v:textbox>
                    </v:shape>
                  </w:pict>
                </mc:Fallback>
              </mc:AlternateContent>
            </w:r>
            <w:r>
              <w:rPr>
                <w:rFonts w:hint="default" w:ascii="Times New Roman" w:hAnsi="Times New Roman" w:cs="Times New Roman"/>
                <w:color w:val="000000" w:themeColor="text1"/>
                <w:highlight w:val="none"/>
                <w14:textFill>
                  <w14:solidFill>
                    <w14:schemeClr w14:val="tx1"/>
                  </w14:solidFill>
                </w14:textFill>
              </w:rPr>
              <w:drawing>
                <wp:inline distT="0" distB="0" distL="114300" distR="114300">
                  <wp:extent cx="4784725" cy="3879215"/>
                  <wp:effectExtent l="0" t="0" r="3175" b="6985"/>
                  <wp:docPr id="4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7"/>
                          <pic:cNvPicPr>
                            <a:picLocks noChangeAspect="1"/>
                          </pic:cNvPicPr>
                        </pic:nvPicPr>
                        <pic:blipFill>
                          <a:blip r:embed="rId18"/>
                          <a:stretch>
                            <a:fillRect/>
                          </a:stretch>
                        </pic:blipFill>
                        <pic:spPr>
                          <a:xfrm>
                            <a:off x="0" y="0"/>
                            <a:ext cx="4784725" cy="3879215"/>
                          </a:xfrm>
                          <a:prstGeom prst="rect">
                            <a:avLst/>
                          </a:prstGeom>
                          <a:noFill/>
                          <a:ln>
                            <a:noFill/>
                          </a:ln>
                        </pic:spPr>
                      </pic:pic>
                    </a:graphicData>
                  </a:graphic>
                </wp:inline>
              </w:drawing>
            </w:r>
          </w:p>
          <w:p w14:paraId="328D310C">
            <w:pPr>
              <w:tabs>
                <w:tab w:val="left" w:pos="180"/>
              </w:tabs>
              <w:snapToGrid w:val="0"/>
              <w:spacing w:line="360" w:lineRule="auto"/>
              <w:ind w:firstLine="422"/>
              <w:jc w:val="center"/>
              <w:rPr>
                <w:rFonts w:hint="default" w:ascii="Times New Roman" w:hAnsi="Times New Roman" w:cs="Times New Roman"/>
                <w:b/>
                <w:color w:val="000000" w:themeColor="text1"/>
                <w:sz w:val="24"/>
                <w:highlight w:val="none"/>
                <w14:textFill>
                  <w14:solidFill>
                    <w14:schemeClr w14:val="tx1"/>
                  </w14:solidFill>
                </w14:textFill>
              </w:rPr>
            </w:pPr>
            <w:r>
              <w:rPr>
                <w:rFonts w:hint="default" w:ascii="Times New Roman" w:hAnsi="Times New Roman" w:cs="Times New Roman"/>
                <w:b/>
                <w:color w:val="000000" w:themeColor="text1"/>
                <w:sz w:val="24"/>
                <w:highlight w:val="none"/>
                <w14:textFill>
                  <w14:solidFill>
                    <w14:schemeClr w14:val="tx1"/>
                  </w14:solidFill>
                </w14:textFill>
              </w:rPr>
              <w:t>图2-</w:t>
            </w:r>
            <w:r>
              <w:rPr>
                <w:rFonts w:hint="default" w:ascii="Times New Roman" w:hAnsi="Times New Roman" w:cs="Times New Roman"/>
                <w:b/>
                <w:color w:val="000000" w:themeColor="text1"/>
                <w:sz w:val="24"/>
                <w:highlight w:val="none"/>
                <w:lang w:val="en-US" w:eastAsia="zh-CN"/>
                <w14:textFill>
                  <w14:solidFill>
                    <w14:schemeClr w14:val="tx1"/>
                  </w14:solidFill>
                </w14:textFill>
              </w:rPr>
              <w:t>3</w:t>
            </w:r>
            <w:r>
              <w:rPr>
                <w:rFonts w:hint="default" w:ascii="Times New Roman" w:hAnsi="Times New Roman" w:cs="Times New Roman"/>
                <w:b/>
                <w:color w:val="000000" w:themeColor="text1"/>
                <w:sz w:val="24"/>
                <w:highlight w:val="none"/>
                <w14:textFill>
                  <w14:solidFill>
                    <w14:schemeClr w14:val="tx1"/>
                  </w14:solidFill>
                </w14:textFill>
              </w:rPr>
              <w:t>建设项目施工期工艺流程及产污环节图</w:t>
            </w:r>
          </w:p>
          <w:p w14:paraId="46EACF4B">
            <w:pPr>
              <w:snapToGrid w:val="0"/>
              <w:spacing w:line="360" w:lineRule="auto"/>
              <w:ind w:firstLine="482" w:firstLineChars="200"/>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b/>
                <w:bCs/>
                <w:color w:val="000000" w:themeColor="text1"/>
                <w:sz w:val="24"/>
                <w:highlight w:val="none"/>
                <w14:textFill>
                  <w14:solidFill>
                    <w14:schemeClr w14:val="tx1"/>
                  </w14:solidFill>
                </w14:textFill>
              </w:rPr>
              <w:t>工艺流程说明：</w:t>
            </w:r>
          </w:p>
          <w:p w14:paraId="39C6FBB6">
            <w:pPr>
              <w:autoSpaceDE w:val="0"/>
              <w:autoSpaceDN w:val="0"/>
              <w:snapToGrid w:val="0"/>
              <w:spacing w:line="360" w:lineRule="auto"/>
              <w:ind w:right="96" w:firstLine="480" w:firstLineChars="200"/>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①场平工程：通过对施工场地进行前期施工测量，并提出合理的土石方调配方案，选择符合要求的施工机械，在以上基础上得出较为完善的施工组织计划，通过场地土石方的填筑作业和建立必要的、能够满足施工要求的供水、排水、供电、道路以及临时建筑等基础设施，保证下一阶段施工能顺利开展。主要污染物为：粉尘、废水、施工噪声及工程弃渣。</w:t>
            </w:r>
          </w:p>
          <w:p w14:paraId="410A25F5">
            <w:pPr>
              <w:spacing w:line="360" w:lineRule="auto"/>
              <w:ind w:firstLine="480" w:firstLineChars="20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②</w:t>
            </w:r>
            <w:r>
              <w:rPr>
                <w:rFonts w:hint="default" w:ascii="Times New Roman" w:hAnsi="Times New Roman" w:cs="Times New Roman"/>
                <w:color w:val="000000" w:themeColor="text1"/>
                <w:sz w:val="24"/>
                <w:highlight w:val="none"/>
                <w:lang w:eastAsia="zh-CN"/>
                <w14:textFill>
                  <w14:solidFill>
                    <w14:schemeClr w14:val="tx1"/>
                  </w14:solidFill>
                </w14:textFill>
              </w:rPr>
              <w:t>基坑开挖</w:t>
            </w:r>
            <w:r>
              <w:rPr>
                <w:rFonts w:hint="default" w:ascii="Times New Roman" w:hAnsi="Times New Roman" w:cs="Times New Roman"/>
                <w:color w:val="000000" w:themeColor="text1"/>
                <w:sz w:val="24"/>
                <w:highlight w:val="none"/>
                <w14:textFill>
                  <w14:solidFill>
                    <w14:schemeClr w14:val="tx1"/>
                  </w14:solidFill>
                </w14:textFill>
              </w:rPr>
              <w:t>工程：</w:t>
            </w:r>
            <w:r>
              <w:rPr>
                <w:rFonts w:hint="default" w:ascii="Times New Roman" w:hAnsi="Times New Roman" w:cs="Times New Roman"/>
                <w:color w:val="000000" w:themeColor="text1"/>
                <w:sz w:val="24"/>
                <w:highlight w:val="none"/>
                <w:lang w:eastAsia="zh-CN"/>
                <w14:textFill>
                  <w14:solidFill>
                    <w14:schemeClr w14:val="tx1"/>
                  </w14:solidFill>
                </w14:textFill>
              </w:rPr>
              <w:t>基坑开挖</w:t>
            </w:r>
            <w:r>
              <w:rPr>
                <w:rFonts w:hint="default" w:ascii="Times New Roman" w:hAnsi="Times New Roman" w:cs="Times New Roman"/>
                <w:color w:val="000000" w:themeColor="text1"/>
                <w:sz w:val="24"/>
                <w:highlight w:val="none"/>
                <w14:textFill>
                  <w14:solidFill>
                    <w14:schemeClr w14:val="tx1"/>
                  </w14:solidFill>
                </w14:textFill>
              </w:rPr>
              <w:t>工程主要施工工艺为：场地测量定位→机械进场→土石方开挖→人工修边角→基底平整→基底普探，主要采用挖掘机、装载机及自卸汽车等施工机械，按照设计要求，开挖出符合主体工程施工要求的基础，保证下一阶段主体工程顺利开展。主要污染物为：粉尘、废水、施工噪声及工</w:t>
            </w:r>
            <w:r>
              <w:rPr>
                <w:rFonts w:hint="default" w:ascii="Times New Roman" w:hAnsi="Times New Roman" w:eastAsia="宋体" w:cs="Times New Roman"/>
                <w:color w:val="000000" w:themeColor="text1"/>
                <w:sz w:val="24"/>
                <w:highlight w:val="none"/>
                <w14:textFill>
                  <w14:solidFill>
                    <w14:schemeClr w14:val="tx1"/>
                  </w14:solidFill>
                </w14:textFill>
              </w:rPr>
              <w:t>程弃渣。</w:t>
            </w:r>
          </w:p>
          <w:p w14:paraId="5B4513DC">
            <w:pPr>
              <w:spacing w:line="360" w:lineRule="auto"/>
              <w:ind w:firstLine="480" w:firstLineChars="200"/>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③主体工程：主体工程主要施工工艺为：施工测量放线→</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基础混凝土内预埋螺栓</w:t>
            </w:r>
            <w:r>
              <w:rPr>
                <w:rFonts w:hint="default" w:ascii="Times New Roman" w:hAnsi="Times New Roman" w:eastAsia="宋体" w:cs="Times New Roman"/>
                <w:color w:val="000000" w:themeColor="text1"/>
                <w:sz w:val="24"/>
                <w:highlight w:val="none"/>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钢结构安装</w:t>
            </w:r>
            <w:r>
              <w:rPr>
                <w:rFonts w:hint="default" w:ascii="Times New Roman" w:hAnsi="Times New Roman" w:eastAsia="宋体" w:cs="Times New Roman"/>
                <w:color w:val="000000" w:themeColor="text1"/>
                <w:sz w:val="24"/>
                <w:highlight w:val="none"/>
                <w14:textFill>
                  <w14:solidFill>
                    <w14:schemeClr w14:val="tx1"/>
                  </w14:solidFill>
                </w14:textFill>
              </w:rPr>
              <w:t>，主要采用塔吊、自卸汽车、起升机、钢筋折弯机、</w:t>
            </w:r>
            <w:r>
              <w:rPr>
                <w:rFonts w:hint="default" w:ascii="Times New Roman" w:hAnsi="Times New Roman" w:cs="Times New Roman"/>
                <w:color w:val="000000" w:themeColor="text1"/>
                <w:sz w:val="24"/>
                <w:highlight w:val="none"/>
                <w14:textFill>
                  <w14:solidFill>
                    <w14:schemeClr w14:val="tx1"/>
                  </w14:solidFill>
                </w14:textFill>
              </w:rPr>
              <w:t>电焊机及万能木工圆锯等施工机械。主要污染物为：粉尘、废水、施工噪声及建筑垃圾。</w:t>
            </w:r>
          </w:p>
          <w:p w14:paraId="297631D0">
            <w:pPr>
              <w:snapToGrid w:val="0"/>
              <w:spacing w:line="360" w:lineRule="auto"/>
              <w:ind w:firstLine="480" w:firstLineChars="200"/>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fldChar w:fldCharType="begin"/>
            </w:r>
            <w:r>
              <w:rPr>
                <w:rFonts w:hint="default" w:ascii="Times New Roman" w:hAnsi="Times New Roman" w:cs="Times New Roman"/>
                <w:color w:val="000000" w:themeColor="text1"/>
                <w:sz w:val="24"/>
                <w:highlight w:val="none"/>
                <w14:textFill>
                  <w14:solidFill>
                    <w14:schemeClr w14:val="tx1"/>
                  </w14:solidFill>
                </w14:textFill>
              </w:rPr>
              <w:instrText xml:space="preserve"> = 4 \* GB3 \* MERGEFORMAT </w:instrText>
            </w:r>
            <w:r>
              <w:rPr>
                <w:rFonts w:hint="default" w:ascii="Times New Roman" w:hAnsi="Times New Roman" w:cs="Times New Roman"/>
                <w:color w:val="000000" w:themeColor="text1"/>
                <w:sz w:val="24"/>
                <w:highlight w:val="none"/>
                <w14:textFill>
                  <w14:solidFill>
                    <w14:schemeClr w14:val="tx1"/>
                  </w14:solidFill>
                </w14:textFill>
              </w:rPr>
              <w:fldChar w:fldCharType="separate"/>
            </w:r>
            <w:r>
              <w:rPr>
                <w:rFonts w:hint="default" w:ascii="Times New Roman" w:hAnsi="Times New Roman" w:cs="Times New Roman"/>
                <w:color w:val="000000" w:themeColor="text1"/>
                <w:sz w:val="24"/>
                <w:highlight w:val="none"/>
                <w14:textFill>
                  <w14:solidFill>
                    <w14:schemeClr w14:val="tx1"/>
                  </w14:solidFill>
                </w14:textFill>
              </w:rPr>
              <w:t>④</w:t>
            </w:r>
            <w:r>
              <w:rPr>
                <w:rFonts w:hint="default" w:ascii="Times New Roman" w:hAnsi="Times New Roman" w:cs="Times New Roman"/>
                <w:color w:val="000000" w:themeColor="text1"/>
                <w:sz w:val="24"/>
                <w:highlight w:val="none"/>
                <w14:textFill>
                  <w14:solidFill>
                    <w14:schemeClr w14:val="tx1"/>
                  </w14:solidFill>
                </w14:textFill>
              </w:rPr>
              <w:fldChar w:fldCharType="end"/>
            </w:r>
            <w:r>
              <w:rPr>
                <w:rFonts w:hint="default" w:ascii="Times New Roman" w:hAnsi="Times New Roman" w:cs="Times New Roman"/>
                <w:color w:val="000000" w:themeColor="text1"/>
                <w:sz w:val="24"/>
                <w:highlight w:val="none"/>
                <w14:textFill>
                  <w14:solidFill>
                    <w14:schemeClr w14:val="tx1"/>
                  </w14:solidFill>
                </w14:textFill>
              </w:rPr>
              <w:t>装饰工程：装饰装修工程是为保护建筑物的主体结构、完善建筑物的物理性能、使用功能和美化建筑物，采用装饰装修材料或饰物对建筑物的内外表面及空间进行的各种处理过程。主要采用电动台锯、手电钻、电刨、空压机、砂轮机</w:t>
            </w:r>
            <w:r>
              <w:rPr>
                <w:rFonts w:hint="default" w:ascii="Times New Roman" w:hAnsi="Times New Roman" w:cs="Times New Roman"/>
                <w:color w:val="000000" w:themeColor="text1"/>
                <w:sz w:val="24"/>
                <w:highlight w:val="none"/>
                <w:lang w:eastAsia="zh-CN"/>
                <w14:textFill>
                  <w14:solidFill>
                    <w14:schemeClr w14:val="tx1"/>
                  </w14:solidFill>
                </w14:textFill>
              </w:rPr>
              <w:t>及</w:t>
            </w:r>
            <w:r>
              <w:rPr>
                <w:rFonts w:hint="default" w:ascii="Times New Roman" w:hAnsi="Times New Roman" w:cs="Times New Roman"/>
                <w:color w:val="000000" w:themeColor="text1"/>
                <w:sz w:val="24"/>
                <w:highlight w:val="none"/>
                <w14:textFill>
                  <w14:solidFill>
                    <w14:schemeClr w14:val="tx1"/>
                  </w14:solidFill>
                </w14:textFill>
              </w:rPr>
              <w:t>电焊机等。主要污染物为：粉尘及有机废气、废水、施工噪声、建筑垃圾及危险废物。</w:t>
            </w:r>
          </w:p>
          <w:p w14:paraId="6F069F5C">
            <w:pPr>
              <w:keepNext w:val="0"/>
              <w:keepLines w:val="0"/>
              <w:pageBreakBefore w:val="0"/>
              <w:widowControl w:val="0"/>
              <w:kinsoku/>
              <w:wordWrap/>
              <w:overflowPunct/>
              <w:topLinePunct w:val="0"/>
              <w:autoSpaceDE/>
              <w:autoSpaceDN/>
              <w:bidi w:val="0"/>
              <w:adjustRightInd/>
              <w:snapToGrid/>
              <w:spacing w:before="120" w:beforeLines="50" w:line="360" w:lineRule="auto"/>
              <w:ind w:firstLine="480" w:firstLineChars="20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fldChar w:fldCharType="begin"/>
            </w:r>
            <w:r>
              <w:rPr>
                <w:rFonts w:hint="default" w:ascii="Times New Roman" w:hAnsi="Times New Roman" w:cs="Times New Roman"/>
                <w:color w:val="000000" w:themeColor="text1"/>
                <w:sz w:val="24"/>
                <w:highlight w:val="none"/>
                <w14:textFill>
                  <w14:solidFill>
                    <w14:schemeClr w14:val="tx1"/>
                  </w14:solidFill>
                </w14:textFill>
              </w:rPr>
              <w:instrText xml:space="preserve"> = 5 \* GB3 \* MERGEFORMAT </w:instrText>
            </w:r>
            <w:r>
              <w:rPr>
                <w:rFonts w:hint="default" w:ascii="Times New Roman" w:hAnsi="Times New Roman" w:cs="Times New Roman"/>
                <w:color w:val="000000" w:themeColor="text1"/>
                <w:sz w:val="24"/>
                <w:highlight w:val="none"/>
                <w14:textFill>
                  <w14:solidFill>
                    <w14:schemeClr w14:val="tx1"/>
                  </w14:solidFill>
                </w14:textFill>
              </w:rPr>
              <w:fldChar w:fldCharType="separate"/>
            </w:r>
            <w:r>
              <w:rPr>
                <w:rFonts w:hint="default" w:ascii="Times New Roman" w:hAnsi="Times New Roman" w:cs="Times New Roman"/>
                <w:color w:val="000000" w:themeColor="text1"/>
                <w:sz w:val="24"/>
                <w:highlight w:val="none"/>
                <w14:textFill>
                  <w14:solidFill>
                    <w14:schemeClr w14:val="tx1"/>
                  </w14:solidFill>
                </w14:textFill>
              </w:rPr>
              <w:t>⑤</w:t>
            </w:r>
            <w:r>
              <w:rPr>
                <w:rFonts w:hint="default" w:ascii="Times New Roman" w:hAnsi="Times New Roman" w:cs="Times New Roman"/>
                <w:color w:val="000000" w:themeColor="text1"/>
                <w:sz w:val="24"/>
                <w:highlight w:val="none"/>
                <w14:textFill>
                  <w14:solidFill>
                    <w14:schemeClr w14:val="tx1"/>
                  </w14:solidFill>
                </w14:textFill>
              </w:rPr>
              <w:fldChar w:fldCharType="end"/>
            </w:r>
            <w:r>
              <w:rPr>
                <w:rFonts w:hint="default" w:ascii="Times New Roman" w:hAnsi="Times New Roman" w:cs="Times New Roman"/>
                <w:color w:val="000000" w:themeColor="text1"/>
                <w:sz w:val="24"/>
                <w:highlight w:val="none"/>
                <w14:textFill>
                  <w14:solidFill>
                    <w14:schemeClr w14:val="tx1"/>
                  </w14:solidFill>
                </w14:textFill>
              </w:rPr>
              <w:t>安装工程：安装工程包括各种设备、装置的安装工程，通常包括电气、通风、给排水</w:t>
            </w:r>
            <w:r>
              <w:rPr>
                <w:rFonts w:hint="default" w:ascii="Times New Roman" w:hAnsi="Times New Roman" w:cs="Times New Roman"/>
                <w:color w:val="000000" w:themeColor="text1"/>
                <w:spacing w:val="-5"/>
                <w:sz w:val="24"/>
                <w:highlight w:val="none"/>
                <w14:textFill>
                  <w14:solidFill>
                    <w14:schemeClr w14:val="tx1"/>
                  </w14:solidFill>
                </w14:textFill>
              </w:rPr>
              <w:t>以及设备安装等工作内容。主要采用剪板机、联合角咬</w:t>
            </w:r>
            <w:r>
              <w:rPr>
                <w:rFonts w:hint="default" w:ascii="Times New Roman" w:hAnsi="Times New Roman" w:cs="Times New Roman"/>
                <w:color w:val="000000" w:themeColor="text1"/>
                <w:spacing w:val="-5"/>
                <w:sz w:val="24"/>
                <w:highlight w:val="none"/>
                <w:lang w:eastAsia="zh-CN"/>
                <w14:textFill>
                  <w14:solidFill>
                    <w14:schemeClr w14:val="tx1"/>
                  </w14:solidFill>
                </w14:textFill>
              </w:rPr>
              <w:t>扣机</w:t>
            </w:r>
            <w:r>
              <w:rPr>
                <w:rFonts w:hint="default" w:ascii="Times New Roman" w:hAnsi="Times New Roman" w:cs="Times New Roman"/>
                <w:color w:val="000000" w:themeColor="text1"/>
                <w:spacing w:val="-5"/>
                <w:sz w:val="24"/>
                <w:highlight w:val="none"/>
                <w14:textFill>
                  <w14:solidFill>
                    <w14:schemeClr w14:val="tx1"/>
                  </w14:solidFill>
                </w14:textFill>
              </w:rPr>
              <w:t>、汽车吊、电焊机、</w:t>
            </w:r>
            <w:r>
              <w:rPr>
                <w:rFonts w:hint="default" w:ascii="Times New Roman" w:hAnsi="Times New Roman" w:cs="Times New Roman"/>
                <w:color w:val="000000" w:themeColor="text1"/>
                <w:spacing w:val="-5"/>
                <w:sz w:val="24"/>
                <w:highlight w:val="none"/>
                <w:lang w:eastAsia="zh-CN"/>
                <w14:textFill>
                  <w14:solidFill>
                    <w14:schemeClr w14:val="tx1"/>
                  </w14:solidFill>
                </w14:textFill>
              </w:rPr>
              <w:t>砂轮切割机</w:t>
            </w:r>
            <w:r>
              <w:rPr>
                <w:rFonts w:hint="default" w:ascii="Times New Roman" w:hAnsi="Times New Roman" w:cs="Times New Roman"/>
                <w:color w:val="000000" w:themeColor="text1"/>
                <w:sz w:val="24"/>
                <w:highlight w:val="none"/>
                <w14:textFill>
                  <w14:solidFill>
                    <w14:schemeClr w14:val="tx1"/>
                  </w14:solidFill>
                </w14:textFill>
              </w:rPr>
              <w:t>、手电钻等。主要污染物为：粉尘、废水、施工噪声、建筑垃圾及危险废物。</w:t>
            </w:r>
          </w:p>
          <w:p w14:paraId="5C15B172">
            <w:pPr>
              <w:pStyle w:val="9"/>
              <w:spacing w:before="120" w:beforeLines="50" w:after="0" w:line="360" w:lineRule="auto"/>
              <w:ind w:left="0" w:leftChars="0" w:firstLine="482"/>
              <w:jc w:val="both"/>
              <w:rPr>
                <w:rFonts w:hint="default" w:ascii="Times New Roman" w:hAnsi="Times New Roman" w:eastAsia="宋体" w:cs="Times New Roman"/>
                <w:b/>
                <w:bCs/>
                <w:color w:val="000000" w:themeColor="text1"/>
                <w:szCs w:val="24"/>
                <w:highlight w:val="none"/>
                <w14:textFill>
                  <w14:solidFill>
                    <w14:schemeClr w14:val="tx1"/>
                  </w14:solidFill>
                </w14:textFill>
              </w:rPr>
            </w:pPr>
            <w:r>
              <w:rPr>
                <w:rFonts w:hint="default" w:ascii="Times New Roman" w:hAnsi="Times New Roman" w:eastAsia="宋体" w:cs="Times New Roman"/>
                <w:b/>
                <w:bCs/>
                <w:color w:val="000000" w:themeColor="text1"/>
                <w:szCs w:val="24"/>
                <w:highlight w:val="none"/>
                <w14:textFill>
                  <w14:solidFill>
                    <w14:schemeClr w14:val="tx1"/>
                  </w14:solidFill>
                </w14:textFill>
              </w:rPr>
              <w:t>二、营运期工作流程及排污节点</w:t>
            </w:r>
          </w:p>
          <w:p w14:paraId="5DB00445">
            <w:pPr>
              <w:spacing w:line="360" w:lineRule="auto"/>
              <w:ind w:firstLine="482" w:firstLineChars="200"/>
              <w:jc w:val="both"/>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t>1</w:t>
            </w:r>
            <w:r>
              <w:rPr>
                <w:rFonts w:hint="default" w:ascii="Times New Roman" w:hAnsi="Times New Roman" w:eastAsia="宋体" w:cs="Times New Roman"/>
                <w:b/>
                <w:bCs/>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t>高岭土生产工艺流程及产排污环节</w:t>
            </w:r>
          </w:p>
          <w:p w14:paraId="2E061A75">
            <w:pPr>
              <w:spacing w:line="360" w:lineRule="auto"/>
              <w:ind w:firstLine="480" w:firstLineChars="200"/>
              <w:jc w:val="both"/>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1）煅烧原理</w:t>
            </w:r>
            <w:r>
              <w:rPr>
                <w:rFonts w:hint="default" w:ascii="Times New Roman" w:hAnsi="Times New Roman" w:cs="Times New Roman"/>
                <w:color w:val="000000" w:themeColor="text1"/>
                <w:sz w:val="24"/>
                <w:highlight w:val="none"/>
                <w:lang w:val="en-US" w:eastAsia="zh-CN"/>
                <w14:textFill>
                  <w14:solidFill>
                    <w14:schemeClr w14:val="tx1"/>
                  </w14:solidFill>
                </w14:textFill>
              </w:rPr>
              <w:t>和生产方法</w:t>
            </w:r>
          </w:p>
          <w:p w14:paraId="0D6342EC">
            <w:pPr>
              <w:spacing w:line="360" w:lineRule="auto"/>
              <w:ind w:firstLine="480" w:firstLineChars="200"/>
              <w:jc w:val="both"/>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煅烧的主要目的是去除结晶水，提高氧化铝、二氧化硅含量。煤系高岭土在加热过程中脱水、分解、析出新相等变化较为复杂，主要包括两个阶段</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脱水阶段与脱水后产物的转化阶段。</w:t>
            </w:r>
          </w:p>
          <w:p w14:paraId="521965AA">
            <w:pPr>
              <w:spacing w:line="360" w:lineRule="auto"/>
              <w:ind w:firstLine="480" w:firstLineChars="200"/>
              <w:jc w:val="both"/>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本项目采用四级预热器+悬浮炉＋回转窑</w:t>
            </w:r>
            <w:r>
              <w:rPr>
                <w:rFonts w:hint="default" w:ascii="Times New Roman" w:hAnsi="Times New Roman" w:cs="Times New Roman"/>
                <w:color w:val="000000" w:themeColor="text1"/>
                <w:sz w:val="24"/>
                <w:highlight w:val="none"/>
                <w:lang w:val="en-US" w:eastAsia="zh-CN"/>
                <w14:textFill>
                  <w14:solidFill>
                    <w14:schemeClr w14:val="tx1"/>
                  </w14:solidFill>
                </w14:textFill>
              </w:rPr>
              <w:t>煅烧</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＋高温粉体冷却机制备高活性高岭土生产工艺。</w:t>
            </w:r>
          </w:p>
          <w:p w14:paraId="07607B31">
            <w:pPr>
              <w:spacing w:line="360" w:lineRule="auto"/>
              <w:ind w:firstLine="480" w:firstLineChars="200"/>
              <w:jc w:val="both"/>
              <w:rPr>
                <w:rFonts w:hint="default" w:ascii="Times New Roman" w:hAnsi="Times New Roman"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在煤矸石低位热值为600kCal/kg时，煅烧高岭土1号产品（用于陶瓷釉料）烧成热耗480kCal/kg；煅烧高岭土2号产品（用于玻纤原料）烧成热耗240kCal/kg。煅烧高岭土1号产品</w:t>
            </w:r>
            <w:r>
              <w:rPr>
                <w:rFonts w:hint="default" w:ascii="Times New Roman" w:hAnsi="Times New Roman" w:cs="Times New Roman"/>
                <w:color w:val="000000" w:themeColor="text1"/>
                <w:sz w:val="24"/>
                <w:highlight w:val="none"/>
                <w:lang w:val="en-US" w:eastAsia="zh-CN"/>
                <w14:textFill>
                  <w14:solidFill>
                    <w14:schemeClr w14:val="tx1"/>
                  </w14:solidFill>
                </w14:textFill>
              </w:rPr>
              <w:t>和2</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号产品</w:t>
            </w:r>
            <w:r>
              <w:rPr>
                <w:rFonts w:hint="default" w:ascii="Times New Roman" w:hAnsi="Times New Roman" w:cs="Times New Roman"/>
                <w:color w:val="000000" w:themeColor="text1"/>
                <w:sz w:val="24"/>
                <w:highlight w:val="none"/>
                <w:lang w:val="en-US" w:eastAsia="zh-CN"/>
                <w14:textFill>
                  <w14:solidFill>
                    <w14:schemeClr w14:val="tx1"/>
                  </w14:solidFill>
                </w14:textFill>
              </w:rPr>
              <w:t>所用燃料量不同。</w:t>
            </w:r>
          </w:p>
          <w:p w14:paraId="76759C00">
            <w:pPr>
              <w:pStyle w:val="8"/>
              <w:spacing w:line="360" w:lineRule="auto"/>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物料走向：生料→预热器预热→悬浮炉完成大部分碳酸盐分解→回转窑完成熟料烧成→冷却→成品仓库。</w:t>
            </w:r>
          </w:p>
          <w:p w14:paraId="08F20010">
            <w:pPr>
              <w:spacing w:line="360" w:lineRule="auto"/>
              <w:ind w:firstLine="480" w:firstLineChars="200"/>
              <w:jc w:val="both"/>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核心热源循环：</w:t>
            </w:r>
            <w:r>
              <w:rPr>
                <w:rFonts w:hint="default" w:ascii="Times New Roman" w:hAnsi="Times New Roman" w:cs="Times New Roman"/>
                <w:color w:val="000000" w:themeColor="text1"/>
                <w:sz w:val="24"/>
                <w:highlight w:val="none"/>
                <w:lang w:val="en-US" w:eastAsia="zh-CN"/>
                <w14:textFill>
                  <w14:solidFill>
                    <w14:schemeClr w14:val="tx1"/>
                  </w14:solidFill>
                </w14:textFill>
              </w:rPr>
              <w:t>冷却系统</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回收高温热风→分二路（二次风去回转窑、三次风去悬浮炉），为焙烧提供热量；</w:t>
            </w:r>
          </w:p>
          <w:p w14:paraId="151F0D5D">
            <w:pPr>
              <w:spacing w:line="360" w:lineRule="auto"/>
              <w:ind w:firstLine="480" w:firstLineChars="200"/>
              <w:jc w:val="both"/>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废气排放路径：悬浮炉燃烧产生的烟气→进入预热器，加热生料后降温→经收尘、脱硫处理后达标排放；</w:t>
            </w:r>
          </w:p>
          <w:p w14:paraId="536E269A">
            <w:pPr>
              <w:spacing w:line="360" w:lineRule="auto"/>
              <w:ind w:firstLine="480" w:firstLineChars="200"/>
              <w:jc w:val="both"/>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燃料燃烧</w:t>
            </w:r>
            <w:r>
              <w:rPr>
                <w:rFonts w:hint="default" w:ascii="Times New Roman" w:hAnsi="Times New Roman" w:cs="Times New Roman"/>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回转窑需喷入燃料，燃烧所需空气来自篦冷机热风+部分冷空气。</w:t>
            </w:r>
          </w:p>
          <w:p w14:paraId="1994E44E">
            <w:pPr>
              <w:spacing w:line="360" w:lineRule="auto"/>
              <w:ind w:firstLine="480" w:firstLineChars="200"/>
              <w:jc w:val="both"/>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sz w:val="24"/>
                <w:highlight w:val="none"/>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原辅料存储及转运</w:t>
            </w:r>
          </w:p>
          <w:p w14:paraId="2156BD52">
            <w:pPr>
              <w:spacing w:line="360" w:lineRule="auto"/>
              <w:ind w:firstLine="480" w:firstLineChars="200"/>
              <w:jc w:val="both"/>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cs="Times New Roman"/>
                <w:color w:val="000000" w:themeColor="text1"/>
                <w:sz w:val="24"/>
                <w:highlight w:val="none"/>
                <w:lang w:val="en-US" w:eastAsia="zh-CN"/>
                <w14:textFill>
                  <w14:solidFill>
                    <w14:schemeClr w14:val="tx1"/>
                  </w14:solidFill>
                </w14:textFill>
              </w:rPr>
              <w:t>原料粉</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由隔壁高新材料公司粉磨系统输送入库。库内的</w:t>
            </w:r>
            <w:r>
              <w:rPr>
                <w:rFonts w:hint="default" w:ascii="Times New Roman" w:hAnsi="Times New Roman" w:cs="Times New Roman"/>
                <w:color w:val="000000" w:themeColor="text1"/>
                <w:sz w:val="24"/>
                <w:highlight w:val="none"/>
                <w:lang w:val="en-US" w:eastAsia="zh-CN"/>
                <w14:textFill>
                  <w14:solidFill>
                    <w14:schemeClr w14:val="tx1"/>
                  </w14:solidFill>
                </w14:textFill>
              </w:rPr>
              <w:t>原料粉</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经库底链式输送机、提升机与窑灰仓粉料一起喂入喂料仓进行充分混合，出喂料仓的粉料经计量秤计量后，由螺旋输送机、提升机直接喂入悬浮煅烧系统。</w:t>
            </w:r>
          </w:p>
          <w:p w14:paraId="0C0EE082">
            <w:pPr>
              <w:spacing w:line="360" w:lineRule="auto"/>
              <w:ind w:firstLine="482" w:firstLineChars="200"/>
              <w:jc w:val="both"/>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t>废气：</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气力输送过程中煤矸石仓内产生废气（G1-1、G1-2），通过仓顶</w:t>
            </w:r>
            <w:r>
              <w:rPr>
                <w:rFonts w:hint="default" w:ascii="Times New Roman" w:hAnsi="Times New Roman" w:cs="Times New Roman"/>
                <w:color w:val="000000" w:themeColor="text1"/>
                <w:sz w:val="24"/>
                <w:highlight w:val="none"/>
                <w:lang w:val="en-US" w:eastAsia="zh-CN"/>
                <w14:textFill>
                  <w14:solidFill>
                    <w14:schemeClr w14:val="tx1"/>
                  </w14:solidFill>
                </w14:textFill>
              </w:rPr>
              <w:t>布袋</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除尘器除尘灰排放；转运喂料产生废气（G1-3），通过</w:t>
            </w:r>
            <w:r>
              <w:rPr>
                <w:rFonts w:hint="default" w:ascii="Times New Roman" w:hAnsi="Times New Roman" w:cs="Times New Roman"/>
                <w:color w:val="000000" w:themeColor="text1"/>
                <w:sz w:val="24"/>
                <w:highlight w:val="none"/>
                <w:lang w:val="en-US" w:eastAsia="zh-CN"/>
                <w14:textFill>
                  <w14:solidFill>
                    <w14:schemeClr w14:val="tx1"/>
                  </w14:solidFill>
                </w14:textFill>
              </w:rPr>
              <w:t>布袋</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除尘器除尘灰排放；</w:t>
            </w:r>
          </w:p>
          <w:p w14:paraId="7B5A7F2D">
            <w:pPr>
              <w:spacing w:line="360" w:lineRule="auto"/>
              <w:ind w:firstLine="480" w:firstLineChars="200"/>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3）窑尾</w:t>
            </w:r>
            <w:r>
              <w:rPr>
                <w:rFonts w:hint="default" w:ascii="Times New Roman" w:hAnsi="Times New Roman" w:eastAsia="宋体" w:cs="Times New Roman"/>
                <w:color w:val="000000" w:themeColor="text1"/>
                <w:sz w:val="24"/>
                <w:highlight w:val="none"/>
                <w14:textFill>
                  <w14:solidFill>
                    <w14:schemeClr w14:val="tx1"/>
                  </w14:solidFill>
                </w14:textFill>
              </w:rPr>
              <w:t>悬浮</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炉焙</w:t>
            </w:r>
            <w:r>
              <w:rPr>
                <w:rFonts w:hint="default" w:ascii="Times New Roman" w:hAnsi="Times New Roman" w:eastAsia="宋体" w:cs="Times New Roman"/>
                <w:color w:val="000000" w:themeColor="text1"/>
                <w:sz w:val="24"/>
                <w:highlight w:val="none"/>
                <w14:textFill>
                  <w14:solidFill>
                    <w14:schemeClr w14:val="tx1"/>
                  </w14:solidFill>
                </w14:textFill>
              </w:rPr>
              <w:t>烧</w:t>
            </w:r>
          </w:p>
          <w:p w14:paraId="5DDED397">
            <w:pPr>
              <w:spacing w:line="360" w:lineRule="auto"/>
              <w:ind w:firstLine="480" w:firstLineChars="200"/>
              <w:rPr>
                <w:rFonts w:hint="default" w:ascii="Times New Roman" w:hAnsi="Times New Roman" w:eastAsia="宋体" w:cs="Times New Roman"/>
                <w:color w:val="000000" w:themeColor="text1"/>
                <w:sz w:val="24"/>
                <w:highlight w:val="none"/>
                <w:lang w:eastAsia="zh-CN"/>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窑尾预热器的核心功能是利用回转窑排出的高温烟气，对进入窑系统的生料</w:t>
            </w:r>
            <w:r>
              <w:rPr>
                <w:rFonts w:hint="default" w:ascii="Times New Roman" w:hAnsi="Times New Roman" w:cs="Times New Roman"/>
                <w:color w:val="000000" w:themeColor="text1"/>
                <w:sz w:val="24"/>
                <w:highlight w:val="none"/>
                <w:lang w:val="en-US" w:eastAsia="zh-CN"/>
                <w14:textFill>
                  <w14:solidFill>
                    <w14:schemeClr w14:val="tx1"/>
                  </w14:solidFill>
                </w14:textFill>
              </w:rPr>
              <w:t>原料粉</w:t>
            </w:r>
            <w:r>
              <w:rPr>
                <w:rFonts w:hint="default" w:ascii="Times New Roman" w:hAnsi="Times New Roman" w:eastAsia="宋体" w:cs="Times New Roman"/>
                <w:color w:val="000000" w:themeColor="text1"/>
                <w:sz w:val="24"/>
                <w:highlight w:val="none"/>
                <w14:textFill>
                  <w14:solidFill>
                    <w14:schemeClr w14:val="tx1"/>
                  </w14:solidFill>
                </w14:textFill>
              </w:rPr>
              <w:t>进行预热干燥、碳酸盐分解（部分预分解），目的是降低后续回转窑的热负荷、提高系统热效率。经过预热器的生料，温度会大幅提升，但并未达到完全焙烧所需的温度和反应条件</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p>
          <w:p w14:paraId="1024F6D4">
            <w:pPr>
              <w:spacing w:line="360" w:lineRule="auto"/>
              <w:ind w:firstLine="480" w:firstLineChars="200"/>
              <w:rPr>
                <w:rFonts w:hint="default" w:ascii="Times New Roman" w:hAnsi="Times New Roman" w:eastAsia="宋体" w:cs="Times New Roman"/>
                <w:color w:val="000000" w:themeColor="text1"/>
                <w:sz w:val="24"/>
                <w:highlight w:val="none"/>
                <w:lang w:eastAsia="zh-CN"/>
                <w14:textFill>
                  <w14:solidFill>
                    <w14:schemeClr w14:val="tx1"/>
                  </w14:solidFill>
                </w14:textFill>
              </w:rPr>
            </w:pPr>
            <w:r>
              <w:rPr>
                <w:rFonts w:hint="default" w:ascii="Times New Roman" w:hAnsi="Times New Roman" w:eastAsia="宋体" w:cs="Times New Roman"/>
                <w:color w:val="000000" w:themeColor="text1"/>
                <w:sz w:val="24"/>
                <w:highlight w:val="none"/>
                <w:lang w:eastAsia="zh-CN"/>
                <w14:textFill>
                  <w14:solidFill>
                    <w14:schemeClr w14:val="tx1"/>
                  </w14:solidFill>
                </w14:textFill>
              </w:rPr>
              <w:t>窑尾的悬浮炉是衔接预热器和回转窑的关键设备。</w:t>
            </w:r>
          </w:p>
          <w:p w14:paraId="410B62CB">
            <w:pPr>
              <w:spacing w:line="360" w:lineRule="auto"/>
              <w:ind w:firstLine="480" w:firstLineChars="200"/>
              <w:rPr>
                <w:rFonts w:hint="default" w:ascii="Times New Roman" w:hAnsi="Times New Roman" w:eastAsia="宋体" w:cs="Times New Roman"/>
                <w:color w:val="000000" w:themeColor="text1"/>
                <w:sz w:val="24"/>
                <w:highlight w:val="none"/>
                <w:lang w:eastAsia="zh-CN"/>
                <w14:textFill>
                  <w14:solidFill>
                    <w14:schemeClr w14:val="tx1"/>
                  </w14:solidFill>
                </w14:textFill>
              </w:rPr>
            </w:pPr>
            <w:r>
              <w:rPr>
                <w:rFonts w:hint="default" w:ascii="Times New Roman" w:hAnsi="Times New Roman" w:eastAsia="宋体" w:cs="Times New Roman"/>
                <w:color w:val="000000" w:themeColor="text1"/>
                <w:sz w:val="24"/>
                <w:highlight w:val="none"/>
                <w:lang w:eastAsia="zh-CN"/>
                <w14:textFill>
                  <w14:solidFill>
                    <w14:schemeClr w14:val="tx1"/>
                  </w14:solidFill>
                </w14:textFill>
              </w:rPr>
              <w:t>它会通入二次风、三次风（从篦冷机回收的高温热风），同时喷入燃料（</w:t>
            </w:r>
            <w:r>
              <w:rPr>
                <w:rFonts w:hint="default" w:ascii="Times New Roman" w:hAnsi="Times New Roman" w:cs="Times New Roman"/>
                <w:color w:val="000000" w:themeColor="text1"/>
                <w:sz w:val="24"/>
                <w:highlight w:val="none"/>
                <w:lang w:eastAsia="zh-CN"/>
                <w14:textFill>
                  <w14:solidFill>
                    <w14:schemeClr w14:val="tx1"/>
                  </w14:solidFill>
                </w14:textFill>
              </w:rPr>
              <w:t>煤气</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）进行燃烧，产生高温环境；</w:t>
            </w:r>
          </w:p>
          <w:p w14:paraId="10418409">
            <w:pPr>
              <w:spacing w:line="360" w:lineRule="auto"/>
              <w:ind w:firstLine="480" w:firstLineChars="200"/>
              <w:rPr>
                <w:rFonts w:hint="default" w:ascii="Times New Roman" w:hAnsi="Times New Roman" w:eastAsia="宋体" w:cs="Times New Roman"/>
                <w:color w:val="000000" w:themeColor="text1"/>
                <w:sz w:val="24"/>
                <w:highlight w:val="none"/>
                <w:lang w:eastAsia="zh-CN"/>
                <w14:textFill>
                  <w14:solidFill>
                    <w14:schemeClr w14:val="tx1"/>
                  </w14:solidFill>
                </w14:textFill>
              </w:rPr>
            </w:pPr>
            <w:r>
              <w:rPr>
                <w:rFonts w:hint="default" w:ascii="Times New Roman" w:hAnsi="Times New Roman" w:eastAsia="宋体" w:cs="Times New Roman"/>
                <w:color w:val="000000" w:themeColor="text1"/>
                <w:sz w:val="24"/>
                <w:highlight w:val="none"/>
                <w:lang w:eastAsia="zh-CN"/>
                <w14:textFill>
                  <w14:solidFill>
                    <w14:schemeClr w14:val="tx1"/>
                  </w14:solidFill>
                </w14:textFill>
              </w:rPr>
              <w:t>预热器送来的预热生料在</w:t>
            </w:r>
            <w:r>
              <w:rPr>
                <w:rFonts w:hint="default" w:ascii="Times New Roman" w:hAnsi="Times New Roman" w:cs="Times New Roman"/>
                <w:color w:val="000000" w:themeColor="text1"/>
                <w:sz w:val="24"/>
                <w:highlight w:val="none"/>
                <w:lang w:val="en-US" w:eastAsia="zh-CN"/>
                <w14:textFill>
                  <w14:solidFill>
                    <w14:schemeClr w14:val="tx1"/>
                  </w14:solidFill>
                </w14:textFill>
              </w:rPr>
              <w:t>悬浮</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炉内呈悬浮态，与高温气流充分混合，完成大部分碳酸盐分解和固相反应，相当于“提前完成焙烧的核心反应”；</w:t>
            </w:r>
          </w:p>
          <w:p w14:paraId="14ACF029">
            <w:pPr>
              <w:spacing w:line="360" w:lineRule="auto"/>
              <w:ind w:firstLine="480" w:firstLineChars="200"/>
              <w:rPr>
                <w:rFonts w:hint="default" w:ascii="Times New Roman" w:hAnsi="Times New Roman" w:eastAsia="宋体" w:cs="Times New Roman"/>
                <w:color w:val="000000" w:themeColor="text1"/>
                <w:sz w:val="24"/>
                <w:highlight w:val="none"/>
                <w:lang w:eastAsia="zh-CN"/>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脱水阶段</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100-110</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游离水排除</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110-140</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其他矿物杂质带入水的排除</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400-450</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晶格水开始缓慢排除</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450-550</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晶格水快速排出</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500-</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7</w:t>
            </w:r>
            <w:r>
              <w:rPr>
                <w:rFonts w:hint="default" w:ascii="Times New Roman" w:hAnsi="Times New Roman" w:eastAsia="宋体" w:cs="Times New Roman"/>
                <w:color w:val="000000" w:themeColor="text1"/>
                <w:sz w:val="24"/>
                <w:highlight w:val="none"/>
                <w14:textFill>
                  <w14:solidFill>
                    <w14:schemeClr w14:val="tx1"/>
                  </w14:solidFill>
                </w14:textFill>
              </w:rPr>
              <w:t>00</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脱水缓慢进行</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残余水</w:t>
            </w:r>
            <w:r>
              <w:rPr>
                <w:rFonts w:hint="eastAsia" w:ascii="Times New Roman" w:hAnsi="Times New Roman" w:cs="Times New Roman"/>
                <w:color w:val="000000" w:themeColor="text1"/>
                <w:sz w:val="24"/>
                <w:highlight w:val="none"/>
                <w:lang w:eastAsia="zh-CN"/>
                <w14:textFill>
                  <w14:solidFill>
                    <w14:schemeClr w14:val="tx1"/>
                  </w14:solidFill>
                </w14:textFill>
              </w:rPr>
              <w:t>排出</w:t>
            </w:r>
            <w:r>
              <w:rPr>
                <w:rFonts w:hint="default" w:ascii="Times New Roman" w:hAnsi="Times New Roman" w:eastAsia="宋体" w:cs="Times New Roman"/>
                <w:color w:val="000000" w:themeColor="text1"/>
                <w:sz w:val="24"/>
                <w:highlight w:val="none"/>
                <w14:textFill>
                  <w14:solidFill>
                    <w14:schemeClr w14:val="tx1"/>
                  </w14:solidFill>
                </w14:textFill>
              </w:rPr>
              <w:t>完毕</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p>
          <w:p w14:paraId="1B2622FD">
            <w:pPr>
              <w:spacing w:line="360" w:lineRule="auto"/>
              <w:ind w:firstLine="480" w:firstLineChars="200"/>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煤矸石结晶水的排除，</w:t>
            </w:r>
            <w:r>
              <w:rPr>
                <w:rFonts w:hint="default" w:ascii="Times New Roman" w:hAnsi="Times New Roman" w:cs="Times New Roman"/>
                <w:color w:val="000000" w:themeColor="text1"/>
                <w:sz w:val="24"/>
                <w:szCs w:val="24"/>
                <w:highlight w:val="none"/>
                <w14:textFill>
                  <w14:solidFill>
                    <w14:schemeClr w14:val="tx1"/>
                  </w14:solidFill>
                </w14:textFill>
              </w:rPr>
              <w:t>其主要反应如下：</w:t>
            </w:r>
          </w:p>
          <w:p w14:paraId="7AEB3661">
            <w:pPr>
              <w:spacing w:line="360" w:lineRule="auto"/>
              <w:ind w:firstLine="480" w:firstLineChars="200"/>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Al</w:t>
            </w:r>
            <w:r>
              <w:rPr>
                <w:rFonts w:hint="default" w:ascii="Times New Roman" w:hAnsi="Times New Roman" w:cs="Times New Roman"/>
                <w:color w:val="000000" w:themeColor="text1"/>
                <w:sz w:val="24"/>
                <w:szCs w:val="24"/>
                <w:highlight w:val="none"/>
                <w:vertAlign w:val="subscript"/>
                <w14:textFill>
                  <w14:solidFill>
                    <w14:schemeClr w14:val="tx1"/>
                  </w14:solidFill>
                </w14:textFill>
              </w:rPr>
              <w:t>4</w:t>
            </w:r>
            <w:r>
              <w:rPr>
                <w:rFonts w:hint="default" w:ascii="Times New Roman" w:hAnsi="Times New Roman" w:cs="Times New Roman"/>
                <w:color w:val="000000" w:themeColor="text1"/>
                <w:sz w:val="24"/>
                <w:szCs w:val="24"/>
                <w:highlight w:val="none"/>
                <w14:textFill>
                  <w14:solidFill>
                    <w14:schemeClr w14:val="tx1"/>
                  </w14:solidFill>
                </w14:textFill>
              </w:rPr>
              <w:t>[Si</w:t>
            </w:r>
            <w:r>
              <w:rPr>
                <w:rFonts w:hint="default" w:ascii="Times New Roman" w:hAnsi="Times New Roman" w:cs="Times New Roman"/>
                <w:color w:val="000000" w:themeColor="text1"/>
                <w:sz w:val="24"/>
                <w:szCs w:val="24"/>
                <w:highlight w:val="none"/>
                <w:vertAlign w:val="subscript"/>
                <w14:textFill>
                  <w14:solidFill>
                    <w14:schemeClr w14:val="tx1"/>
                  </w14:solidFill>
                </w14:textFill>
              </w:rPr>
              <w:t>4</w:t>
            </w:r>
            <w:r>
              <w:rPr>
                <w:rFonts w:hint="default" w:ascii="Times New Roman" w:hAnsi="Times New Roman" w:cs="Times New Roman"/>
                <w:color w:val="000000" w:themeColor="text1"/>
                <w:sz w:val="24"/>
                <w:szCs w:val="24"/>
                <w:highlight w:val="none"/>
                <w14:textFill>
                  <w14:solidFill>
                    <w14:schemeClr w14:val="tx1"/>
                  </w14:solidFill>
                </w14:textFill>
              </w:rPr>
              <w:t>O</w:t>
            </w:r>
            <w:r>
              <w:rPr>
                <w:rFonts w:hint="default" w:ascii="Times New Roman" w:hAnsi="Times New Roman" w:cs="Times New Roman"/>
                <w:color w:val="000000" w:themeColor="text1"/>
                <w:sz w:val="24"/>
                <w:szCs w:val="24"/>
                <w:highlight w:val="none"/>
                <w:vertAlign w:val="subscript"/>
                <w14:textFill>
                  <w14:solidFill>
                    <w14:schemeClr w14:val="tx1"/>
                  </w14:solidFill>
                </w14:textFill>
              </w:rPr>
              <w:t>10</w:t>
            </w:r>
            <w:r>
              <w:rPr>
                <w:rFonts w:hint="default" w:ascii="Times New Roman" w:hAnsi="Times New Roman" w:cs="Times New Roman"/>
                <w:color w:val="000000" w:themeColor="text1"/>
                <w:sz w:val="24"/>
                <w:szCs w:val="24"/>
                <w:highlight w:val="none"/>
                <w14:textFill>
                  <w14:solidFill>
                    <w14:schemeClr w14:val="tx1"/>
                  </w14:solidFill>
                </w14:textFill>
              </w:rPr>
              <w:t>]</w:t>
            </w:r>
            <w:r>
              <w:rPr>
                <w:rFonts w:hint="default" w:ascii="Times New Roman" w:hAnsi="Times New Roman" w:cs="Times New Roman"/>
                <w:color w:val="000000" w:themeColor="text1"/>
                <w:sz w:val="24"/>
                <w:szCs w:val="24"/>
                <w:highlight w:val="none"/>
                <w:lang w:eastAsia="zh-CN"/>
                <w14:textFill>
                  <w14:solidFill>
                    <w14:schemeClr w14:val="tx1"/>
                  </w14:solidFill>
                </w14:textFill>
              </w:rPr>
              <w:t>(</w:t>
            </w:r>
            <w:r>
              <w:rPr>
                <w:rFonts w:hint="default" w:ascii="Times New Roman" w:hAnsi="Times New Roman" w:cs="Times New Roman"/>
                <w:color w:val="000000" w:themeColor="text1"/>
                <w:sz w:val="24"/>
                <w:szCs w:val="24"/>
                <w:highlight w:val="none"/>
                <w14:textFill>
                  <w14:solidFill>
                    <w14:schemeClr w14:val="tx1"/>
                  </w14:solidFill>
                </w14:textFill>
              </w:rPr>
              <w:t>OH</w:t>
            </w:r>
            <w:r>
              <w:rPr>
                <w:rFonts w:hint="default" w:ascii="Times New Roman" w:hAnsi="Times New Roman" w:cs="Times New Roman"/>
                <w:color w:val="000000" w:themeColor="text1"/>
                <w:sz w:val="24"/>
                <w:szCs w:val="24"/>
                <w:highlight w:val="none"/>
                <w:lang w:eastAsia="zh-CN"/>
                <w14:textFill>
                  <w14:solidFill>
                    <w14:schemeClr w14:val="tx1"/>
                  </w14:solidFill>
                </w14:textFill>
              </w:rPr>
              <w:t>)</w:t>
            </w:r>
            <w:r>
              <w:rPr>
                <w:rFonts w:hint="default" w:ascii="Times New Roman" w:hAnsi="Times New Roman" w:cs="Times New Roman"/>
                <w:color w:val="000000" w:themeColor="text1"/>
                <w:sz w:val="24"/>
                <w:szCs w:val="24"/>
                <w:highlight w:val="none"/>
                <w:vertAlign w:val="subscript"/>
                <w14:textFill>
                  <w14:solidFill>
                    <w14:schemeClr w14:val="tx1"/>
                  </w14:solidFill>
                </w14:textFill>
              </w:rPr>
              <w:t>8</w:t>
            </w:r>
            <w:r>
              <w:rPr>
                <w:rFonts w:hint="default" w:ascii="Times New Roman" w:hAnsi="Times New Roman" w:cs="Times New Roman"/>
                <w:color w:val="000000" w:themeColor="text1"/>
                <w:sz w:val="24"/>
                <w:szCs w:val="24"/>
                <w:highlight w:val="none"/>
                <w14:textFill>
                  <w14:solidFill>
                    <w14:schemeClr w14:val="tx1"/>
                  </w14:solidFill>
                </w14:textFill>
              </w:rPr>
              <w:t>·4H</w:t>
            </w:r>
            <w:r>
              <w:rPr>
                <w:rFonts w:hint="default" w:ascii="Times New Roman" w:hAnsi="Times New Roman" w:cs="Times New Roman"/>
                <w:color w:val="000000" w:themeColor="text1"/>
                <w:sz w:val="24"/>
                <w:szCs w:val="24"/>
                <w:highlight w:val="none"/>
                <w:vertAlign w:val="subscript"/>
                <w14:textFill>
                  <w14:solidFill>
                    <w14:schemeClr w14:val="tx1"/>
                  </w14:solidFill>
                </w14:textFill>
              </w:rPr>
              <w:t>2</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O</w:t>
            </w:r>
            <w:r>
              <w:rPr>
                <w:rFonts w:hint="default" w:ascii="Times New Roman" w:hAnsi="Times New Roman" w:cs="Times New Roman"/>
                <w:color w:val="000000" w:themeColor="text1"/>
                <w:sz w:val="24"/>
                <w:szCs w:val="24"/>
                <w:highlight w:val="none"/>
                <w14:textFill>
                  <w14:solidFill>
                    <w14:schemeClr w14:val="tx1"/>
                  </w14:solidFill>
                </w14:textFill>
              </w:rPr>
              <w:t>=2[2SiO</w:t>
            </w:r>
            <w:r>
              <w:rPr>
                <w:rFonts w:hint="default" w:ascii="Times New Roman" w:hAnsi="Times New Roman" w:cs="Times New Roman"/>
                <w:color w:val="000000" w:themeColor="text1"/>
                <w:sz w:val="24"/>
                <w:szCs w:val="24"/>
                <w:highlight w:val="none"/>
                <w:vertAlign w:val="subscript"/>
                <w14:textFill>
                  <w14:solidFill>
                    <w14:schemeClr w14:val="tx1"/>
                  </w14:solidFill>
                </w14:textFill>
              </w:rPr>
              <w:t>2</w:t>
            </w:r>
            <w:r>
              <w:rPr>
                <w:rFonts w:hint="default" w:ascii="Times New Roman" w:hAnsi="Times New Roman" w:cs="Times New Roman"/>
                <w:color w:val="000000" w:themeColor="text1"/>
                <w:sz w:val="24"/>
                <w:szCs w:val="24"/>
                <w:highlight w:val="none"/>
                <w14:textFill>
                  <w14:solidFill>
                    <w14:schemeClr w14:val="tx1"/>
                  </w14:solidFill>
                </w14:textFill>
              </w:rPr>
              <w:t>·Al</w:t>
            </w:r>
            <w:r>
              <w:rPr>
                <w:rFonts w:hint="default" w:ascii="Times New Roman" w:hAnsi="Times New Roman" w:cs="Times New Roman"/>
                <w:color w:val="000000" w:themeColor="text1"/>
                <w:sz w:val="24"/>
                <w:szCs w:val="24"/>
                <w:highlight w:val="none"/>
                <w:vertAlign w:val="subscript"/>
                <w14:textFill>
                  <w14:solidFill>
                    <w14:schemeClr w14:val="tx1"/>
                  </w14:solidFill>
                </w14:textFill>
              </w:rPr>
              <w:t>2</w:t>
            </w:r>
            <w:r>
              <w:rPr>
                <w:rFonts w:hint="default" w:ascii="Times New Roman" w:hAnsi="Times New Roman" w:cs="Times New Roman"/>
                <w:color w:val="000000" w:themeColor="text1"/>
                <w:sz w:val="24"/>
                <w:szCs w:val="24"/>
                <w:highlight w:val="none"/>
                <w14:textFill>
                  <w14:solidFill>
                    <w14:schemeClr w14:val="tx1"/>
                  </w14:solidFill>
                </w14:textFill>
              </w:rPr>
              <w:t>O</w:t>
            </w:r>
            <w:r>
              <w:rPr>
                <w:rFonts w:hint="default" w:ascii="Times New Roman" w:hAnsi="Times New Roman" w:cs="Times New Roman"/>
                <w:color w:val="000000" w:themeColor="text1"/>
                <w:sz w:val="24"/>
                <w:szCs w:val="24"/>
                <w:highlight w:val="none"/>
                <w:vertAlign w:val="subscript"/>
                <w14:textFill>
                  <w14:solidFill>
                    <w14:schemeClr w14:val="tx1"/>
                  </w14:solidFill>
                </w14:textFill>
              </w:rPr>
              <w:t>3</w:t>
            </w:r>
            <w:r>
              <w:rPr>
                <w:rFonts w:hint="default" w:ascii="Times New Roman" w:hAnsi="Times New Roman" w:cs="Times New Roman"/>
                <w:color w:val="000000" w:themeColor="text1"/>
                <w:sz w:val="24"/>
                <w:szCs w:val="24"/>
                <w:highlight w:val="none"/>
                <w14:textFill>
                  <w14:solidFill>
                    <w14:schemeClr w14:val="tx1"/>
                  </w14:solidFill>
                </w14:textFill>
              </w:rPr>
              <w:t>]+8H</w:t>
            </w:r>
            <w:r>
              <w:rPr>
                <w:rFonts w:hint="default" w:ascii="Times New Roman" w:hAnsi="Times New Roman" w:cs="Times New Roman"/>
                <w:color w:val="000000" w:themeColor="text1"/>
                <w:sz w:val="24"/>
                <w:szCs w:val="24"/>
                <w:highlight w:val="none"/>
                <w:vertAlign w:val="subscript"/>
                <w14:textFill>
                  <w14:solidFill>
                    <w14:schemeClr w14:val="tx1"/>
                  </w14:solidFill>
                </w14:textFill>
              </w:rPr>
              <w:t>2</w:t>
            </w:r>
            <w:r>
              <w:rPr>
                <w:rFonts w:hint="default" w:ascii="Times New Roman" w:hAnsi="Times New Roman" w:cs="Times New Roman"/>
                <w:color w:val="000000" w:themeColor="text1"/>
                <w:sz w:val="24"/>
                <w:szCs w:val="24"/>
                <w:highlight w:val="none"/>
                <w14:textFill>
                  <w14:solidFill>
                    <w14:schemeClr w14:val="tx1"/>
                  </w14:solidFill>
                </w14:textFill>
              </w:rPr>
              <w:t>O</w:t>
            </w:r>
          </w:p>
          <w:p w14:paraId="0E804747">
            <w:pPr>
              <w:spacing w:line="360" w:lineRule="auto"/>
              <w:ind w:firstLine="480" w:firstLineChars="200"/>
              <w:rPr>
                <w:rFonts w:hint="default" w:ascii="Times New Roman" w:hAnsi="Times New Roman" w:cs="Times New Roman"/>
                <w:color w:val="000000" w:themeColor="text1"/>
                <w:sz w:val="24"/>
                <w:szCs w:val="24"/>
                <w:highlight w:val="none"/>
                <w:lang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煅烧后高岭土品质的好坏，将对产品的品质有重要影响。衡量高岭土煅烧品质主要有两个指标：煅烧后白度和细度。</w:t>
            </w:r>
            <w:r>
              <w:rPr>
                <w:rFonts w:hint="default" w:ascii="Times New Roman" w:hAnsi="Times New Roman" w:cs="Times New Roman"/>
                <w:color w:val="000000" w:themeColor="text1"/>
                <w:sz w:val="24"/>
                <w:szCs w:val="24"/>
                <w:highlight w:val="none"/>
                <w14:textFill>
                  <w14:solidFill>
                    <w14:schemeClr w14:val="tx1"/>
                  </w14:solidFill>
                </w14:textFill>
              </w:rPr>
              <w:t>物料在煅烧窑内停留时间为50～65min，要求煅烧后物料，灼减约14%</w:t>
            </w:r>
            <w:r>
              <w:rPr>
                <w:rFonts w:hint="default" w:ascii="Times New Roman" w:hAnsi="Times New Roman" w:cs="Times New Roman"/>
                <w:color w:val="000000" w:themeColor="text1"/>
                <w:sz w:val="24"/>
                <w:szCs w:val="24"/>
                <w:highlight w:val="none"/>
                <w:lang w:eastAsia="zh-CN"/>
                <w14:textFill>
                  <w14:solidFill>
                    <w14:schemeClr w14:val="tx1"/>
                  </w14:solidFill>
                </w14:textFill>
              </w:rPr>
              <w:t>。</w:t>
            </w:r>
          </w:p>
          <w:p w14:paraId="2F289E31">
            <w:pPr>
              <w:pStyle w:val="8"/>
              <w:spacing w:line="360" w:lineRule="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工艺简</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述：</w:t>
            </w:r>
          </w:p>
          <w:p w14:paraId="0A8FDDB8">
            <w:pPr>
              <w:spacing w:line="360" w:lineRule="auto"/>
              <w:ind w:firstLine="480" w:firstLineChars="200"/>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cs="Times New Roman"/>
                <w:color w:val="000000" w:themeColor="text1"/>
                <w:sz w:val="24"/>
                <w:highlight w:val="none"/>
                <w:lang w:val="en-US" w:eastAsia="zh-CN"/>
                <w14:textFill>
                  <w14:solidFill>
                    <w14:schemeClr w14:val="tx1"/>
                  </w14:solidFill>
                </w14:textFill>
              </w:rPr>
              <w:t>原料粉</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经喂料仓底喂料计量系统按设定量卸出经螺旋输送机、钢丝胶带提升机，再经螺旋输送机</w:t>
            </w:r>
            <w:r>
              <w:rPr>
                <w:rFonts w:hint="default" w:ascii="Times New Roman" w:hAnsi="Times New Roman" w:cs="Times New Roman"/>
                <w:color w:val="000000" w:themeColor="text1"/>
                <w:sz w:val="24"/>
                <w:highlight w:val="none"/>
                <w:lang w:val="en-US" w:eastAsia="zh-CN"/>
                <w14:textFill>
                  <w14:solidFill>
                    <w14:schemeClr w14:val="tx1"/>
                  </w14:solidFill>
                </w14:textFill>
              </w:rPr>
              <w:t>即可</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从C2-C1旋风筒的上升风管上喂入旋风筒内，也可从C3-C2旋风筒的上升风管上喂入旋风筒内</w:t>
            </w:r>
            <w:r>
              <w:rPr>
                <w:rFonts w:hint="default" w:ascii="Times New Roman" w:hAnsi="Times New Roman" w:cs="Times New Roman"/>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物料经各级旋风筒及连接风管进行换热后进入悬浮炉，在悬浮炉与窑头冷却装置来的三次风进行</w:t>
            </w:r>
            <w:r>
              <w:rPr>
                <w:rFonts w:hint="default" w:ascii="Times New Roman" w:hAnsi="Times New Roman" w:cs="Times New Roman"/>
                <w:color w:val="000000" w:themeColor="text1"/>
                <w:sz w:val="24"/>
                <w:highlight w:val="none"/>
                <w:lang w:val="en-US" w:eastAsia="zh-CN"/>
                <w14:textFill>
                  <w14:solidFill>
                    <w14:schemeClr w14:val="tx1"/>
                  </w14:solidFill>
                </w14:textFill>
              </w:rPr>
              <w:t>直接接触</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燃烧脱碳，在</w:t>
            </w:r>
            <w:r>
              <w:rPr>
                <w:rFonts w:hint="default" w:ascii="Times New Roman" w:hAnsi="Times New Roman" w:cs="Times New Roman"/>
                <w:color w:val="000000" w:themeColor="text1"/>
                <w:sz w:val="24"/>
                <w:highlight w:val="none"/>
                <w:lang w:val="en-US" w:eastAsia="zh-CN"/>
                <w14:textFill>
                  <w14:solidFill>
                    <w14:schemeClr w14:val="tx1"/>
                  </w14:solidFill>
                </w14:textFill>
              </w:rPr>
              <w:t>原料粉</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热值600kCal/kg的情况下，利用自身热值可完成轻烧脱碳。脱碳后的</w:t>
            </w:r>
            <w:r>
              <w:rPr>
                <w:rFonts w:hint="default" w:ascii="Times New Roman" w:hAnsi="Times New Roman" w:cs="Times New Roman"/>
                <w:color w:val="000000" w:themeColor="text1"/>
                <w:sz w:val="24"/>
                <w:highlight w:val="none"/>
                <w:lang w:val="en-US" w:eastAsia="zh-CN"/>
                <w14:textFill>
                  <w14:solidFill>
                    <w14:schemeClr w14:val="tx1"/>
                  </w14:solidFill>
                </w14:textFill>
              </w:rPr>
              <w:t>原料粉</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经C4旋风筒进入回转窑。C1出口废气约525℃，经余热锅炉进行热回收后约200℃，再送至煅烧废气处理系统。</w:t>
            </w:r>
          </w:p>
          <w:p w14:paraId="17CEB371">
            <w:pPr>
              <w:spacing w:line="360" w:lineRule="auto"/>
              <w:ind w:firstLine="482" w:firstLineChars="200"/>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t>废气：</w:t>
            </w:r>
            <w:r>
              <w:rPr>
                <w:rFonts w:hint="default" w:ascii="Times New Roman" w:hAnsi="Times New Roman" w:cs="Times New Roman"/>
                <w:color w:val="000000" w:themeColor="text1"/>
                <w:sz w:val="24"/>
                <w:highlight w:val="none"/>
                <w:lang w:val="en-US" w:eastAsia="zh-CN"/>
                <w14:textFill>
                  <w14:solidFill>
                    <w14:schemeClr w14:val="tx1"/>
                  </w14:solidFill>
                </w14:textFill>
              </w:rPr>
              <w:t>窑尾喂料仓卸料</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粉尘（G1-4）经过</w:t>
            </w:r>
            <w:r>
              <w:rPr>
                <w:rFonts w:hint="default" w:ascii="Times New Roman" w:hAnsi="Times New Roman" w:eastAsia="宋体" w:cs="Times New Roman"/>
                <w:b/>
                <w:bCs/>
                <w:color w:val="000000" w:themeColor="text1"/>
                <w:sz w:val="24"/>
                <w:highlight w:val="none"/>
                <w14:textFill>
                  <w14:solidFill>
                    <w14:schemeClr w14:val="tx1"/>
                  </w14:solidFill>
                </w14:textFill>
              </w:rPr>
              <w:t>收尘器</w:t>
            </w:r>
            <w:r>
              <w:rPr>
                <w:rFonts w:hint="default" w:ascii="Times New Roman" w:hAnsi="Times New Roman" w:eastAsia="宋体" w:cs="Times New Roman"/>
                <w:color w:val="000000" w:themeColor="text1"/>
                <w:sz w:val="24"/>
                <w:highlight w:val="none"/>
                <w14:textFill>
                  <w14:solidFill>
                    <w14:schemeClr w14:val="tx1"/>
                  </w14:solidFill>
                </w14:textFill>
              </w:rPr>
              <w:t>进行粉尘净化处理</w:t>
            </w:r>
            <w:r>
              <w:rPr>
                <w:rFonts w:hint="default" w:ascii="Times New Roman" w:hAnsi="Times New Roman" w:cs="Times New Roman"/>
                <w:color w:val="000000" w:themeColor="text1"/>
                <w:sz w:val="24"/>
                <w:highlight w:val="none"/>
                <w:lang w:val="en-US" w:eastAsia="zh-CN"/>
                <w14:textFill>
                  <w14:solidFill>
                    <w14:schemeClr w14:val="tx1"/>
                  </w14:solidFill>
                </w14:textFill>
              </w:rPr>
              <w:t>后</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经1根</w:t>
            </w:r>
            <w:r>
              <w:rPr>
                <w:rFonts w:hint="default" w:ascii="Times New Roman" w:hAnsi="Times New Roman" w:cs="Times New Roman"/>
                <w:b w:val="0"/>
                <w:bCs w:val="0"/>
                <w:color w:val="000000" w:themeColor="text1"/>
                <w:sz w:val="24"/>
                <w:szCs w:val="24"/>
                <w:highlight w:val="none"/>
                <w:lang w:val="en-US" w:eastAsia="zh-CN"/>
                <w14:textFill>
                  <w14:solidFill>
                    <w14:schemeClr w14:val="tx1"/>
                  </w14:solidFill>
                </w14:textFill>
              </w:rPr>
              <w:t>3</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0m高</w:t>
            </w:r>
            <w:r>
              <w:rPr>
                <w:rFonts w:hint="eastAsia" w:cs="Times New Roman"/>
                <w:b w:val="0"/>
                <w:bCs w:val="0"/>
                <w:color w:val="000000" w:themeColor="text1"/>
                <w:sz w:val="24"/>
                <w:szCs w:val="24"/>
                <w:highlight w:val="none"/>
                <w:lang w:val="en-US" w:eastAsia="zh-CN"/>
                <w14:textFill>
                  <w14:solidFill>
                    <w14:schemeClr w14:val="tx1"/>
                  </w14:solidFill>
                </w14:textFill>
              </w:rPr>
              <w:t>排气</w:t>
            </w:r>
            <w:r>
              <w:rPr>
                <w:rFonts w:hint="eastAsia" w:cs="Times New Roman"/>
                <w:color w:val="000000" w:themeColor="text1"/>
                <w:sz w:val="24"/>
                <w:szCs w:val="24"/>
                <w:highlight w:val="none"/>
                <w:lang w:val="en-US" w:eastAsia="zh-CN"/>
                <w14:textFill>
                  <w14:solidFill>
                    <w14:schemeClr w14:val="tx1"/>
                  </w14:solidFill>
                </w14:textFill>
              </w:rPr>
              <w:t>口</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（DA004）排放</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窑尾提升机卸料粉尘废气（G1-</w:t>
            </w:r>
            <w:r>
              <w:rPr>
                <w:rFonts w:hint="default" w:ascii="Times New Roman" w:hAnsi="Times New Roman" w:cs="Times New Roman"/>
                <w:color w:val="000000" w:themeColor="text1"/>
                <w:sz w:val="24"/>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）经过</w:t>
            </w:r>
            <w:r>
              <w:rPr>
                <w:rFonts w:hint="default" w:ascii="Times New Roman" w:hAnsi="Times New Roman" w:eastAsia="宋体" w:cs="Times New Roman"/>
                <w:b/>
                <w:bCs/>
                <w:color w:val="000000" w:themeColor="text1"/>
                <w:sz w:val="24"/>
                <w:highlight w:val="none"/>
                <w14:textFill>
                  <w14:solidFill>
                    <w14:schemeClr w14:val="tx1"/>
                  </w14:solidFill>
                </w14:textFill>
              </w:rPr>
              <w:t>收尘器</w:t>
            </w:r>
            <w:r>
              <w:rPr>
                <w:rFonts w:hint="default" w:ascii="Times New Roman" w:hAnsi="Times New Roman" w:eastAsia="宋体" w:cs="Times New Roman"/>
                <w:color w:val="000000" w:themeColor="text1"/>
                <w:sz w:val="24"/>
                <w:highlight w:val="none"/>
                <w14:textFill>
                  <w14:solidFill>
                    <w14:schemeClr w14:val="tx1"/>
                  </w14:solidFill>
                </w14:textFill>
              </w:rPr>
              <w:t>进行粉尘净化处理</w:t>
            </w:r>
            <w:r>
              <w:rPr>
                <w:rFonts w:hint="default" w:ascii="Times New Roman" w:hAnsi="Times New Roman" w:cs="Times New Roman"/>
                <w:color w:val="000000" w:themeColor="text1"/>
                <w:sz w:val="24"/>
                <w:highlight w:val="none"/>
                <w:lang w:val="en-US" w:eastAsia="zh-CN"/>
                <w14:textFill>
                  <w14:solidFill>
                    <w14:schemeClr w14:val="tx1"/>
                  </w14:solidFill>
                </w14:textFill>
              </w:rPr>
              <w:t>后</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经1根</w:t>
            </w:r>
            <w:r>
              <w:rPr>
                <w:rFonts w:hint="default" w:ascii="Times New Roman" w:hAnsi="Times New Roman" w:cs="Times New Roman"/>
                <w:b w:val="0"/>
                <w:bCs w:val="0"/>
                <w:color w:val="000000" w:themeColor="text1"/>
                <w:sz w:val="24"/>
                <w:szCs w:val="24"/>
                <w:highlight w:val="none"/>
                <w:lang w:val="en-US" w:eastAsia="zh-CN"/>
                <w14:textFill>
                  <w14:solidFill>
                    <w14:schemeClr w14:val="tx1"/>
                  </w14:solidFill>
                </w14:textFill>
              </w:rPr>
              <w:t>9</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0m高</w:t>
            </w:r>
            <w:r>
              <w:rPr>
                <w:rFonts w:hint="eastAsia" w:cs="Times New Roman"/>
                <w:b w:val="0"/>
                <w:bCs w:val="0"/>
                <w:color w:val="000000" w:themeColor="text1"/>
                <w:sz w:val="24"/>
                <w:szCs w:val="24"/>
                <w:highlight w:val="none"/>
                <w:lang w:val="en-US" w:eastAsia="zh-CN"/>
                <w14:textFill>
                  <w14:solidFill>
                    <w14:schemeClr w14:val="tx1"/>
                  </w14:solidFill>
                </w14:textFill>
              </w:rPr>
              <w:t>排气</w:t>
            </w:r>
            <w:r>
              <w:rPr>
                <w:rFonts w:hint="eastAsia" w:cs="Times New Roman"/>
                <w:color w:val="000000" w:themeColor="text1"/>
                <w:sz w:val="24"/>
                <w:szCs w:val="24"/>
                <w:highlight w:val="none"/>
                <w:lang w:val="en-US" w:eastAsia="zh-CN"/>
                <w14:textFill>
                  <w14:solidFill>
                    <w14:schemeClr w14:val="tx1"/>
                  </w14:solidFill>
                </w14:textFill>
              </w:rPr>
              <w:t>口</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（DA00</w:t>
            </w:r>
            <w:r>
              <w:rPr>
                <w:rFonts w:hint="default" w:ascii="Times New Roman" w:hAnsi="Times New Roman" w:cs="Times New Roman"/>
                <w:b w:val="0"/>
                <w:bCs w:val="0"/>
                <w:color w:val="000000" w:themeColor="text1"/>
                <w:sz w:val="24"/>
                <w:szCs w:val="24"/>
                <w:highlight w:val="none"/>
                <w:lang w:val="en-US" w:eastAsia="zh-CN"/>
                <w14:textFill>
                  <w14:solidFill>
                    <w14:schemeClr w14:val="tx1"/>
                  </w14:solidFill>
                </w14:textFill>
              </w:rPr>
              <w:t>5</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）排放</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w:t>
            </w:r>
          </w:p>
          <w:p w14:paraId="0D8CCBEB">
            <w:pPr>
              <w:spacing w:line="360" w:lineRule="auto"/>
              <w:ind w:firstLine="420" w:firstLineChars="200"/>
              <w:jc w:val="cente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drawing>
                <wp:inline distT="0" distB="0" distL="114300" distR="114300">
                  <wp:extent cx="1924050" cy="2914650"/>
                  <wp:effectExtent l="0" t="0" r="0" b="0"/>
                  <wp:docPr id="4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8"/>
                          <pic:cNvPicPr>
                            <a:picLocks noChangeAspect="1"/>
                          </pic:cNvPicPr>
                        </pic:nvPicPr>
                        <pic:blipFill>
                          <a:blip r:embed="rId19"/>
                          <a:stretch>
                            <a:fillRect/>
                          </a:stretch>
                        </pic:blipFill>
                        <pic:spPr>
                          <a:xfrm>
                            <a:off x="0" y="0"/>
                            <a:ext cx="1924050" cy="2914650"/>
                          </a:xfrm>
                          <a:prstGeom prst="rect">
                            <a:avLst/>
                          </a:prstGeom>
                          <a:noFill/>
                          <a:ln>
                            <a:noFill/>
                          </a:ln>
                        </pic:spPr>
                      </pic:pic>
                    </a:graphicData>
                  </a:graphic>
                </wp:inline>
              </w:drawing>
            </w:r>
          </w:p>
          <w:p w14:paraId="25A92500">
            <w:pPr>
              <w:spacing w:line="360" w:lineRule="auto"/>
              <w:ind w:firstLine="482" w:firstLineChars="200"/>
              <w:jc w:val="center"/>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t>图2-4悬浮预热器+悬浮炉</w:t>
            </w:r>
          </w:p>
          <w:p w14:paraId="24B12F07">
            <w:pPr>
              <w:spacing w:line="360" w:lineRule="auto"/>
              <w:ind w:firstLine="480" w:firstLineChars="200"/>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4</w:t>
            </w:r>
            <w:r>
              <w:rPr>
                <w:rFonts w:hint="default" w:ascii="Times New Roman" w:hAnsi="Times New Roman" w:eastAsia="宋体" w:cs="Times New Roman"/>
                <w:color w:val="000000" w:themeColor="text1"/>
                <w:sz w:val="24"/>
                <w:highlight w:val="none"/>
                <w14:textFill>
                  <w14:solidFill>
                    <w14:schemeClr w14:val="tx1"/>
                  </w14:solidFill>
                </w14:textFill>
              </w:rPr>
              <w:t>）</w:t>
            </w:r>
            <w:r>
              <w:rPr>
                <w:rFonts w:hint="default" w:ascii="Times New Roman" w:hAnsi="Times New Roman" w:cs="Times New Roman"/>
                <w:color w:val="000000" w:themeColor="text1"/>
                <w:sz w:val="24"/>
                <w:highlight w:val="none"/>
                <w:lang w:val="en-US" w:eastAsia="zh-CN"/>
                <w14:textFill>
                  <w14:solidFill>
                    <w14:schemeClr w14:val="tx1"/>
                  </w14:solidFill>
                </w14:textFill>
              </w:rPr>
              <w:t>焙烧废气处理</w:t>
            </w:r>
          </w:p>
          <w:p w14:paraId="0E5FB524">
            <w:pPr>
              <w:spacing w:line="360" w:lineRule="auto"/>
              <w:ind w:firstLine="480" w:firstLineChars="20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从余热锅炉出来的废气经窑尾袋收尘器进行粉尘净化处理，处理后的废气再经窑尾主排风机送至脱硫系统脱硫，脱硫后废气达到排放标准后经脱硫塔烟囱排入大气。收尘器收集的粉尘窑灰经链式输送机、板链提升机送至窑灰仓储存。窑灰再经仓底卸料与出库</w:t>
            </w:r>
            <w:r>
              <w:rPr>
                <w:rFonts w:hint="default" w:ascii="Times New Roman" w:hAnsi="Times New Roman" w:cs="Times New Roman"/>
                <w:color w:val="000000" w:themeColor="text1"/>
                <w:sz w:val="24"/>
                <w:highlight w:val="none"/>
                <w:lang w:val="en-US" w:eastAsia="zh-CN"/>
                <w14:textFill>
                  <w14:solidFill>
                    <w14:schemeClr w14:val="tx1"/>
                  </w14:solidFill>
                </w14:textFill>
              </w:rPr>
              <w:t>原料粉</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搭配送至喂料仓。</w:t>
            </w:r>
          </w:p>
          <w:p w14:paraId="3E5BE8AA">
            <w:pPr>
              <w:spacing w:line="360" w:lineRule="auto"/>
              <w:ind w:firstLine="482" w:firstLineChars="200"/>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废气</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：回转窑</w:t>
            </w:r>
            <w:r>
              <w:rPr>
                <w:rFonts w:hint="default" w:ascii="Times New Roman" w:hAnsi="Times New Roman" w:cs="Times New Roman"/>
                <w:b w:val="0"/>
                <w:bCs w:val="0"/>
                <w:color w:val="000000" w:themeColor="text1"/>
                <w:sz w:val="24"/>
                <w:szCs w:val="24"/>
                <w:highlight w:val="none"/>
                <w:lang w:val="en-US" w:eastAsia="zh-CN"/>
                <w14:textFill>
                  <w14:solidFill>
                    <w14:schemeClr w14:val="tx1"/>
                  </w14:solidFill>
                </w14:textFill>
              </w:rPr>
              <w:t>窑尾预热器烟气排放口的烟气送余热锅炉回收热量后</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烟气（G1-</w:t>
            </w:r>
            <w:r>
              <w:rPr>
                <w:rFonts w:hint="default" w:ascii="Times New Roman" w:hAnsi="Times New Roman" w:cs="Times New Roman"/>
                <w:b w:val="0"/>
                <w:bCs w:val="0"/>
                <w:color w:val="000000" w:themeColor="text1"/>
                <w:sz w:val="24"/>
                <w:szCs w:val="24"/>
                <w:highlight w:val="none"/>
                <w:lang w:val="en-US" w:eastAsia="zh-CN"/>
                <w14:textFill>
                  <w14:solidFill>
                    <w14:schemeClr w14:val="tx1"/>
                  </w14:solidFill>
                </w14:textFill>
              </w:rPr>
              <w:t>6</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）：回转窑</w:t>
            </w:r>
            <w:r>
              <w:rPr>
                <w:rFonts w:hint="default" w:ascii="Times New Roman" w:hAnsi="Times New Roman" w:cs="Times New Roman"/>
                <w:b w:val="0"/>
                <w:bCs w:val="0"/>
                <w:color w:val="000000" w:themeColor="text1"/>
                <w:sz w:val="24"/>
                <w:szCs w:val="24"/>
                <w:highlight w:val="none"/>
                <w:lang w:val="en-US" w:eastAsia="zh-CN"/>
                <w14:textFill>
                  <w14:solidFill>
                    <w14:schemeClr w14:val="tx1"/>
                  </w14:solidFill>
                </w14:textFill>
              </w:rPr>
              <w:t>窑尾</w:t>
            </w:r>
            <w:r>
              <w:rPr>
                <w:rFonts w:hint="default" w:ascii="Times New Roman" w:hAnsi="Times New Roman" w:cs="Times New Roman"/>
                <w:color w:val="000000" w:themeColor="text1"/>
                <w:sz w:val="24"/>
                <w:highlight w:val="none"/>
                <w:lang w:val="en-US" w:eastAsia="zh-CN"/>
                <w14:textFill>
                  <w14:solidFill>
                    <w14:schemeClr w14:val="tx1"/>
                  </w14:solidFill>
                </w14:textFill>
              </w:rPr>
              <w:t>采用“</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分级燃烧+缺氧燃烧+烟气再循环（FGR）”组合</w:t>
            </w:r>
            <w:r>
              <w:rPr>
                <w:rFonts w:hint="default" w:ascii="Times New Roman" w:hAnsi="Times New Roman" w:cs="Times New Roman"/>
                <w:color w:val="000000" w:themeColor="text1"/>
                <w:sz w:val="24"/>
                <w:highlight w:val="none"/>
                <w:lang w:val="en-US" w:eastAsia="zh-CN"/>
                <w14:textFill>
                  <w14:solidFill>
                    <w14:schemeClr w14:val="tx1"/>
                  </w14:solidFill>
                </w14:textFill>
              </w:rPr>
              <w:t>低氮燃烧</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煅烧会产生烟气，该部分燃烧烟气</w:t>
            </w:r>
            <w:r>
              <w:rPr>
                <w:rFonts w:hint="default" w:ascii="Times New Roman" w:hAnsi="Times New Roman" w:eastAsia="宋体" w:cs="Times New Roman"/>
                <w:color w:val="000000" w:themeColor="text1"/>
                <w:sz w:val="24"/>
                <w:highlight w:val="none"/>
                <w14:textFill>
                  <w14:solidFill>
                    <w14:schemeClr w14:val="tx1"/>
                  </w14:solidFill>
                </w14:textFill>
              </w:rPr>
              <w:t>从高温风机出来的废气</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后</w:t>
            </w:r>
            <w:r>
              <w:rPr>
                <w:rFonts w:hint="default" w:ascii="Times New Roman" w:hAnsi="Times New Roman" w:eastAsia="宋体" w:cs="Times New Roman"/>
                <w:color w:val="000000" w:themeColor="text1"/>
                <w:sz w:val="24"/>
                <w:highlight w:val="none"/>
                <w14:textFill>
                  <w14:solidFill>
                    <w14:schemeClr w14:val="tx1"/>
                  </w14:solidFill>
                </w14:textFill>
              </w:rPr>
              <w:t>经</w:t>
            </w:r>
            <w:r>
              <w:rPr>
                <w:rFonts w:hint="default" w:ascii="Times New Roman" w:hAnsi="Times New Roman" w:cs="Times New Roman"/>
                <w:color w:val="000000" w:themeColor="text1"/>
                <w:sz w:val="24"/>
                <w:highlight w:val="none"/>
                <w:lang w:val="en-US" w:eastAsia="zh-CN"/>
                <w14:textFill>
                  <w14:solidFill>
                    <w14:schemeClr w14:val="tx1"/>
                  </w14:solidFill>
                </w14:textFill>
              </w:rPr>
              <w:t>余热锅炉回收热量后，经</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脱硝装置</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SNCR</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脱硝，脱硝后进入</w:t>
            </w:r>
            <w:r>
              <w:rPr>
                <w:rFonts w:hint="default" w:ascii="Times New Roman" w:hAnsi="Times New Roman" w:eastAsia="宋体" w:cs="Times New Roman"/>
                <w:b w:val="0"/>
                <w:bCs w:val="0"/>
                <w:color w:val="000000" w:themeColor="text1"/>
                <w:sz w:val="24"/>
                <w:highlight w:val="none"/>
                <w14:textFill>
                  <w14:solidFill>
                    <w14:schemeClr w14:val="tx1"/>
                  </w14:solidFill>
                </w14:textFill>
              </w:rPr>
              <w:t>窑尾袋收尘器</w:t>
            </w:r>
            <w:r>
              <w:rPr>
                <w:rFonts w:hint="default" w:ascii="Times New Roman" w:hAnsi="Times New Roman" w:eastAsia="宋体" w:cs="Times New Roman"/>
                <w:color w:val="000000" w:themeColor="text1"/>
                <w:sz w:val="24"/>
                <w:highlight w:val="none"/>
                <w14:textFill>
                  <w14:solidFill>
                    <w14:schemeClr w14:val="tx1"/>
                  </w14:solidFill>
                </w14:textFill>
              </w:rPr>
              <w:t>进行粉尘净化处理，处理后的废气再经窑尾废气风机送至</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石灰石</w:t>
            </w:r>
            <w:r>
              <w:rPr>
                <w:rFonts w:hint="default" w:ascii="Times New Roman" w:hAnsi="Times New Roman" w:cs="Times New Roman"/>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石膏湿法</w:t>
            </w:r>
            <w:r>
              <w:rPr>
                <w:rFonts w:hint="default" w:ascii="Times New Roman" w:hAnsi="Times New Roman" w:eastAsia="宋体" w:cs="Times New Roman"/>
                <w:color w:val="000000" w:themeColor="text1"/>
                <w:sz w:val="24"/>
                <w:highlight w:val="none"/>
                <w14:textFill>
                  <w14:solidFill>
                    <w14:schemeClr w14:val="tx1"/>
                  </w14:solidFill>
                </w14:textFill>
              </w:rPr>
              <w:t>脱硫系统脱硫，脱硫后废气达到排放标准后经烟囱排入大气。收尘器收集的粉尘窑灰经链式输送机、板链提升机送至</w:t>
            </w:r>
            <w:r>
              <w:rPr>
                <w:rFonts w:hint="default" w:ascii="Times New Roman" w:hAnsi="Times New Roman" w:eastAsia="宋体" w:cs="Times New Roman"/>
                <w:b w:val="0"/>
                <w:bCs w:val="0"/>
                <w:color w:val="000000" w:themeColor="text1"/>
                <w:sz w:val="24"/>
                <w:highlight w:val="none"/>
                <w14:textFill>
                  <w14:solidFill>
                    <w14:schemeClr w14:val="tx1"/>
                  </w14:solidFill>
                </w14:textFill>
              </w:rPr>
              <w:t>窑灰仓</w:t>
            </w:r>
            <w:r>
              <w:rPr>
                <w:rFonts w:hint="default" w:ascii="Times New Roman" w:hAnsi="Times New Roman" w:eastAsia="宋体" w:cs="Times New Roman"/>
                <w:color w:val="000000" w:themeColor="text1"/>
                <w:sz w:val="24"/>
                <w:highlight w:val="none"/>
                <w14:textFill>
                  <w14:solidFill>
                    <w14:schemeClr w14:val="tx1"/>
                  </w14:solidFill>
                </w14:textFill>
              </w:rPr>
              <w:t>储存。窑灰再经仓底卸料计量输送设备与</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悬浮炉物料</w:t>
            </w:r>
            <w:r>
              <w:rPr>
                <w:rFonts w:hint="default" w:ascii="Times New Roman" w:hAnsi="Times New Roman" w:eastAsia="宋体" w:cs="Times New Roman"/>
                <w:color w:val="000000" w:themeColor="text1"/>
                <w:sz w:val="24"/>
                <w:highlight w:val="none"/>
                <w14:textFill>
                  <w14:solidFill>
                    <w14:schemeClr w14:val="tx1"/>
                  </w14:solidFill>
                </w14:textFill>
              </w:rPr>
              <w:t>搭配送至入窑提升机入</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回转窑</w:t>
            </w:r>
            <w:r>
              <w:rPr>
                <w:rFonts w:hint="default" w:ascii="Times New Roman" w:hAnsi="Times New Roman" w:eastAsia="宋体" w:cs="Times New Roman"/>
                <w:color w:val="000000" w:themeColor="text1"/>
                <w:sz w:val="24"/>
                <w:highlight w:val="none"/>
                <w14:textFill>
                  <w14:solidFill>
                    <w14:schemeClr w14:val="tx1"/>
                  </w14:solidFill>
                </w14:textFill>
              </w:rPr>
              <w:t>煅烧系统。</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经1根</w:t>
            </w:r>
            <w:r>
              <w:rPr>
                <w:rFonts w:hint="default" w:ascii="Times New Roman" w:hAnsi="Times New Roman" w:cs="Times New Roman"/>
                <w:b w:val="0"/>
                <w:bCs w:val="0"/>
                <w:color w:val="000000" w:themeColor="text1"/>
                <w:sz w:val="24"/>
                <w:szCs w:val="24"/>
                <w:highlight w:val="none"/>
                <w:lang w:val="en-US" w:eastAsia="zh-CN"/>
                <w14:textFill>
                  <w14:solidFill>
                    <w14:schemeClr w14:val="tx1"/>
                  </w14:solidFill>
                </w14:textFill>
              </w:rPr>
              <w:t>42m</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高</w:t>
            </w:r>
            <w:r>
              <w:rPr>
                <w:rFonts w:hint="eastAsia" w:cs="Times New Roman"/>
                <w:b w:val="0"/>
                <w:bCs w:val="0"/>
                <w:color w:val="000000" w:themeColor="text1"/>
                <w:sz w:val="24"/>
                <w:szCs w:val="24"/>
                <w:highlight w:val="none"/>
                <w:lang w:val="en-US" w:eastAsia="zh-CN"/>
                <w14:textFill>
                  <w14:solidFill>
                    <w14:schemeClr w14:val="tx1"/>
                  </w14:solidFill>
                </w14:textFill>
              </w:rPr>
              <w:t>排气</w:t>
            </w:r>
            <w:r>
              <w:rPr>
                <w:rFonts w:hint="eastAsia" w:cs="Times New Roman"/>
                <w:color w:val="000000" w:themeColor="text1"/>
                <w:sz w:val="24"/>
                <w:szCs w:val="24"/>
                <w:highlight w:val="none"/>
                <w:lang w:val="en-US" w:eastAsia="zh-CN"/>
                <w14:textFill>
                  <w14:solidFill>
                    <w14:schemeClr w14:val="tx1"/>
                  </w14:solidFill>
                </w14:textFill>
              </w:rPr>
              <w:t>口</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（DA006）排放。</w:t>
            </w:r>
          </w:p>
          <w:p w14:paraId="01D6634E">
            <w:pPr>
              <w:spacing w:line="360" w:lineRule="auto"/>
              <w:ind w:firstLine="482" w:firstLineChars="200"/>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t>固废：</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废气湿法脱硫后产生脱硫石膏固废（S2）、脱硫废水沉淀污泥（S3）和脱硫废水（W2）。</w:t>
            </w:r>
          </w:p>
          <w:p w14:paraId="0E7B1EA4">
            <w:pPr>
              <w:spacing w:line="360" w:lineRule="auto"/>
              <w:ind w:firstLine="480" w:firstLineChars="20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回转</w:t>
            </w:r>
            <w:r>
              <w:rPr>
                <w:rFonts w:hint="default" w:ascii="Times New Roman" w:hAnsi="Times New Roman" w:eastAsia="宋体" w:cs="Times New Roman"/>
                <w:b w:val="0"/>
                <w:bCs w:val="0"/>
                <w:color w:val="000000" w:themeColor="text1"/>
                <w:sz w:val="24"/>
                <w:highlight w:val="none"/>
                <w14:textFill>
                  <w14:solidFill>
                    <w14:schemeClr w14:val="tx1"/>
                  </w14:solidFill>
                </w14:textFill>
              </w:rPr>
              <w:t>窑</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窑中</w:t>
            </w:r>
            <w:r>
              <w:rPr>
                <w:rFonts w:hint="default" w:ascii="Times New Roman" w:hAnsi="Times New Roman" w:eastAsia="宋体" w:cs="Times New Roman"/>
                <w:color w:val="000000" w:themeColor="text1"/>
                <w:sz w:val="24"/>
                <w:highlight w:val="none"/>
                <w14:textFill>
                  <w14:solidFill>
                    <w14:schemeClr w14:val="tx1"/>
                  </w14:solidFill>
                </w14:textFill>
              </w:rPr>
              <w:t>煅烧</w:t>
            </w:r>
          </w:p>
          <w:p w14:paraId="6E691352">
            <w:pPr>
              <w:spacing w:line="360" w:lineRule="auto"/>
              <w:ind w:firstLine="480" w:firstLineChars="20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脱水后产物的转化阶段</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脱水过程中自550</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开始生成偏高岭石，偏高岭石是接近煤系高岭土结构的产物，但不完全是晶体</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脱水后产物继续转化的起始温度是925</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w:t>
            </w:r>
          </w:p>
          <w:p w14:paraId="647A2E26">
            <w:pPr>
              <w:spacing w:line="360" w:lineRule="auto"/>
              <w:ind w:firstLine="480" w:firstLineChars="200"/>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转化阶段</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cs="Times New Roman"/>
                <w:color w:val="000000" w:themeColor="text1"/>
                <w:sz w:val="24"/>
                <w:szCs w:val="24"/>
                <w:highlight w:val="none"/>
                <w14:textFill>
                  <w14:solidFill>
                    <w14:schemeClr w14:val="tx1"/>
                  </w14:solidFill>
                </w14:textFill>
              </w:rPr>
              <w:t>其主要反应如下：</w:t>
            </w:r>
          </w:p>
          <w:p w14:paraId="1BE7A6A4">
            <w:pPr>
              <w:spacing w:line="360" w:lineRule="auto"/>
              <w:ind w:firstLine="480" w:firstLineChars="200"/>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脱水产物分解出无定形</w:t>
            </w:r>
            <w:r>
              <w:rPr>
                <w:rFonts w:hint="default" w:ascii="Times New Roman" w:hAnsi="Times New Roman" w:cs="Times New Roman"/>
                <w:color w:val="000000" w:themeColor="text1"/>
                <w:sz w:val="24"/>
                <w:szCs w:val="24"/>
                <w:highlight w:val="none"/>
                <w14:textFill>
                  <w14:solidFill>
                    <w14:schemeClr w14:val="tx1"/>
                  </w14:solidFill>
                </w14:textFill>
              </w:rPr>
              <w:t>Al</w:t>
            </w:r>
            <w:r>
              <w:rPr>
                <w:rFonts w:hint="default" w:ascii="Times New Roman" w:hAnsi="Times New Roman" w:cs="Times New Roman"/>
                <w:color w:val="000000" w:themeColor="text1"/>
                <w:sz w:val="24"/>
                <w:szCs w:val="24"/>
                <w:highlight w:val="none"/>
                <w:vertAlign w:val="subscript"/>
                <w14:textFill>
                  <w14:solidFill>
                    <w14:schemeClr w14:val="tx1"/>
                  </w14:solidFill>
                </w14:textFill>
              </w:rPr>
              <w:t>2</w:t>
            </w:r>
            <w:r>
              <w:rPr>
                <w:rFonts w:hint="default" w:ascii="Times New Roman" w:hAnsi="Times New Roman" w:cs="Times New Roman"/>
                <w:color w:val="000000" w:themeColor="text1"/>
                <w:sz w:val="24"/>
                <w:szCs w:val="24"/>
                <w:highlight w:val="none"/>
                <w14:textFill>
                  <w14:solidFill>
                    <w14:schemeClr w14:val="tx1"/>
                  </w14:solidFill>
                </w14:textFill>
              </w:rPr>
              <w:t>O</w:t>
            </w:r>
            <w:r>
              <w:rPr>
                <w:rFonts w:hint="default" w:ascii="Times New Roman" w:hAnsi="Times New Roman" w:cs="Times New Roman"/>
                <w:color w:val="000000" w:themeColor="text1"/>
                <w:sz w:val="24"/>
                <w:szCs w:val="24"/>
                <w:highlight w:val="none"/>
                <w:vertAlign w:val="subscript"/>
                <w14:textFill>
                  <w14:solidFill>
                    <w14:schemeClr w14:val="tx1"/>
                  </w14:solidFill>
                </w14:textFill>
              </w:rPr>
              <w:t>3</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在950℃左右开始转变为</w:t>
            </w:r>
            <w:r>
              <w:rPr>
                <w:rFonts w:hint="default" w:ascii="Times New Roman" w:hAnsi="Times New Roman" w:cs="Times New Roman"/>
                <w:color w:val="000000" w:themeColor="text1"/>
                <w:sz w:val="24"/>
                <w:szCs w:val="24"/>
                <w:highlight w:val="none"/>
                <w:vertAlign w:val="baseline"/>
                <w:lang w:val="en-US" w:eastAsia="zh-CN"/>
                <w14:textFill>
                  <w14:solidFill>
                    <w14:schemeClr w14:val="tx1"/>
                  </w14:solidFill>
                </w14:textFill>
              </w:rPr>
              <w:t>γ</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-Al</w:t>
            </w:r>
            <w:r>
              <w:rPr>
                <w:rFonts w:hint="default" w:ascii="Times New Roman" w:hAnsi="Times New Roman" w:eastAsia="宋体" w:cs="Times New Roman"/>
                <w:color w:val="000000" w:themeColor="text1"/>
                <w:sz w:val="24"/>
                <w:highlight w:val="none"/>
                <w:vertAlign w:val="subscript"/>
                <w:lang w:val="en-US" w:eastAsia="zh-CN"/>
                <w14:textFill>
                  <w14:solidFill>
                    <w14:schemeClr w14:val="tx1"/>
                  </w14:solidFill>
                </w14:textFill>
              </w:rPr>
              <w:t>2</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O</w:t>
            </w:r>
            <w:r>
              <w:rPr>
                <w:rFonts w:hint="default" w:ascii="Times New Roman" w:hAnsi="Times New Roman" w:eastAsia="宋体" w:cs="Times New Roman"/>
                <w:color w:val="000000" w:themeColor="text1"/>
                <w:sz w:val="24"/>
                <w:highlight w:val="none"/>
                <w:vertAlign w:val="subscript"/>
                <w:lang w:val="en-US" w:eastAsia="zh-CN"/>
                <w14:textFill>
                  <w14:solidFill>
                    <w14:schemeClr w14:val="tx1"/>
                  </w14:solidFill>
                </w14:textFill>
              </w:rPr>
              <w:t>3</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w:t>
            </w:r>
            <w:r>
              <w:rPr>
                <w:rFonts w:hint="default" w:ascii="Times New Roman" w:hAnsi="Times New Roman" w:cs="Times New Roman"/>
                <w:color w:val="000000" w:themeColor="text1"/>
                <w:sz w:val="24"/>
                <w:szCs w:val="24"/>
                <w:highlight w:val="none"/>
                <w:vertAlign w:val="baseline"/>
                <w:lang w:val="en-US" w:eastAsia="zh-CN"/>
                <w14:textFill>
                  <w14:solidFill>
                    <w14:schemeClr w14:val="tx1"/>
                  </w14:solidFill>
                </w14:textFill>
              </w:rPr>
              <w:t>γ</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-Al</w:t>
            </w:r>
            <w:r>
              <w:rPr>
                <w:rFonts w:hint="default" w:ascii="Times New Roman" w:hAnsi="Times New Roman" w:eastAsia="宋体" w:cs="Times New Roman"/>
                <w:color w:val="000000" w:themeColor="text1"/>
                <w:sz w:val="24"/>
                <w:highlight w:val="none"/>
                <w:vertAlign w:val="subscript"/>
                <w:lang w:val="en-US" w:eastAsia="zh-CN"/>
                <w14:textFill>
                  <w14:solidFill>
                    <w14:schemeClr w14:val="tx1"/>
                  </w14:solidFill>
                </w14:textFill>
              </w:rPr>
              <w:t>2</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O</w:t>
            </w:r>
            <w:r>
              <w:rPr>
                <w:rFonts w:hint="default" w:ascii="Times New Roman" w:hAnsi="Times New Roman" w:eastAsia="宋体" w:cs="Times New Roman"/>
                <w:color w:val="000000" w:themeColor="text1"/>
                <w:sz w:val="24"/>
                <w:highlight w:val="none"/>
                <w:vertAlign w:val="subscript"/>
                <w:lang w:val="en-US" w:eastAsia="zh-CN"/>
                <w14:textFill>
                  <w14:solidFill>
                    <w14:schemeClr w14:val="tx1"/>
                  </w14:solidFill>
                </w14:textFill>
              </w:rPr>
              <w:t>3</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与SiO</w:t>
            </w:r>
            <w:r>
              <w:rPr>
                <w:rFonts w:hint="default" w:ascii="Times New Roman" w:hAnsi="Times New Roman" w:eastAsia="宋体" w:cs="Times New Roman"/>
                <w:color w:val="000000" w:themeColor="text1"/>
                <w:sz w:val="24"/>
                <w:highlight w:val="none"/>
                <w:vertAlign w:val="subscript"/>
                <w:lang w:val="en-US" w:eastAsia="zh-CN"/>
                <w14:textFill>
                  <w14:solidFill>
                    <w14:schemeClr w14:val="tx1"/>
                  </w14:solidFill>
                </w14:textFill>
              </w:rPr>
              <w:t>2</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在1100℃可生成微量莫来石晶体。</w:t>
            </w:r>
          </w:p>
          <w:p w14:paraId="12148045">
            <w:pPr>
              <w:spacing w:line="360" w:lineRule="auto"/>
              <w:ind w:firstLine="480" w:firstLineChars="200"/>
              <w:rPr>
                <w:rFonts w:hint="default" w:ascii="Times New Roman" w:hAnsi="Times New Roman" w:cs="Times New Roman"/>
                <w:color w:val="000000" w:themeColor="text1"/>
                <w:sz w:val="24"/>
                <w:szCs w:val="24"/>
                <w:highlight w:val="none"/>
                <w:vertAlign w:val="baseline"/>
                <w:lang w:eastAsia="zh-CN"/>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SiO</w:t>
            </w:r>
            <w:r>
              <w:rPr>
                <w:rFonts w:hint="default" w:ascii="Times New Roman" w:hAnsi="Times New Roman" w:cs="Times New Roman"/>
                <w:color w:val="000000" w:themeColor="text1"/>
                <w:sz w:val="24"/>
                <w:szCs w:val="24"/>
                <w:highlight w:val="none"/>
                <w:vertAlign w:val="subscript"/>
                <w14:textFill>
                  <w14:solidFill>
                    <w14:schemeClr w14:val="tx1"/>
                  </w14:solidFill>
                </w14:textFill>
              </w:rPr>
              <w:t>2</w:t>
            </w:r>
            <w:r>
              <w:rPr>
                <w:rFonts w:hint="default" w:ascii="Times New Roman" w:hAnsi="Times New Roman" w:cs="Times New Roman"/>
                <w:color w:val="000000" w:themeColor="text1"/>
                <w:sz w:val="24"/>
                <w:szCs w:val="24"/>
                <w:highlight w:val="none"/>
                <w14:textFill>
                  <w14:solidFill>
                    <w14:schemeClr w14:val="tx1"/>
                  </w14:solidFill>
                </w14:textFill>
              </w:rPr>
              <w:t>·</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2</w:t>
            </w:r>
            <w:r>
              <w:rPr>
                <w:rFonts w:hint="default" w:ascii="Times New Roman" w:hAnsi="Times New Roman" w:cs="Times New Roman"/>
                <w:color w:val="000000" w:themeColor="text1"/>
                <w:sz w:val="24"/>
                <w:szCs w:val="24"/>
                <w:highlight w:val="none"/>
                <w14:textFill>
                  <w14:solidFill>
                    <w14:schemeClr w14:val="tx1"/>
                  </w14:solidFill>
                </w14:textFill>
              </w:rPr>
              <w:t>Al</w:t>
            </w:r>
            <w:r>
              <w:rPr>
                <w:rFonts w:hint="default" w:ascii="Times New Roman" w:hAnsi="Times New Roman" w:cs="Times New Roman"/>
                <w:color w:val="000000" w:themeColor="text1"/>
                <w:sz w:val="24"/>
                <w:szCs w:val="24"/>
                <w:highlight w:val="none"/>
                <w:vertAlign w:val="subscript"/>
                <w14:textFill>
                  <w14:solidFill>
                    <w14:schemeClr w14:val="tx1"/>
                  </w14:solidFill>
                </w14:textFill>
              </w:rPr>
              <w:t>2</w:t>
            </w:r>
            <w:r>
              <w:rPr>
                <w:rFonts w:hint="default" w:ascii="Times New Roman" w:hAnsi="Times New Roman" w:cs="Times New Roman"/>
                <w:color w:val="000000" w:themeColor="text1"/>
                <w:sz w:val="24"/>
                <w:szCs w:val="24"/>
                <w:highlight w:val="none"/>
                <w14:textFill>
                  <w14:solidFill>
                    <w14:schemeClr w14:val="tx1"/>
                  </w14:solidFill>
                </w14:textFill>
              </w:rPr>
              <w:t>O</w:t>
            </w:r>
            <w:r>
              <w:rPr>
                <w:rFonts w:hint="default" w:ascii="Times New Roman" w:hAnsi="Times New Roman" w:cs="Times New Roman"/>
                <w:color w:val="000000" w:themeColor="text1"/>
                <w:sz w:val="24"/>
                <w:szCs w:val="24"/>
                <w:highlight w:val="none"/>
                <w:vertAlign w:val="subscript"/>
                <w14:textFill>
                  <w14:solidFill>
                    <w14:schemeClr w14:val="tx1"/>
                  </w14:solidFill>
                </w14:textFill>
              </w:rPr>
              <w:t>3</w:t>
            </w:r>
            <w:r>
              <w:rPr>
                <w:rFonts w:hint="default" w:ascii="Times New Roman" w:hAnsi="Times New Roman" w:cs="Times New Roman"/>
                <w:color w:val="000000" w:themeColor="text1"/>
                <w:sz w:val="24"/>
                <w:szCs w:val="24"/>
                <w:highlight w:val="none"/>
                <w:vertAlign w:val="baseline"/>
                <w:lang w:val="en-US" w:eastAsia="zh-CN"/>
                <w14:textFill>
                  <w14:solidFill>
                    <w14:schemeClr w14:val="tx1"/>
                  </w14:solidFill>
                </w14:textFill>
              </w:rPr>
              <w:t>=</w:t>
            </w:r>
            <w:r>
              <w:rPr>
                <w:rFonts w:hint="default" w:ascii="Times New Roman" w:hAnsi="Times New Roman" w:cs="Times New Roman"/>
                <w:color w:val="000000" w:themeColor="text1"/>
                <w:sz w:val="24"/>
                <w:szCs w:val="24"/>
                <w:highlight w:val="none"/>
                <w14:textFill>
                  <w14:solidFill>
                    <w14:schemeClr w14:val="tx1"/>
                  </w14:solidFill>
                </w14:textFill>
              </w:rPr>
              <w:t>Al</w:t>
            </w:r>
            <w:r>
              <w:rPr>
                <w:rFonts w:hint="default" w:ascii="Times New Roman" w:hAnsi="Times New Roman" w:cs="Times New Roman"/>
                <w:color w:val="000000" w:themeColor="text1"/>
                <w:sz w:val="24"/>
                <w:szCs w:val="24"/>
                <w:highlight w:val="none"/>
                <w:vertAlign w:val="subscript"/>
                <w14:textFill>
                  <w14:solidFill>
                    <w14:schemeClr w14:val="tx1"/>
                  </w14:solidFill>
                </w14:textFill>
              </w:rPr>
              <w:t>2</w:t>
            </w:r>
            <w:r>
              <w:rPr>
                <w:rFonts w:hint="default" w:ascii="Times New Roman" w:hAnsi="Times New Roman" w:cs="Times New Roman"/>
                <w:color w:val="000000" w:themeColor="text1"/>
                <w:sz w:val="24"/>
                <w:szCs w:val="24"/>
                <w:highlight w:val="none"/>
                <w14:textFill>
                  <w14:solidFill>
                    <w14:schemeClr w14:val="tx1"/>
                  </w14:solidFill>
                </w14:textFill>
              </w:rPr>
              <w:t>O</w:t>
            </w:r>
            <w:r>
              <w:rPr>
                <w:rFonts w:hint="default" w:ascii="Times New Roman" w:hAnsi="Times New Roman" w:cs="Times New Roman"/>
                <w:color w:val="000000" w:themeColor="text1"/>
                <w:sz w:val="24"/>
                <w:szCs w:val="24"/>
                <w:highlight w:val="none"/>
                <w:vertAlign w:val="subscript"/>
                <w14:textFill>
                  <w14:solidFill>
                    <w14:schemeClr w14:val="tx1"/>
                  </w14:solidFill>
                </w14:textFill>
              </w:rPr>
              <w:t>3</w:t>
            </w:r>
            <w:r>
              <w:rPr>
                <w:rFonts w:hint="default" w:ascii="Times New Roman" w:hAnsi="Times New Roman" w:cs="Times New Roman"/>
                <w:color w:val="000000" w:themeColor="text1"/>
                <w:sz w:val="24"/>
                <w:szCs w:val="24"/>
                <w:highlight w:val="none"/>
                <w:vertAlign w:val="baseline"/>
                <w:lang w:eastAsia="zh-CN"/>
                <w14:textFill>
                  <w14:solidFill>
                    <w14:schemeClr w14:val="tx1"/>
                  </w14:solidFill>
                </w14:textFill>
              </w:rPr>
              <w:t>（</w:t>
            </w:r>
            <w:r>
              <w:rPr>
                <w:rFonts w:hint="default" w:ascii="Times New Roman" w:hAnsi="Times New Roman" w:cs="Times New Roman"/>
                <w:color w:val="000000" w:themeColor="text1"/>
                <w:sz w:val="24"/>
                <w:szCs w:val="24"/>
                <w:highlight w:val="none"/>
                <w:vertAlign w:val="baseline"/>
                <w:lang w:val="en-US" w:eastAsia="zh-CN"/>
                <w14:textFill>
                  <w14:solidFill>
                    <w14:schemeClr w14:val="tx1"/>
                  </w14:solidFill>
                </w14:textFill>
              </w:rPr>
              <w:t>无定形</w:t>
            </w:r>
            <w:r>
              <w:rPr>
                <w:rFonts w:hint="default" w:ascii="Times New Roman" w:hAnsi="Times New Roman" w:cs="Times New Roman"/>
                <w:color w:val="000000" w:themeColor="text1"/>
                <w:sz w:val="24"/>
                <w:szCs w:val="24"/>
                <w:highlight w:val="none"/>
                <w:vertAlign w:val="baseline"/>
                <w:lang w:eastAsia="zh-CN"/>
                <w14:textFill>
                  <w14:solidFill>
                    <w14:schemeClr w14:val="tx1"/>
                  </w14:solidFill>
                </w14:textFill>
              </w:rPr>
              <w:t>）</w:t>
            </w:r>
            <w:r>
              <w:rPr>
                <w:rFonts w:hint="default" w:ascii="Times New Roman" w:hAnsi="Times New Roman" w:cs="Times New Roman"/>
                <w:color w:val="000000" w:themeColor="text1"/>
                <w:sz w:val="24"/>
                <w:szCs w:val="24"/>
                <w:highlight w:val="none"/>
                <w:vertAlign w:val="baseline"/>
                <w:lang w:val="en-US" w:eastAsia="zh-CN"/>
                <w14:textFill>
                  <w14:solidFill>
                    <w14:schemeClr w14:val="tx1"/>
                  </w14:solidFill>
                </w14:textFill>
              </w:rPr>
              <w:t>+</w:t>
            </w:r>
            <w:r>
              <w:rPr>
                <w:rFonts w:hint="default" w:ascii="Times New Roman" w:hAnsi="Times New Roman" w:cs="Times New Roman"/>
                <w:color w:val="000000" w:themeColor="text1"/>
                <w:sz w:val="24"/>
                <w:szCs w:val="24"/>
                <w:highlight w:val="none"/>
                <w14:textFill>
                  <w14:solidFill>
                    <w14:schemeClr w14:val="tx1"/>
                  </w14:solidFill>
                </w14:textFill>
              </w:rPr>
              <w:t>SiO</w:t>
            </w:r>
            <w:r>
              <w:rPr>
                <w:rFonts w:hint="default" w:ascii="Times New Roman" w:hAnsi="Times New Roman" w:cs="Times New Roman"/>
                <w:color w:val="000000" w:themeColor="text1"/>
                <w:sz w:val="24"/>
                <w:szCs w:val="24"/>
                <w:highlight w:val="none"/>
                <w:vertAlign w:val="subscript"/>
                <w14:textFill>
                  <w14:solidFill>
                    <w14:schemeClr w14:val="tx1"/>
                  </w14:solidFill>
                </w14:textFill>
              </w:rPr>
              <w:t>2</w:t>
            </w:r>
            <w:r>
              <w:rPr>
                <w:rFonts w:hint="default" w:ascii="Times New Roman" w:hAnsi="Times New Roman" w:cs="Times New Roman"/>
                <w:color w:val="000000" w:themeColor="text1"/>
                <w:sz w:val="24"/>
                <w:szCs w:val="24"/>
                <w:highlight w:val="none"/>
                <w:vertAlign w:val="baseline"/>
                <w:lang w:eastAsia="zh-CN"/>
                <w14:textFill>
                  <w14:solidFill>
                    <w14:schemeClr w14:val="tx1"/>
                  </w14:solidFill>
                </w14:textFill>
              </w:rPr>
              <w:t>（</w:t>
            </w:r>
            <w:r>
              <w:rPr>
                <w:rFonts w:hint="default" w:ascii="Times New Roman" w:hAnsi="Times New Roman" w:cs="Times New Roman"/>
                <w:color w:val="000000" w:themeColor="text1"/>
                <w:sz w:val="24"/>
                <w:szCs w:val="24"/>
                <w:highlight w:val="none"/>
                <w:vertAlign w:val="baseline"/>
                <w:lang w:val="en-US" w:eastAsia="zh-CN"/>
                <w14:textFill>
                  <w14:solidFill>
                    <w14:schemeClr w14:val="tx1"/>
                  </w14:solidFill>
                </w14:textFill>
              </w:rPr>
              <w:t>无定形</w:t>
            </w:r>
            <w:r>
              <w:rPr>
                <w:rFonts w:hint="default" w:ascii="Times New Roman" w:hAnsi="Times New Roman" w:cs="Times New Roman"/>
                <w:color w:val="000000" w:themeColor="text1"/>
                <w:sz w:val="24"/>
                <w:szCs w:val="24"/>
                <w:highlight w:val="none"/>
                <w:vertAlign w:val="baseline"/>
                <w:lang w:eastAsia="zh-CN"/>
                <w14:textFill>
                  <w14:solidFill>
                    <w14:schemeClr w14:val="tx1"/>
                  </w14:solidFill>
                </w14:textFill>
              </w:rPr>
              <w:t>）</w:t>
            </w:r>
          </w:p>
          <w:p w14:paraId="5096864B">
            <w:pPr>
              <w:spacing w:line="360" w:lineRule="auto"/>
              <w:ind w:firstLine="480" w:firstLineChars="200"/>
              <w:rPr>
                <w:rFonts w:hint="default" w:ascii="Times New Roman" w:hAnsi="Times New Roman" w:cs="Times New Roman"/>
                <w:color w:val="000000" w:themeColor="text1"/>
                <w:sz w:val="24"/>
                <w:szCs w:val="24"/>
                <w:highlight w:val="none"/>
                <w:vertAlign w:val="subscript"/>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Al</w:t>
            </w:r>
            <w:r>
              <w:rPr>
                <w:rFonts w:hint="default" w:ascii="Times New Roman" w:hAnsi="Times New Roman" w:cs="Times New Roman"/>
                <w:color w:val="000000" w:themeColor="text1"/>
                <w:sz w:val="24"/>
                <w:szCs w:val="24"/>
                <w:highlight w:val="none"/>
                <w:vertAlign w:val="subscript"/>
                <w14:textFill>
                  <w14:solidFill>
                    <w14:schemeClr w14:val="tx1"/>
                  </w14:solidFill>
                </w14:textFill>
              </w:rPr>
              <w:t>2</w:t>
            </w:r>
            <w:r>
              <w:rPr>
                <w:rFonts w:hint="default" w:ascii="Times New Roman" w:hAnsi="Times New Roman" w:cs="Times New Roman"/>
                <w:color w:val="000000" w:themeColor="text1"/>
                <w:sz w:val="24"/>
                <w:szCs w:val="24"/>
                <w:highlight w:val="none"/>
                <w14:textFill>
                  <w14:solidFill>
                    <w14:schemeClr w14:val="tx1"/>
                  </w14:solidFill>
                </w14:textFill>
              </w:rPr>
              <w:t>O</w:t>
            </w:r>
            <w:r>
              <w:rPr>
                <w:rFonts w:hint="default" w:ascii="Times New Roman" w:hAnsi="Times New Roman" w:cs="Times New Roman"/>
                <w:color w:val="000000" w:themeColor="text1"/>
                <w:sz w:val="24"/>
                <w:szCs w:val="24"/>
                <w:highlight w:val="none"/>
                <w:vertAlign w:val="subscript"/>
                <w14:textFill>
                  <w14:solidFill>
                    <w14:schemeClr w14:val="tx1"/>
                  </w14:solidFill>
                </w14:textFill>
              </w:rPr>
              <w:t>3</w:t>
            </w:r>
            <w:r>
              <w:rPr>
                <w:rFonts w:hint="default" w:ascii="Times New Roman" w:hAnsi="Times New Roman" w:cs="Times New Roman"/>
                <w:color w:val="000000" w:themeColor="text1"/>
                <w:sz w:val="24"/>
                <w:szCs w:val="24"/>
                <w:highlight w:val="none"/>
                <w:vertAlign w:val="baseline"/>
                <w:lang w:eastAsia="zh-CN"/>
                <w14:textFill>
                  <w14:solidFill>
                    <w14:schemeClr w14:val="tx1"/>
                  </w14:solidFill>
                </w14:textFill>
              </w:rPr>
              <w:t>（</w:t>
            </w:r>
            <w:r>
              <w:rPr>
                <w:rFonts w:hint="default" w:ascii="Times New Roman" w:hAnsi="Times New Roman" w:cs="Times New Roman"/>
                <w:color w:val="000000" w:themeColor="text1"/>
                <w:sz w:val="24"/>
                <w:szCs w:val="24"/>
                <w:highlight w:val="none"/>
                <w:vertAlign w:val="baseline"/>
                <w:lang w:val="en-US" w:eastAsia="zh-CN"/>
                <w14:textFill>
                  <w14:solidFill>
                    <w14:schemeClr w14:val="tx1"/>
                  </w14:solidFill>
                </w14:textFill>
              </w:rPr>
              <w:t>无定形</w:t>
            </w:r>
            <w:r>
              <w:rPr>
                <w:rFonts w:hint="default" w:ascii="Times New Roman" w:hAnsi="Times New Roman" w:cs="Times New Roman"/>
                <w:color w:val="000000" w:themeColor="text1"/>
                <w:sz w:val="24"/>
                <w:szCs w:val="24"/>
                <w:highlight w:val="none"/>
                <w:vertAlign w:val="baseline"/>
                <w:lang w:eastAsia="zh-CN"/>
                <w14:textFill>
                  <w14:solidFill>
                    <w14:schemeClr w14:val="tx1"/>
                  </w14:solidFill>
                </w14:textFill>
              </w:rPr>
              <w:t>）</w:t>
            </w:r>
            <w:r>
              <w:rPr>
                <w:rFonts w:hint="default" w:ascii="Times New Roman" w:hAnsi="Times New Roman" w:cs="Times New Roman"/>
                <w:color w:val="000000" w:themeColor="text1"/>
                <w:sz w:val="24"/>
                <w:szCs w:val="24"/>
                <w:highlight w:val="none"/>
                <w:vertAlign w:val="baseline"/>
                <w:lang w:val="en-US" w:eastAsia="zh-CN"/>
                <w14:textFill>
                  <w14:solidFill>
                    <w14:schemeClr w14:val="tx1"/>
                  </w14:solidFill>
                </w14:textFill>
              </w:rPr>
              <w:t>=γ-</w:t>
            </w:r>
            <w:r>
              <w:rPr>
                <w:rFonts w:hint="default" w:ascii="Times New Roman" w:hAnsi="Times New Roman" w:cs="Times New Roman"/>
                <w:color w:val="000000" w:themeColor="text1"/>
                <w:sz w:val="24"/>
                <w:szCs w:val="24"/>
                <w:highlight w:val="none"/>
                <w14:textFill>
                  <w14:solidFill>
                    <w14:schemeClr w14:val="tx1"/>
                  </w14:solidFill>
                </w14:textFill>
              </w:rPr>
              <w:t>Al</w:t>
            </w:r>
            <w:r>
              <w:rPr>
                <w:rFonts w:hint="default" w:ascii="Times New Roman" w:hAnsi="Times New Roman" w:cs="Times New Roman"/>
                <w:color w:val="000000" w:themeColor="text1"/>
                <w:sz w:val="24"/>
                <w:szCs w:val="24"/>
                <w:highlight w:val="none"/>
                <w:vertAlign w:val="subscript"/>
                <w14:textFill>
                  <w14:solidFill>
                    <w14:schemeClr w14:val="tx1"/>
                  </w14:solidFill>
                </w14:textFill>
              </w:rPr>
              <w:t>2</w:t>
            </w:r>
            <w:r>
              <w:rPr>
                <w:rFonts w:hint="default" w:ascii="Times New Roman" w:hAnsi="Times New Roman" w:cs="Times New Roman"/>
                <w:color w:val="000000" w:themeColor="text1"/>
                <w:sz w:val="24"/>
                <w:szCs w:val="24"/>
                <w:highlight w:val="none"/>
                <w14:textFill>
                  <w14:solidFill>
                    <w14:schemeClr w14:val="tx1"/>
                  </w14:solidFill>
                </w14:textFill>
              </w:rPr>
              <w:t>O</w:t>
            </w:r>
            <w:r>
              <w:rPr>
                <w:rFonts w:hint="default" w:ascii="Times New Roman" w:hAnsi="Times New Roman" w:cs="Times New Roman"/>
                <w:color w:val="000000" w:themeColor="text1"/>
                <w:sz w:val="24"/>
                <w:szCs w:val="24"/>
                <w:highlight w:val="none"/>
                <w:vertAlign w:val="subscript"/>
                <w14:textFill>
                  <w14:solidFill>
                    <w14:schemeClr w14:val="tx1"/>
                  </w14:solidFill>
                </w14:textFill>
              </w:rPr>
              <w:t>3</w:t>
            </w:r>
          </w:p>
          <w:p w14:paraId="2C072F8E">
            <w:pPr>
              <w:spacing w:line="360" w:lineRule="auto"/>
              <w:ind w:firstLine="480" w:firstLineChars="200"/>
              <w:rPr>
                <w:rFonts w:hint="default" w:ascii="Times New Roman" w:hAnsi="Times New Roman" w:eastAsia="宋体" w:cs="Times New Roman"/>
                <w:color w:val="000000" w:themeColor="text1"/>
                <w:sz w:val="24"/>
                <w:szCs w:val="24"/>
                <w:highlight w:val="none"/>
                <w:vertAlign w:val="subscript"/>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vertAlign w:val="baseline"/>
                <w:lang w:val="en-US" w:eastAsia="zh-CN"/>
                <w14:textFill>
                  <w14:solidFill>
                    <w14:schemeClr w14:val="tx1"/>
                  </w14:solidFill>
                </w14:textFill>
              </w:rPr>
              <w:t>γ-</w:t>
            </w:r>
            <w:r>
              <w:rPr>
                <w:rFonts w:hint="default" w:ascii="Times New Roman" w:hAnsi="Times New Roman" w:cs="Times New Roman"/>
                <w:color w:val="000000" w:themeColor="text1"/>
                <w:sz w:val="24"/>
                <w:szCs w:val="24"/>
                <w:highlight w:val="none"/>
                <w14:textFill>
                  <w14:solidFill>
                    <w14:schemeClr w14:val="tx1"/>
                  </w14:solidFill>
                </w14:textFill>
              </w:rPr>
              <w:t>Al</w:t>
            </w:r>
            <w:r>
              <w:rPr>
                <w:rFonts w:hint="default" w:ascii="Times New Roman" w:hAnsi="Times New Roman" w:cs="Times New Roman"/>
                <w:color w:val="000000" w:themeColor="text1"/>
                <w:sz w:val="24"/>
                <w:szCs w:val="24"/>
                <w:highlight w:val="none"/>
                <w:vertAlign w:val="subscript"/>
                <w14:textFill>
                  <w14:solidFill>
                    <w14:schemeClr w14:val="tx1"/>
                  </w14:solidFill>
                </w14:textFill>
              </w:rPr>
              <w:t>2</w:t>
            </w:r>
            <w:r>
              <w:rPr>
                <w:rFonts w:hint="default" w:ascii="Times New Roman" w:hAnsi="Times New Roman" w:cs="Times New Roman"/>
                <w:color w:val="000000" w:themeColor="text1"/>
                <w:sz w:val="24"/>
                <w:szCs w:val="24"/>
                <w:highlight w:val="none"/>
                <w14:textFill>
                  <w14:solidFill>
                    <w14:schemeClr w14:val="tx1"/>
                  </w14:solidFill>
                </w14:textFill>
              </w:rPr>
              <w:t>O</w:t>
            </w:r>
            <w:r>
              <w:rPr>
                <w:rFonts w:hint="default" w:ascii="Times New Roman" w:hAnsi="Times New Roman" w:cs="Times New Roman"/>
                <w:color w:val="000000" w:themeColor="text1"/>
                <w:sz w:val="24"/>
                <w:szCs w:val="24"/>
                <w:highlight w:val="none"/>
                <w:vertAlign w:val="subscript"/>
                <w14:textFill>
                  <w14:solidFill>
                    <w14:schemeClr w14:val="tx1"/>
                  </w14:solidFill>
                </w14:textFill>
              </w:rPr>
              <w:t>3</w:t>
            </w:r>
            <w:r>
              <w:rPr>
                <w:rFonts w:hint="default" w:ascii="Times New Roman" w:hAnsi="Times New Roman" w:cs="Times New Roman"/>
                <w:color w:val="000000" w:themeColor="text1"/>
                <w:sz w:val="24"/>
                <w:szCs w:val="24"/>
                <w:highlight w:val="none"/>
                <w:vertAlign w:val="baseline"/>
                <w:lang w:val="en-US" w:eastAsia="zh-CN"/>
                <w14:textFill>
                  <w14:solidFill>
                    <w14:schemeClr w14:val="tx1"/>
                  </w14:solidFill>
                </w14:textFill>
              </w:rPr>
              <w:t>+2</w:t>
            </w:r>
            <w:r>
              <w:rPr>
                <w:rFonts w:hint="default" w:ascii="Times New Roman" w:hAnsi="Times New Roman" w:cs="Times New Roman"/>
                <w:color w:val="000000" w:themeColor="text1"/>
                <w:sz w:val="24"/>
                <w:szCs w:val="24"/>
                <w:highlight w:val="none"/>
                <w14:textFill>
                  <w14:solidFill>
                    <w14:schemeClr w14:val="tx1"/>
                  </w14:solidFill>
                </w14:textFill>
              </w:rPr>
              <w:t>SiO</w:t>
            </w:r>
            <w:r>
              <w:rPr>
                <w:rFonts w:hint="default" w:ascii="Times New Roman" w:hAnsi="Times New Roman" w:cs="Times New Roman"/>
                <w:color w:val="000000" w:themeColor="text1"/>
                <w:sz w:val="24"/>
                <w:szCs w:val="24"/>
                <w:highlight w:val="none"/>
                <w:vertAlign w:val="subscript"/>
                <w14:textFill>
                  <w14:solidFill>
                    <w14:schemeClr w14:val="tx1"/>
                  </w14:solidFill>
                </w14:textFill>
              </w:rPr>
              <w:t>2</w:t>
            </w:r>
            <w:r>
              <w:rPr>
                <w:rFonts w:hint="default" w:ascii="Times New Roman" w:hAnsi="Times New Roman" w:cs="Times New Roman"/>
                <w:color w:val="000000" w:themeColor="text1"/>
                <w:sz w:val="24"/>
                <w:szCs w:val="24"/>
                <w:highlight w:val="none"/>
                <w:vertAlign w:val="baseline"/>
                <w:lang w:val="en-US" w:eastAsia="zh-CN"/>
                <w14:textFill>
                  <w14:solidFill>
                    <w14:schemeClr w14:val="tx1"/>
                  </w14:solidFill>
                </w14:textFill>
              </w:rPr>
              <w:t>=3</w:t>
            </w:r>
            <w:r>
              <w:rPr>
                <w:rFonts w:hint="default" w:ascii="Times New Roman" w:hAnsi="Times New Roman" w:cs="Times New Roman"/>
                <w:color w:val="000000" w:themeColor="text1"/>
                <w:sz w:val="24"/>
                <w:szCs w:val="24"/>
                <w:highlight w:val="none"/>
                <w14:textFill>
                  <w14:solidFill>
                    <w14:schemeClr w14:val="tx1"/>
                  </w14:solidFill>
                </w14:textFill>
              </w:rPr>
              <w:t>Al</w:t>
            </w:r>
            <w:r>
              <w:rPr>
                <w:rFonts w:hint="default" w:ascii="Times New Roman" w:hAnsi="Times New Roman" w:cs="Times New Roman"/>
                <w:color w:val="000000" w:themeColor="text1"/>
                <w:sz w:val="24"/>
                <w:szCs w:val="24"/>
                <w:highlight w:val="none"/>
                <w:vertAlign w:val="subscript"/>
                <w14:textFill>
                  <w14:solidFill>
                    <w14:schemeClr w14:val="tx1"/>
                  </w14:solidFill>
                </w14:textFill>
              </w:rPr>
              <w:t>2</w:t>
            </w:r>
            <w:r>
              <w:rPr>
                <w:rFonts w:hint="default" w:ascii="Times New Roman" w:hAnsi="Times New Roman" w:cs="Times New Roman"/>
                <w:color w:val="000000" w:themeColor="text1"/>
                <w:sz w:val="24"/>
                <w:szCs w:val="24"/>
                <w:highlight w:val="none"/>
                <w14:textFill>
                  <w14:solidFill>
                    <w14:schemeClr w14:val="tx1"/>
                  </w14:solidFill>
                </w14:textFill>
              </w:rPr>
              <w:t>O</w:t>
            </w:r>
            <w:r>
              <w:rPr>
                <w:rFonts w:hint="default" w:ascii="Times New Roman" w:hAnsi="Times New Roman" w:cs="Times New Roman"/>
                <w:color w:val="000000" w:themeColor="text1"/>
                <w:sz w:val="24"/>
                <w:szCs w:val="24"/>
                <w:highlight w:val="none"/>
                <w:vertAlign w:val="subscript"/>
                <w14:textFill>
                  <w14:solidFill>
                    <w14:schemeClr w14:val="tx1"/>
                  </w14:solidFill>
                </w14:textFill>
              </w:rPr>
              <w:t>3</w:t>
            </w:r>
            <w:r>
              <w:rPr>
                <w:rFonts w:hint="default" w:ascii="Times New Roman" w:hAnsi="Times New Roman" w:cs="Times New Roman"/>
                <w:color w:val="000000" w:themeColor="text1"/>
                <w:sz w:val="24"/>
                <w:szCs w:val="24"/>
                <w:highlight w:val="none"/>
                <w14:textFill>
                  <w14:solidFill>
                    <w14:schemeClr w14:val="tx1"/>
                  </w14:solidFill>
                </w14:textFill>
              </w:rPr>
              <w:t>·</w:t>
            </w:r>
            <w:r>
              <w:rPr>
                <w:rFonts w:hint="default" w:ascii="Times New Roman" w:hAnsi="Times New Roman" w:cs="Times New Roman"/>
                <w:color w:val="000000" w:themeColor="text1"/>
                <w:sz w:val="24"/>
                <w:szCs w:val="24"/>
                <w:highlight w:val="none"/>
                <w:vertAlign w:val="baseline"/>
                <w:lang w:val="en-US" w:eastAsia="zh-CN"/>
                <w14:textFill>
                  <w14:solidFill>
                    <w14:schemeClr w14:val="tx1"/>
                  </w14:solidFill>
                </w14:textFill>
              </w:rPr>
              <w:t>2</w:t>
            </w:r>
            <w:r>
              <w:rPr>
                <w:rFonts w:hint="default" w:ascii="Times New Roman" w:hAnsi="Times New Roman" w:cs="Times New Roman"/>
                <w:color w:val="000000" w:themeColor="text1"/>
                <w:sz w:val="24"/>
                <w:szCs w:val="24"/>
                <w:highlight w:val="none"/>
                <w14:textFill>
                  <w14:solidFill>
                    <w14:schemeClr w14:val="tx1"/>
                  </w14:solidFill>
                </w14:textFill>
              </w:rPr>
              <w:t>SiO</w:t>
            </w:r>
            <w:r>
              <w:rPr>
                <w:rFonts w:hint="default" w:ascii="Times New Roman" w:hAnsi="Times New Roman" w:cs="Times New Roman"/>
                <w:color w:val="000000" w:themeColor="text1"/>
                <w:sz w:val="24"/>
                <w:szCs w:val="24"/>
                <w:highlight w:val="none"/>
                <w:vertAlign w:val="subscript"/>
                <w14:textFill>
                  <w14:solidFill>
                    <w14:schemeClr w14:val="tx1"/>
                  </w14:solidFill>
                </w14:textFill>
              </w:rPr>
              <w:t>2</w:t>
            </w:r>
          </w:p>
          <w:p w14:paraId="60D7A7C9">
            <w:pPr>
              <w:spacing w:line="360" w:lineRule="auto"/>
              <w:ind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工艺简述：</w:t>
            </w:r>
          </w:p>
          <w:p w14:paraId="4BC7DDDA">
            <w:pPr>
              <w:spacing w:line="360" w:lineRule="auto"/>
              <w:ind w:firstLine="480" w:firstLineChars="200"/>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已在悬浮煅烧系统中完成轻烧脱碳的</w:t>
            </w:r>
            <w:r>
              <w:rPr>
                <w:rFonts w:hint="default" w:ascii="Times New Roman" w:hAnsi="Times New Roman" w:cs="Times New Roman"/>
                <w:color w:val="000000" w:themeColor="text1"/>
                <w:sz w:val="24"/>
                <w:highlight w:val="none"/>
                <w:lang w:val="en-US" w:eastAsia="zh-CN"/>
                <w14:textFill>
                  <w14:solidFill>
                    <w14:schemeClr w14:val="tx1"/>
                  </w14:solidFill>
                </w14:textFill>
              </w:rPr>
              <w:t>原料粉从除尘器下料仓卸料</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进入回转窑，在回转窑内通过较长时间的</w:t>
            </w:r>
            <w:r>
              <w:rPr>
                <w:rFonts w:hint="default" w:ascii="Times New Roman" w:hAnsi="Times New Roman" w:cs="Times New Roman"/>
                <w:color w:val="000000" w:themeColor="text1"/>
                <w:sz w:val="24"/>
                <w:highlight w:val="none"/>
                <w:lang w:val="en-US" w:eastAsia="zh-CN"/>
                <w14:textFill>
                  <w14:solidFill>
                    <w14:schemeClr w14:val="tx1"/>
                  </w14:solidFill>
                </w14:textFill>
              </w:rPr>
              <w:t>煅烧</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进一步降低碳含量，提高白度，深度脱碳增白。深度脱碳后的煤矸石即为高岭土，从窑口卸出进入窑头冷却系统。</w:t>
            </w:r>
          </w:p>
          <w:p w14:paraId="5CF17A83">
            <w:pPr>
              <w:spacing w:line="360" w:lineRule="auto"/>
              <w:ind w:firstLine="480" w:firstLineChars="200"/>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回转窑深度脱碳煅烧热量来源于窑头燃气热风炉（出炉热风温度约1350℃），回转窑深度脱碳煅烧热量来源于窑头燃气热风炉，燃料为煤气。</w:t>
            </w:r>
            <w:r>
              <w:rPr>
                <w:rFonts w:hint="eastAsia" w:ascii="Times New Roman" w:hAnsi="Times New Roman" w:cs="Times New Roman"/>
                <w:color w:val="000000" w:themeColor="text1"/>
                <w:sz w:val="24"/>
                <w:highlight w:val="none"/>
                <w:lang w:val="en-US" w:eastAsia="zh-CN"/>
                <w14:textFill>
                  <w14:solidFill>
                    <w14:schemeClr w14:val="tx1"/>
                  </w14:solidFill>
                </w14:textFill>
              </w:rPr>
              <w:t>热风炉燃烧器采</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用</w:t>
            </w:r>
            <w:r>
              <w:rPr>
                <w:rFonts w:hint="default" w:ascii="Times New Roman" w:hAnsi="Times New Roman" w:cs="Times New Roman"/>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分级燃烧+缺氧燃烧+烟气再循环（FGR）</w:t>
            </w:r>
            <w:r>
              <w:rPr>
                <w:rFonts w:hint="default" w:ascii="Times New Roman" w:hAnsi="Times New Roman" w:cs="Times New Roman"/>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降氮技术。</w:t>
            </w:r>
          </w:p>
          <w:p w14:paraId="6C5DB197">
            <w:pPr>
              <w:spacing w:line="360" w:lineRule="auto"/>
              <w:ind w:firstLine="480" w:firstLineChars="20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z w:val="24"/>
                <w:highlight w:val="none"/>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成品</w:t>
            </w:r>
            <w:r>
              <w:rPr>
                <w:rFonts w:hint="default" w:ascii="Times New Roman" w:hAnsi="Times New Roman" w:eastAsia="宋体" w:cs="Times New Roman"/>
                <w:color w:val="000000" w:themeColor="text1"/>
                <w:sz w:val="24"/>
                <w:highlight w:val="none"/>
                <w14:textFill>
                  <w14:solidFill>
                    <w14:schemeClr w14:val="tx1"/>
                  </w14:solidFill>
                </w14:textFill>
              </w:rPr>
              <w:t>冷却</w:t>
            </w:r>
          </w:p>
          <w:p w14:paraId="0CB5CDB8">
            <w:pPr>
              <w:spacing w:line="360" w:lineRule="auto"/>
              <w:ind w:firstLine="480" w:firstLineChars="20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物料经回转窑煅烧后从窑</w:t>
            </w:r>
            <w:r>
              <w:rPr>
                <w:rFonts w:hint="default" w:ascii="Times New Roman" w:hAnsi="Times New Roman" w:cs="Times New Roman"/>
                <w:color w:val="000000" w:themeColor="text1"/>
                <w:sz w:val="24"/>
                <w:highlight w:val="none"/>
                <w:lang w:val="en-US" w:eastAsia="zh-CN"/>
                <w14:textFill>
                  <w14:solidFill>
                    <w14:schemeClr w14:val="tx1"/>
                  </w14:solidFill>
                </w14:textFill>
              </w:rPr>
              <w:t>头</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出料口</w:t>
            </w:r>
            <w:r>
              <w:rPr>
                <w:rFonts w:hint="default" w:ascii="Times New Roman" w:hAnsi="Times New Roman" w:cs="Times New Roman"/>
                <w:color w:val="000000" w:themeColor="text1"/>
                <w:sz w:val="24"/>
                <w:highlight w:val="none"/>
                <w:lang w:val="en-US" w:eastAsia="zh-CN"/>
                <w14:textFill>
                  <w14:solidFill>
                    <w14:schemeClr w14:val="tx1"/>
                  </w14:solidFill>
                </w14:textFill>
              </w:rPr>
              <w:t>卸出，</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通过溜槽落入冷却窑内，在冷却窑尾投入冷却空气，对物料进行冷却，</w:t>
            </w:r>
            <w:r>
              <w:rPr>
                <w:rFonts w:hint="default" w:ascii="Times New Roman" w:hAnsi="Times New Roman" w:eastAsia="宋体" w:cs="Times New Roman"/>
                <w:color w:val="000000" w:themeColor="text1"/>
                <w:sz w:val="24"/>
                <w:highlight w:val="none"/>
                <w14:textFill>
                  <w14:solidFill>
                    <w14:schemeClr w14:val="tx1"/>
                  </w14:solidFill>
                </w14:textFill>
              </w:rPr>
              <w:t>本项目采用了两级冷却，第一级采用</w:t>
            </w:r>
            <w:r>
              <w:rPr>
                <w:rFonts w:hint="default" w:ascii="Times New Roman" w:hAnsi="Times New Roman" w:eastAsia="宋体" w:cs="Times New Roman"/>
                <w:b w:val="0"/>
                <w:bCs w:val="0"/>
                <w:color w:val="000000" w:themeColor="text1"/>
                <w:sz w:val="24"/>
                <w:highlight w:val="none"/>
                <w14:textFill>
                  <w14:solidFill>
                    <w14:schemeClr w14:val="tx1"/>
                  </w14:solidFill>
                </w14:textFill>
              </w:rPr>
              <w:t>高温粉体对流式急冷换热装置，</w:t>
            </w:r>
            <w:r>
              <w:rPr>
                <w:rFonts w:hint="default" w:ascii="Times New Roman" w:hAnsi="Times New Roman" w:eastAsia="宋体" w:cs="Times New Roman"/>
                <w:color w:val="000000" w:themeColor="text1"/>
                <w:sz w:val="24"/>
                <w:highlight w:val="none"/>
                <w14:textFill>
                  <w14:solidFill>
                    <w14:schemeClr w14:val="tx1"/>
                  </w14:solidFill>
                </w14:textFill>
              </w:rPr>
              <w:t>完成高温物料快速冷却，将高岭土从1</w:t>
            </w:r>
            <w:r>
              <w:rPr>
                <w:rFonts w:hint="default" w:ascii="Times New Roman" w:hAnsi="Times New Roman" w:cs="Times New Roman"/>
                <w:color w:val="000000" w:themeColor="text1"/>
                <w:sz w:val="24"/>
                <w:highlight w:val="none"/>
                <w:lang w:val="en-US" w:eastAsia="zh-CN"/>
                <w14:textFill>
                  <w14:solidFill>
                    <w14:schemeClr w14:val="tx1"/>
                  </w14:solidFill>
                </w14:textFill>
              </w:rPr>
              <w:t>35</w:t>
            </w:r>
            <w:r>
              <w:rPr>
                <w:rFonts w:hint="default" w:ascii="Times New Roman" w:hAnsi="Times New Roman" w:eastAsia="宋体" w:cs="Times New Roman"/>
                <w:color w:val="000000" w:themeColor="text1"/>
                <w:sz w:val="24"/>
                <w:highlight w:val="none"/>
                <w14:textFill>
                  <w14:solidFill>
                    <w14:schemeClr w14:val="tx1"/>
                  </w14:solidFill>
                </w14:textFill>
              </w:rPr>
              <w:t>0℃冷却至400℃，对冷却后的热风一部分作为二次风与热风炉热风混合入窑，另一部分作为三次风供悬浮炉煤矸石燃烧，实现了最大程度的热回收利用；第一级冷却后的高岭土再经</w:t>
            </w:r>
            <w:r>
              <w:rPr>
                <w:rFonts w:hint="default" w:ascii="Times New Roman" w:hAnsi="Times New Roman" w:eastAsia="宋体" w:cs="Times New Roman"/>
                <w:b w:val="0"/>
                <w:bCs w:val="0"/>
                <w:color w:val="000000" w:themeColor="text1"/>
                <w:sz w:val="24"/>
                <w:highlight w:val="none"/>
                <w14:textFill>
                  <w14:solidFill>
                    <w14:schemeClr w14:val="tx1"/>
                  </w14:solidFill>
                </w14:textFill>
              </w:rPr>
              <w:t>吸风输送管道</w:t>
            </w:r>
            <w:r>
              <w:rPr>
                <w:rFonts w:hint="default" w:ascii="Times New Roman" w:hAnsi="Times New Roman" w:eastAsia="宋体" w:cs="Times New Roman"/>
                <w:color w:val="000000" w:themeColor="text1"/>
                <w:sz w:val="24"/>
                <w:highlight w:val="none"/>
                <w14:textFill>
                  <w14:solidFill>
                    <w14:schemeClr w14:val="tx1"/>
                  </w14:solidFill>
                </w14:textFill>
              </w:rPr>
              <w:t>进行冷却，将高岭土从</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4</w:t>
            </w:r>
            <w:r>
              <w:rPr>
                <w:rFonts w:hint="default" w:ascii="Times New Roman" w:hAnsi="Times New Roman" w:eastAsia="宋体" w:cs="Times New Roman"/>
                <w:color w:val="000000" w:themeColor="text1"/>
                <w:sz w:val="24"/>
                <w:highlight w:val="none"/>
                <w14:textFill>
                  <w14:solidFill>
                    <w14:schemeClr w14:val="tx1"/>
                  </w14:solidFill>
                </w14:textFill>
              </w:rPr>
              <w:t>00℃冷却至</w:t>
            </w:r>
            <w:r>
              <w:rPr>
                <w:rFonts w:hint="default" w:ascii="Times New Roman" w:hAnsi="Times New Roman" w:cs="Times New Roman"/>
                <w:color w:val="000000" w:themeColor="text1"/>
                <w:sz w:val="24"/>
                <w:highlight w:val="none"/>
                <w:lang w:val="en-US" w:eastAsia="zh-CN"/>
                <w14:textFill>
                  <w14:solidFill>
                    <w14:schemeClr w14:val="tx1"/>
                  </w14:solidFill>
                </w14:textFill>
              </w:rPr>
              <w:t>1</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z w:val="24"/>
                <w:highlight w:val="none"/>
                <w14:textFill>
                  <w14:solidFill>
                    <w14:schemeClr w14:val="tx1"/>
                  </w14:solidFill>
                </w14:textFill>
              </w:rPr>
              <w:t>0℃，并且将</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高活性的</w:t>
            </w:r>
            <w:r>
              <w:rPr>
                <w:rFonts w:hint="default" w:ascii="Times New Roman" w:hAnsi="Times New Roman" w:eastAsia="宋体" w:cs="Times New Roman"/>
                <w:color w:val="000000" w:themeColor="text1"/>
                <w:sz w:val="24"/>
                <w:highlight w:val="none"/>
                <w14:textFill>
                  <w14:solidFill>
                    <w14:schemeClr w14:val="tx1"/>
                  </w14:solidFill>
                </w14:textFill>
              </w:rPr>
              <w:t>高岭土送至高岭土</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分选</w:t>
            </w:r>
            <w:r>
              <w:rPr>
                <w:rFonts w:hint="default" w:ascii="Times New Roman" w:hAnsi="Times New Roman" w:eastAsia="宋体" w:cs="Times New Roman"/>
                <w:color w:val="000000" w:themeColor="text1"/>
                <w:sz w:val="24"/>
                <w:highlight w:val="none"/>
                <w14:textFill>
                  <w14:solidFill>
                    <w14:schemeClr w14:val="tx1"/>
                  </w14:solidFill>
                </w14:textFill>
              </w:rPr>
              <w:t>车间。</w:t>
            </w:r>
          </w:p>
          <w:p w14:paraId="2C3F8778">
            <w:pPr>
              <w:spacing w:line="360" w:lineRule="auto"/>
              <w:ind w:firstLine="480" w:firstLineChars="20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6</w:t>
            </w:r>
            <w:r>
              <w:rPr>
                <w:rFonts w:hint="default" w:ascii="Times New Roman" w:hAnsi="Times New Roman" w:eastAsia="宋体" w:cs="Times New Roman"/>
                <w:color w:val="000000" w:themeColor="text1"/>
                <w:sz w:val="24"/>
                <w:highlight w:val="none"/>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成品分选</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打散分级、</w:t>
            </w:r>
            <w:r>
              <w:rPr>
                <w:rFonts w:hint="default" w:ascii="Times New Roman" w:hAnsi="Times New Roman" w:eastAsia="宋体" w:cs="Times New Roman"/>
                <w:color w:val="000000" w:themeColor="text1"/>
                <w:sz w:val="24"/>
                <w:highlight w:val="none"/>
                <w14:textFill>
                  <w14:solidFill>
                    <w14:schemeClr w14:val="tx1"/>
                  </w14:solidFill>
                </w14:textFill>
              </w:rPr>
              <w:t>粉磨</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p>
          <w:p w14:paraId="229B0430">
            <w:pPr>
              <w:spacing w:line="360" w:lineRule="auto"/>
              <w:ind w:firstLine="480" w:firstLineChars="20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吸风输送管送来的高岭土随气流经</w:t>
            </w:r>
            <w:r>
              <w:rPr>
                <w:rFonts w:hint="default" w:ascii="Times New Roman" w:hAnsi="Times New Roman" w:eastAsia="宋体" w:cs="Times New Roman"/>
                <w:b w:val="0"/>
                <w:bCs w:val="0"/>
                <w:color w:val="000000" w:themeColor="text1"/>
                <w:sz w:val="24"/>
                <w:highlight w:val="none"/>
                <w14:textFill>
                  <w14:solidFill>
                    <w14:schemeClr w14:val="tx1"/>
                  </w14:solidFill>
                </w14:textFill>
              </w:rPr>
              <w:t>打散分级机</w:t>
            </w:r>
            <w:r>
              <w:rPr>
                <w:rFonts w:hint="default" w:ascii="Times New Roman" w:hAnsi="Times New Roman" w:eastAsia="宋体" w:cs="Times New Roman"/>
                <w:color w:val="000000" w:themeColor="text1"/>
                <w:sz w:val="24"/>
                <w:highlight w:val="none"/>
                <w14:textFill>
                  <w14:solidFill>
                    <w14:schemeClr w14:val="tx1"/>
                  </w14:solidFill>
                </w14:textFill>
              </w:rPr>
              <w:t>分选</w:t>
            </w:r>
            <w:r>
              <w:rPr>
                <w:rFonts w:hint="default" w:ascii="Times New Roman" w:hAnsi="Times New Roman" w:cs="Times New Roman"/>
                <w:color w:val="000000" w:themeColor="text1"/>
                <w:sz w:val="24"/>
                <w:highlight w:val="none"/>
                <w:lang w:val="en-US" w:eastAsia="zh-CN"/>
                <w14:textFill>
                  <w14:solidFill>
                    <w14:schemeClr w14:val="tx1"/>
                  </w14:solidFill>
                </w14:textFill>
              </w:rPr>
              <w:t>后</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粉磨</w:t>
            </w:r>
            <w:r>
              <w:rPr>
                <w:rFonts w:hint="default" w:ascii="Times New Roman" w:hAnsi="Times New Roman" w:eastAsia="宋体" w:cs="Times New Roman"/>
                <w:color w:val="000000" w:themeColor="text1"/>
                <w:sz w:val="24"/>
                <w:highlight w:val="none"/>
                <w14:textFill>
                  <w14:solidFill>
                    <w14:schemeClr w14:val="tx1"/>
                  </w14:solidFill>
                </w14:textFill>
              </w:rPr>
              <w:t>，粗料（又称煅烧团聚料）</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进入</w:t>
            </w:r>
            <w:r>
              <w:rPr>
                <w:rFonts w:hint="default" w:ascii="Times New Roman" w:hAnsi="Times New Roman" w:eastAsia="宋体" w:cs="Times New Roman"/>
                <w:color w:val="000000" w:themeColor="text1"/>
                <w:sz w:val="24"/>
                <w:highlight w:val="none"/>
                <w14:textFill>
                  <w14:solidFill>
                    <w14:schemeClr w14:val="tx1"/>
                  </w14:solidFill>
                </w14:textFill>
              </w:rPr>
              <w:t>磨头钢仓，经定量卸料后</w:t>
            </w:r>
            <w:r>
              <w:rPr>
                <w:rFonts w:hint="default" w:ascii="Times New Roman" w:hAnsi="Times New Roman" w:cs="Times New Roman"/>
                <w:color w:val="000000" w:themeColor="text1"/>
                <w:sz w:val="24"/>
                <w:highlight w:val="none"/>
                <w:lang w:eastAsia="zh-CN"/>
                <w14:textFill>
                  <w14:solidFill>
                    <w14:schemeClr w14:val="tx1"/>
                  </w14:solidFill>
                </w14:textFill>
              </w:rPr>
              <w:t>即可</w:t>
            </w:r>
            <w:r>
              <w:rPr>
                <w:rFonts w:hint="default" w:ascii="Times New Roman" w:hAnsi="Times New Roman" w:eastAsia="宋体" w:cs="Times New Roman"/>
                <w:color w:val="000000" w:themeColor="text1"/>
                <w:sz w:val="24"/>
                <w:highlight w:val="none"/>
                <w14:textFill>
                  <w14:solidFill>
                    <w14:schemeClr w14:val="tx1"/>
                  </w14:solidFill>
                </w14:textFill>
              </w:rPr>
              <w:t>大袋包装出厂，</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也可</w:t>
            </w:r>
            <w:r>
              <w:rPr>
                <w:rFonts w:hint="default" w:ascii="Times New Roman" w:hAnsi="Times New Roman" w:eastAsia="宋体" w:cs="Times New Roman"/>
                <w:color w:val="000000" w:themeColor="text1"/>
                <w:sz w:val="24"/>
                <w:highlight w:val="none"/>
                <w14:textFill>
                  <w14:solidFill>
                    <w14:schemeClr w14:val="tx1"/>
                  </w14:solidFill>
                </w14:textFill>
              </w:rPr>
              <w:t>进入球磨，粉磨后再经提升机、空气输送斜槽分两路，一路可返回打散分级机再次分选，另一路送至磨尾钢仓，钢仓下设两路：一路大袋包装出厂，另一路送至</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成品堆棚内的筒仓</w:t>
            </w:r>
            <w:r>
              <w:rPr>
                <w:rFonts w:hint="default" w:ascii="Times New Roman" w:hAnsi="Times New Roman" w:eastAsia="宋体" w:cs="Times New Roman"/>
                <w:color w:val="000000" w:themeColor="text1"/>
                <w:sz w:val="24"/>
                <w:highlight w:val="none"/>
                <w14:textFill>
                  <w14:solidFill>
                    <w14:schemeClr w14:val="tx1"/>
                  </w14:solidFill>
                </w14:textFill>
              </w:rPr>
              <w:t>储存；打散分级机分选出来的细料随气流送至</w:t>
            </w:r>
            <w:r>
              <w:rPr>
                <w:rFonts w:hint="default" w:ascii="Times New Roman" w:hAnsi="Times New Roman" w:cs="Times New Roman"/>
                <w:color w:val="000000" w:themeColor="text1"/>
                <w:sz w:val="24"/>
                <w:highlight w:val="none"/>
                <w:lang w:val="en-US" w:eastAsia="zh-CN"/>
                <w14:textFill>
                  <w14:solidFill>
                    <w14:schemeClr w14:val="tx1"/>
                  </w14:solidFill>
                </w14:textFill>
              </w:rPr>
              <w:t>布</w:t>
            </w:r>
            <w:r>
              <w:rPr>
                <w:rFonts w:hint="default" w:ascii="Times New Roman" w:hAnsi="Times New Roman" w:eastAsia="宋体" w:cs="Times New Roman"/>
                <w:color w:val="000000" w:themeColor="text1"/>
                <w:sz w:val="24"/>
                <w:highlight w:val="none"/>
                <w14:textFill>
                  <w14:solidFill>
                    <w14:schemeClr w14:val="tx1"/>
                  </w14:solidFill>
                </w14:textFill>
              </w:rPr>
              <w:t>袋收尘器收集，收集的成品即合格高岭土</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（此时高岭土已从150℃冷却至50℃）由</w:t>
            </w:r>
            <w:r>
              <w:rPr>
                <w:rFonts w:hint="default" w:ascii="Times New Roman" w:hAnsi="Times New Roman" w:eastAsia="宋体" w:cs="Times New Roman"/>
                <w:color w:val="000000" w:themeColor="text1"/>
                <w:sz w:val="24"/>
                <w:highlight w:val="none"/>
                <w14:textFill>
                  <w14:solidFill>
                    <w14:schemeClr w14:val="tx1"/>
                  </w14:solidFill>
                </w14:textFill>
              </w:rPr>
              <w:t>空气输送斜槽送</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至</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成品堆棚内的筒仓</w:t>
            </w:r>
            <w:r>
              <w:rPr>
                <w:rFonts w:hint="default" w:ascii="Times New Roman" w:hAnsi="Times New Roman" w:eastAsia="宋体" w:cs="Times New Roman"/>
                <w:color w:val="000000" w:themeColor="text1"/>
                <w:sz w:val="24"/>
                <w:highlight w:val="none"/>
                <w14:textFill>
                  <w14:solidFill>
                    <w14:schemeClr w14:val="tx1"/>
                  </w14:solidFill>
                </w14:textFill>
              </w:rPr>
              <w:t>储存，净化后的废气由废气风机排入大气。</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打散分级机分选出来的粗料进入高频重力筛分机，筛分机的筛上物料直接外排，筛分机的筛下物料经吸风输送管道进入打散分级机再次打散分选</w:t>
            </w:r>
            <w:r>
              <w:rPr>
                <w:rFonts w:hint="default" w:ascii="Times New Roman" w:hAnsi="Times New Roman" w:cs="Times New Roman"/>
                <w:color w:val="000000" w:themeColor="text1"/>
                <w:sz w:val="24"/>
                <w:highlight w:val="none"/>
                <w:lang w:val="en-US" w:eastAsia="zh-CN"/>
                <w14:textFill>
                  <w14:solidFill>
                    <w14:schemeClr w14:val="tx1"/>
                  </w14:solidFill>
                </w14:textFill>
              </w:rPr>
              <w:t>。</w:t>
            </w:r>
          </w:p>
          <w:p w14:paraId="30F2786A">
            <w:pPr>
              <w:spacing w:line="360" w:lineRule="auto"/>
              <w:ind w:firstLine="482" w:firstLineChars="200"/>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t>废气：</w:t>
            </w:r>
            <w:r>
              <w:rPr>
                <w:rFonts w:hint="default" w:ascii="Times New Roman" w:hAnsi="Times New Roman" w:eastAsia="宋体" w:cs="Times New Roman"/>
                <w:b w:val="0"/>
                <w:bCs w:val="0"/>
                <w:color w:val="000000" w:themeColor="text1"/>
                <w:sz w:val="24"/>
                <w:highlight w:val="none"/>
                <w14:textFill>
                  <w14:solidFill>
                    <w14:schemeClr w14:val="tx1"/>
                  </w14:solidFill>
                </w14:textFill>
              </w:rPr>
              <w:t>打散</w:t>
            </w:r>
            <w:r>
              <w:rPr>
                <w:rFonts w:hint="default" w:ascii="Times New Roman" w:hAnsi="Times New Roman" w:cs="Times New Roman"/>
                <w:b w:val="0"/>
                <w:bCs w:val="0"/>
                <w:color w:val="000000" w:themeColor="text1"/>
                <w:sz w:val="24"/>
                <w:highlight w:val="none"/>
                <w:lang w:val="en-US" w:eastAsia="zh-CN"/>
                <w14:textFill>
                  <w14:solidFill>
                    <w14:schemeClr w14:val="tx1"/>
                  </w14:solidFill>
                </w14:textFill>
              </w:rPr>
              <w:t>分级</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和</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粉磨过程产生的粉尘废气（G1-</w:t>
            </w:r>
            <w:r>
              <w:rPr>
                <w:rFonts w:hint="default" w:ascii="Times New Roman" w:hAnsi="Times New Roman" w:cs="Times New Roman"/>
                <w:b w:val="0"/>
                <w:bCs w:val="0"/>
                <w:color w:val="000000" w:themeColor="text1"/>
                <w:sz w:val="24"/>
                <w:szCs w:val="24"/>
                <w:highlight w:val="none"/>
                <w:lang w:val="en-US" w:eastAsia="zh-CN"/>
                <w14:textFill>
                  <w14:solidFill>
                    <w14:schemeClr w14:val="tx1"/>
                  </w14:solidFill>
                </w14:textFill>
              </w:rPr>
              <w:t>7、</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G1-</w:t>
            </w:r>
            <w:r>
              <w:rPr>
                <w:rFonts w:hint="default" w:ascii="Times New Roman" w:hAnsi="Times New Roman" w:cs="Times New Roman"/>
                <w:b w:val="0"/>
                <w:bCs w:val="0"/>
                <w:color w:val="000000" w:themeColor="text1"/>
                <w:sz w:val="24"/>
                <w:szCs w:val="24"/>
                <w:highlight w:val="none"/>
                <w:lang w:val="en-US" w:eastAsia="zh-CN"/>
                <w14:textFill>
                  <w14:solidFill>
                    <w14:schemeClr w14:val="tx1"/>
                  </w14:solidFill>
                </w14:textFill>
              </w:rPr>
              <w:t>8</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）：分选车间</w:t>
            </w:r>
            <w:r>
              <w:rPr>
                <w:rFonts w:hint="default" w:ascii="Times New Roman" w:hAnsi="Times New Roman" w:cs="Times New Roman"/>
                <w:b w:val="0"/>
                <w:bCs w:val="0"/>
                <w:color w:val="000000" w:themeColor="text1"/>
                <w:sz w:val="24"/>
                <w:szCs w:val="24"/>
                <w:highlight w:val="none"/>
                <w:lang w:val="en-US" w:eastAsia="zh-CN"/>
                <w14:textFill>
                  <w14:solidFill>
                    <w14:schemeClr w14:val="tx1"/>
                  </w14:solidFill>
                </w14:textFill>
              </w:rPr>
              <w:t>打</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散</w:t>
            </w:r>
            <w:r>
              <w:rPr>
                <w:rFonts w:hint="default" w:ascii="Times New Roman" w:hAnsi="Times New Roman" w:cs="Times New Roman"/>
                <w:b w:val="0"/>
                <w:bCs w:val="0"/>
                <w:color w:val="000000" w:themeColor="text1"/>
                <w:sz w:val="24"/>
                <w:szCs w:val="24"/>
                <w:highlight w:val="none"/>
                <w:lang w:val="en-US" w:eastAsia="zh-CN"/>
                <w14:textFill>
                  <w14:solidFill>
                    <w14:schemeClr w14:val="tx1"/>
                  </w14:solidFill>
                </w14:textFill>
              </w:rPr>
              <w:t>分级</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和粉磨过程中会产生粉尘分别经过袋式除尘器收尘，除尘收尘后通过管道收集汇经1根30m高</w:t>
            </w:r>
            <w:r>
              <w:rPr>
                <w:rFonts w:hint="eastAsia" w:cs="Times New Roman"/>
                <w:b w:val="0"/>
                <w:bCs w:val="0"/>
                <w:color w:val="000000" w:themeColor="text1"/>
                <w:sz w:val="24"/>
                <w:szCs w:val="24"/>
                <w:highlight w:val="none"/>
                <w:lang w:val="en-US" w:eastAsia="zh-CN"/>
                <w14:textFill>
                  <w14:solidFill>
                    <w14:schemeClr w14:val="tx1"/>
                  </w14:solidFill>
                </w14:textFill>
              </w:rPr>
              <w:t>排气</w:t>
            </w:r>
            <w:r>
              <w:rPr>
                <w:rFonts w:hint="eastAsia" w:cs="Times New Roman"/>
                <w:color w:val="000000" w:themeColor="text1"/>
                <w:sz w:val="24"/>
                <w:szCs w:val="24"/>
                <w:highlight w:val="none"/>
                <w:lang w:val="en-US" w:eastAsia="zh-CN"/>
                <w14:textFill>
                  <w14:solidFill>
                    <w14:schemeClr w14:val="tx1"/>
                  </w14:solidFill>
                </w14:textFill>
              </w:rPr>
              <w:t>口</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（DA00</w:t>
            </w:r>
            <w:r>
              <w:rPr>
                <w:rFonts w:hint="default" w:ascii="Times New Roman" w:hAnsi="Times New Roman" w:cs="Times New Roman"/>
                <w:b w:val="0"/>
                <w:bCs w:val="0"/>
                <w:color w:val="000000" w:themeColor="text1"/>
                <w:sz w:val="24"/>
                <w:szCs w:val="24"/>
                <w:highlight w:val="none"/>
                <w:lang w:val="en-US" w:eastAsia="zh-CN"/>
                <w14:textFill>
                  <w14:solidFill>
                    <w14:schemeClr w14:val="tx1"/>
                  </w14:solidFill>
                </w14:textFill>
              </w:rPr>
              <w:t>7、</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DA00</w:t>
            </w:r>
            <w:r>
              <w:rPr>
                <w:rFonts w:hint="default" w:ascii="Times New Roman" w:hAnsi="Times New Roman" w:cs="Times New Roman"/>
                <w:b w:val="0"/>
                <w:bCs w:val="0"/>
                <w:color w:val="000000" w:themeColor="text1"/>
                <w:sz w:val="24"/>
                <w:szCs w:val="24"/>
                <w:highlight w:val="none"/>
                <w:lang w:val="en-US" w:eastAsia="zh-CN"/>
                <w14:textFill>
                  <w14:solidFill>
                    <w14:schemeClr w14:val="tx1"/>
                  </w14:solidFill>
                </w14:textFill>
              </w:rPr>
              <w:t>8</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）排放</w:t>
            </w:r>
            <w:r>
              <w:rPr>
                <w:rFonts w:hint="default" w:ascii="Times New Roman" w:hAnsi="Times New Roman" w:cs="Times New Roman"/>
                <w:b w:val="0"/>
                <w:bCs w:val="0"/>
                <w:color w:val="000000" w:themeColor="text1"/>
                <w:sz w:val="24"/>
                <w:szCs w:val="24"/>
                <w:highlight w:val="none"/>
                <w:lang w:val="en-US" w:eastAsia="zh-CN"/>
                <w14:textFill>
                  <w14:solidFill>
                    <w14:schemeClr w14:val="tx1"/>
                  </w14:solidFill>
                </w14:textFill>
              </w:rPr>
              <w:t>；不合格产品气力输送至黄料仓，黄料仓</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产生的粉尘废气（G1-</w:t>
            </w:r>
            <w:r>
              <w:rPr>
                <w:rFonts w:hint="default" w:ascii="Times New Roman" w:hAnsi="Times New Roman" w:cs="Times New Roman"/>
                <w:b w:val="0"/>
                <w:bCs w:val="0"/>
                <w:color w:val="000000" w:themeColor="text1"/>
                <w:sz w:val="24"/>
                <w:szCs w:val="24"/>
                <w:highlight w:val="none"/>
                <w:lang w:val="en-US" w:eastAsia="zh-CN"/>
                <w14:textFill>
                  <w14:solidFill>
                    <w14:schemeClr w14:val="tx1"/>
                  </w14:solidFill>
                </w14:textFill>
              </w:rPr>
              <w:t>9</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）经1根</w:t>
            </w:r>
            <w:r>
              <w:rPr>
                <w:rFonts w:hint="default" w:ascii="Times New Roman" w:hAnsi="Times New Roman" w:cs="Times New Roman"/>
                <w:b w:val="0"/>
                <w:bCs w:val="0"/>
                <w:color w:val="000000" w:themeColor="text1"/>
                <w:sz w:val="24"/>
                <w:szCs w:val="24"/>
                <w:highlight w:val="none"/>
                <w:lang w:val="en-US" w:eastAsia="zh-CN"/>
                <w14:textFill>
                  <w14:solidFill>
                    <w14:schemeClr w14:val="tx1"/>
                  </w14:solidFill>
                </w14:textFill>
              </w:rPr>
              <w:t>2</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0m高</w:t>
            </w:r>
            <w:r>
              <w:rPr>
                <w:rFonts w:hint="eastAsia" w:cs="Times New Roman"/>
                <w:b w:val="0"/>
                <w:bCs w:val="0"/>
                <w:color w:val="000000" w:themeColor="text1"/>
                <w:sz w:val="24"/>
                <w:szCs w:val="24"/>
                <w:highlight w:val="none"/>
                <w:lang w:val="en-US" w:eastAsia="zh-CN"/>
                <w14:textFill>
                  <w14:solidFill>
                    <w14:schemeClr w14:val="tx1"/>
                  </w14:solidFill>
                </w14:textFill>
              </w:rPr>
              <w:t>排气</w:t>
            </w:r>
            <w:r>
              <w:rPr>
                <w:rFonts w:hint="eastAsia" w:cs="Times New Roman"/>
                <w:color w:val="000000" w:themeColor="text1"/>
                <w:sz w:val="24"/>
                <w:szCs w:val="24"/>
                <w:highlight w:val="none"/>
                <w:lang w:val="en-US" w:eastAsia="zh-CN"/>
                <w14:textFill>
                  <w14:solidFill>
                    <w14:schemeClr w14:val="tx1"/>
                  </w14:solidFill>
                </w14:textFill>
              </w:rPr>
              <w:t>口</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（DA0</w:t>
            </w:r>
            <w:r>
              <w:rPr>
                <w:rFonts w:hint="default" w:ascii="Times New Roman" w:hAnsi="Times New Roman" w:cs="Times New Roman"/>
                <w:b w:val="0"/>
                <w:bCs w:val="0"/>
                <w:color w:val="000000" w:themeColor="text1"/>
                <w:sz w:val="24"/>
                <w:szCs w:val="24"/>
                <w:highlight w:val="none"/>
                <w:lang w:val="en-US" w:eastAsia="zh-CN"/>
                <w14:textFill>
                  <w14:solidFill>
                    <w14:schemeClr w14:val="tx1"/>
                  </w14:solidFill>
                </w14:textFill>
              </w:rPr>
              <w:t>14</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）排放。</w:t>
            </w:r>
          </w:p>
          <w:p w14:paraId="3E9590A6">
            <w:pPr>
              <w:pStyle w:val="8"/>
              <w:spacing w:line="360" w:lineRule="auto"/>
              <w:rPr>
                <w:rFonts w:hint="default" w:ascii="Times New Roman" w:hAnsi="Times New Roman" w:cs="Times New Roman"/>
                <w:color w:val="000000" w:themeColor="text1"/>
                <w:highlight w:val="none"/>
                <w:lang w:val="en-US"/>
                <w14:textFill>
                  <w14:solidFill>
                    <w14:schemeClr w14:val="tx1"/>
                  </w14:solidFill>
                </w14:textFill>
              </w:rPr>
            </w:pPr>
            <w:r>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t>固废：</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冷却后的物料经检验不合格品（S4），气力输送至北侧黄料筒仓。</w:t>
            </w:r>
          </w:p>
          <w:p w14:paraId="6FC5367C">
            <w:pPr>
              <w:numPr>
                <w:ilvl w:val="0"/>
                <w:numId w:val="0"/>
              </w:numPr>
              <w:spacing w:line="360" w:lineRule="auto"/>
              <w:ind w:firstLine="480" w:firstLineChars="200"/>
              <w:rPr>
                <w:rFonts w:hint="default" w:ascii="Times New Roman" w:hAnsi="Times New Roman" w:cs="Times New Roman"/>
                <w:color w:val="000000" w:themeColor="text1"/>
                <w:sz w:val="24"/>
                <w:szCs w:val="24"/>
                <w:highlight w:val="none"/>
                <w:lang w:val="en-US"/>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7）</w:t>
            </w:r>
            <w:r>
              <w:rPr>
                <w:rFonts w:hint="default" w:ascii="Times New Roman" w:hAnsi="Times New Roman" w:cs="Times New Roman"/>
                <w:color w:val="000000" w:themeColor="text1"/>
                <w:sz w:val="24"/>
                <w:szCs w:val="24"/>
                <w:highlight w:val="none"/>
                <w14:textFill>
                  <w14:solidFill>
                    <w14:schemeClr w14:val="tx1"/>
                  </w14:solidFill>
                </w14:textFill>
              </w:rPr>
              <w:t>包装</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存储及发运</w:t>
            </w:r>
          </w:p>
          <w:p w14:paraId="14638569">
            <w:pPr>
              <w:spacing w:line="360" w:lineRule="auto"/>
              <w:ind w:firstLine="480" w:firstLineChars="200"/>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分选车间后的粉料通过空气输送斜槽、胶带提升机送入粉料成品筒仓存储，设置5座φ12×24m钢板仓作为粉料筒仓，每座粉料储库库顶设置一套布袋收尘器并配备排气筒，粉料成品经包装的粉料成品由空气输送斜槽输送至成品堆棚包装区。</w:t>
            </w:r>
          </w:p>
          <w:p w14:paraId="4C2AB2B3">
            <w:pPr>
              <w:spacing w:line="360" w:lineRule="auto"/>
              <w:ind w:firstLine="480" w:firstLineChars="200"/>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本项目高岭土发运及包装系统设</w:t>
            </w:r>
            <w:r>
              <w:rPr>
                <w:rFonts w:hint="default" w:ascii="Times New Roman" w:hAnsi="Times New Roman" w:cs="Times New Roman"/>
                <w:color w:val="000000" w:themeColor="text1"/>
                <w:sz w:val="24"/>
                <w:highlight w:val="none"/>
                <w:lang w:val="en-US" w:eastAsia="zh-CN"/>
                <w14:textFill>
                  <w14:solidFill>
                    <w14:schemeClr w14:val="tx1"/>
                  </w14:solidFill>
                </w14:textFill>
              </w:rPr>
              <w:t>1</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台八嘴回转包装机（配套有自动插袋机）和</w:t>
            </w:r>
            <w:r>
              <w:rPr>
                <w:rFonts w:hint="default" w:ascii="Times New Roman" w:hAnsi="Times New Roman" w:cs="Times New Roman"/>
                <w:color w:val="000000" w:themeColor="text1"/>
                <w:sz w:val="24"/>
                <w:highlight w:val="none"/>
                <w:lang w:val="en-US" w:eastAsia="zh-CN"/>
                <w14:textFill>
                  <w14:solidFill>
                    <w14:schemeClr w14:val="tx1"/>
                  </w14:solidFill>
                </w14:textFill>
              </w:rPr>
              <w:t>8</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台大袋包装机。</w:t>
            </w:r>
          </w:p>
          <w:p w14:paraId="3CF497C6">
            <w:pPr>
              <w:spacing w:line="360" w:lineRule="auto"/>
              <w:ind w:firstLine="480" w:firstLineChars="20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sz w:val="24"/>
                <w:highlight w:val="none"/>
                <w:lang w:val="en-US" w:eastAsia="zh-CN"/>
                <w14:textFill>
                  <w14:solidFill>
                    <w14:schemeClr w14:val="tx1"/>
                  </w14:solidFill>
                </w14:textFill>
              </w:rPr>
              <w:t>8</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台大袋包装机设置在成品高岭土储存库库底，其中三座成品高岭土储存库库底分别设置两台大袋包装机，另外两座成品高岭土储存库库底分别设置一台大袋包装机</w:t>
            </w:r>
            <w:r>
              <w:rPr>
                <w:rFonts w:hint="default" w:ascii="Times New Roman" w:hAnsi="Times New Roman" w:cs="Times New Roman"/>
                <w:color w:val="000000" w:themeColor="text1"/>
                <w:sz w:val="24"/>
                <w:highlight w:val="none"/>
                <w:lang w:val="en-US" w:eastAsia="zh-CN"/>
                <w14:textFill>
                  <w14:solidFill>
                    <w14:schemeClr w14:val="tx1"/>
                  </w14:solidFill>
                </w14:textFill>
              </w:rPr>
              <w:t>和</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小袋包装机的出料口。出成品高岭土库的物料经回转喂料阀、链式输送机、钢丝胶带提升机、振动筛、中间仓，再由包装仓下叶轮喂料机进入包装机包装成袋装高岭土后，经卸包机、清包机、带式输送机、最后通过码垛机进行码垛后进行堆放。</w:t>
            </w:r>
          </w:p>
          <w:p w14:paraId="629AD47B">
            <w:pPr>
              <w:spacing w:line="360" w:lineRule="auto"/>
              <w:ind w:firstLine="480" w:firstLineChars="200"/>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大袋包装系统通过仓下大袋包装系统包装后放入堆棚内进行堆放。</w:t>
            </w:r>
          </w:p>
          <w:p w14:paraId="49DF55AA">
            <w:pPr>
              <w:spacing w:line="360" w:lineRule="auto"/>
              <w:ind w:firstLine="480" w:firstLineChars="200"/>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设一座66×126m成品库（含二期待征土地建设部分）用于袋装高岭土储存。</w:t>
            </w:r>
          </w:p>
          <w:p w14:paraId="1F73DE13">
            <w:pPr>
              <w:spacing w:line="360" w:lineRule="auto"/>
              <w:ind w:firstLine="482" w:firstLineChars="200"/>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t>废气：</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粉料仓储粉尘（G1-</w:t>
            </w:r>
            <w:r>
              <w:rPr>
                <w:rFonts w:hint="default" w:ascii="Times New Roman" w:hAnsi="Times New Roman" w:cs="Times New Roman"/>
                <w:b w:val="0"/>
                <w:bCs w:val="0"/>
                <w:color w:val="000000" w:themeColor="text1"/>
                <w:sz w:val="24"/>
                <w:highlight w:val="none"/>
                <w:lang w:val="en-US" w:eastAsia="zh-CN"/>
                <w14:textFill>
                  <w14:solidFill>
                    <w14:schemeClr w14:val="tx1"/>
                  </w14:solidFill>
                </w14:textFill>
              </w:rPr>
              <w:t>10</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、G1-</w:t>
            </w:r>
            <w:r>
              <w:rPr>
                <w:rFonts w:hint="default" w:ascii="Times New Roman" w:hAnsi="Times New Roman" w:cs="Times New Roman"/>
                <w:b w:val="0"/>
                <w:bCs w:val="0"/>
                <w:color w:val="000000" w:themeColor="text1"/>
                <w:sz w:val="24"/>
                <w:highlight w:val="none"/>
                <w:lang w:val="en-US" w:eastAsia="zh-CN"/>
                <w14:textFill>
                  <w14:solidFill>
                    <w14:schemeClr w14:val="tx1"/>
                  </w14:solidFill>
                </w14:textFill>
              </w:rPr>
              <w:t>11</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、G1-1</w:t>
            </w:r>
            <w:r>
              <w:rPr>
                <w:rFonts w:hint="default" w:ascii="Times New Roman" w:hAnsi="Times New Roman" w:cs="Times New Roman"/>
                <w:b w:val="0"/>
                <w:bCs w:val="0"/>
                <w:color w:val="000000" w:themeColor="text1"/>
                <w:sz w:val="24"/>
                <w:highlight w:val="none"/>
                <w:lang w:val="en-US" w:eastAsia="zh-CN"/>
                <w14:textFill>
                  <w14:solidFill>
                    <w14:schemeClr w14:val="tx1"/>
                  </w14:solidFill>
                </w14:textFill>
              </w:rPr>
              <w:t>3</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本项目设置5座粉料</w:t>
            </w:r>
            <w:r>
              <w:rPr>
                <w:rFonts w:hint="default" w:ascii="Times New Roman" w:hAnsi="Times New Roman" w:cs="Times New Roman"/>
                <w:color w:val="000000" w:themeColor="text1"/>
                <w:sz w:val="24"/>
                <w:highlight w:val="none"/>
                <w:lang w:val="en-US" w:eastAsia="zh-CN"/>
                <w14:textFill>
                  <w14:solidFill>
                    <w14:schemeClr w14:val="tx1"/>
                  </w14:solidFill>
                </w14:textFill>
              </w:rPr>
              <w:t>（两两一组，多余1座单设一组，合计3组）</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储罐粉料筒仓储存过程中会产生呼吸粉尘：粉料筒仓为全封闭筒仓，筒仓顶部均配有</w:t>
            </w:r>
            <w:r>
              <w:rPr>
                <w:rFonts w:hint="default" w:ascii="Times New Roman" w:hAnsi="Times New Roman" w:cs="Times New Roman"/>
                <w:color w:val="000000" w:themeColor="text1"/>
                <w:sz w:val="24"/>
                <w:highlight w:val="none"/>
                <w:lang w:val="en-US" w:eastAsia="zh-CN"/>
                <w14:textFill>
                  <w14:solidFill>
                    <w14:schemeClr w14:val="tx1"/>
                  </w14:solidFill>
                </w14:textFill>
              </w:rPr>
              <w:t>布袋除尘器（覆膜袋式）</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w:t>
            </w:r>
            <w:r>
              <w:rPr>
                <w:rFonts w:hint="default" w:ascii="Times New Roman" w:hAnsi="Times New Roman" w:cs="Times New Roman"/>
                <w:color w:val="000000" w:themeColor="text1"/>
                <w:sz w:val="24"/>
                <w:highlight w:val="none"/>
                <w:lang w:val="en-US" w:eastAsia="zh-CN"/>
                <w14:textFill>
                  <w14:solidFill>
                    <w14:schemeClr w14:val="tx1"/>
                  </w14:solidFill>
                </w14:textFill>
              </w:rPr>
              <w:t>分别</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处理后</w:t>
            </w:r>
            <w:r>
              <w:rPr>
                <w:rFonts w:hint="default" w:ascii="Times New Roman" w:hAnsi="Times New Roman" w:cs="Times New Roman"/>
                <w:color w:val="000000" w:themeColor="text1"/>
                <w:sz w:val="24"/>
                <w:highlight w:val="none"/>
                <w:lang w:val="en-US" w:eastAsia="zh-CN"/>
                <w14:textFill>
                  <w14:solidFill>
                    <w14:schemeClr w14:val="tx1"/>
                  </w14:solidFill>
                </w14:textFill>
              </w:rPr>
              <w:t>经过</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2</w:t>
            </w:r>
            <w:r>
              <w:rPr>
                <w:rFonts w:hint="default" w:ascii="Times New Roman" w:hAnsi="Times New Roman" w:cs="Times New Roman"/>
                <w:color w:val="000000" w:themeColor="text1"/>
                <w:sz w:val="24"/>
                <w:highlight w:val="none"/>
                <w:lang w:val="en-US" w:eastAsia="zh-CN"/>
                <w14:textFill>
                  <w14:solidFill>
                    <w14:schemeClr w14:val="tx1"/>
                  </w14:solidFill>
                </w14:textFill>
              </w:rPr>
              <w:t>根50</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m</w:t>
            </w:r>
            <w:r>
              <w:rPr>
                <w:rFonts w:hint="default" w:ascii="Times New Roman" w:hAnsi="Times New Roman" w:cs="Times New Roman"/>
                <w:color w:val="000000" w:themeColor="text1"/>
                <w:sz w:val="24"/>
                <w:highlight w:val="none"/>
                <w:lang w:val="en-US" w:eastAsia="zh-CN"/>
                <w14:textFill>
                  <w14:solidFill>
                    <w14:schemeClr w14:val="tx1"/>
                  </w14:solidFill>
                </w14:textFill>
              </w:rPr>
              <w:t>高的</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排气</w:t>
            </w:r>
            <w:r>
              <w:rPr>
                <w:rFonts w:hint="eastAsia" w:cs="Times New Roman"/>
                <w:color w:val="000000" w:themeColor="text1"/>
                <w:sz w:val="24"/>
                <w:szCs w:val="24"/>
                <w:highlight w:val="none"/>
                <w:lang w:val="en-US" w:eastAsia="zh-CN"/>
                <w14:textFill>
                  <w14:solidFill>
                    <w14:schemeClr w14:val="tx1"/>
                  </w14:solidFill>
                </w14:textFill>
              </w:rPr>
              <w:t>口</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（DA00</w:t>
            </w:r>
            <w:r>
              <w:rPr>
                <w:rFonts w:hint="default" w:ascii="Times New Roman" w:hAnsi="Times New Roman" w:cs="Times New Roman"/>
                <w:color w:val="000000" w:themeColor="text1"/>
                <w:sz w:val="24"/>
                <w:highlight w:val="none"/>
                <w:lang w:val="en-US" w:eastAsia="zh-CN"/>
                <w14:textFill>
                  <w14:solidFill>
                    <w14:schemeClr w14:val="tx1"/>
                  </w14:solidFill>
                </w14:textFill>
              </w:rPr>
              <w:t>9</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、DA0</w:t>
            </w:r>
            <w:r>
              <w:rPr>
                <w:rFonts w:hint="default" w:ascii="Times New Roman" w:hAnsi="Times New Roman" w:cs="Times New Roman"/>
                <w:color w:val="000000" w:themeColor="text1"/>
                <w:sz w:val="24"/>
                <w:highlight w:val="none"/>
                <w:lang w:val="en-US" w:eastAsia="zh-CN"/>
                <w14:textFill>
                  <w14:solidFill>
                    <w14:schemeClr w14:val="tx1"/>
                  </w14:solidFill>
                </w14:textFill>
              </w:rPr>
              <w:t>10）</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和1根</w:t>
            </w:r>
            <w:r>
              <w:rPr>
                <w:rFonts w:hint="default" w:ascii="Times New Roman" w:hAnsi="Times New Roman" w:cs="Times New Roman"/>
                <w:color w:val="000000" w:themeColor="text1"/>
                <w:sz w:val="24"/>
                <w:highlight w:val="none"/>
                <w:lang w:val="en-US" w:eastAsia="zh-CN"/>
                <w14:textFill>
                  <w14:solidFill>
                    <w14:schemeClr w14:val="tx1"/>
                  </w14:solidFill>
                </w14:textFill>
              </w:rPr>
              <w:t>30</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m</w:t>
            </w:r>
            <w:r>
              <w:rPr>
                <w:rFonts w:hint="default" w:ascii="Times New Roman" w:hAnsi="Times New Roman" w:cs="Times New Roman"/>
                <w:color w:val="000000" w:themeColor="text1"/>
                <w:sz w:val="24"/>
                <w:highlight w:val="none"/>
                <w:lang w:val="en-US" w:eastAsia="zh-CN"/>
                <w14:textFill>
                  <w14:solidFill>
                    <w14:schemeClr w14:val="tx1"/>
                  </w14:solidFill>
                </w14:textFill>
              </w:rPr>
              <w:t>高的</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排气</w:t>
            </w:r>
            <w:r>
              <w:rPr>
                <w:rFonts w:hint="eastAsia" w:cs="Times New Roman"/>
                <w:color w:val="000000" w:themeColor="text1"/>
                <w:sz w:val="24"/>
                <w:szCs w:val="24"/>
                <w:highlight w:val="none"/>
                <w:lang w:val="en-US" w:eastAsia="zh-CN"/>
                <w14:textFill>
                  <w14:solidFill>
                    <w14:schemeClr w14:val="tx1"/>
                  </w14:solidFill>
                </w14:textFill>
              </w:rPr>
              <w:t>口</w:t>
            </w:r>
            <w:r>
              <w:rPr>
                <w:rFonts w:hint="default" w:ascii="Times New Roman" w:hAnsi="Times New Roman" w:cs="Times New Roman"/>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DA012）达标排放。</w:t>
            </w:r>
          </w:p>
          <w:p w14:paraId="0602B358">
            <w:pPr>
              <w:spacing w:line="360" w:lineRule="auto"/>
              <w:ind w:firstLine="480" w:firstLineChars="200"/>
              <w:jc w:val="both"/>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包装粉尘（G1-1</w:t>
            </w:r>
            <w:r>
              <w:rPr>
                <w:rFonts w:hint="default" w:ascii="Times New Roman" w:hAnsi="Times New Roman" w:cs="Times New Roman"/>
                <w:b w:val="0"/>
                <w:bCs w:val="0"/>
                <w:color w:val="000000" w:themeColor="text1"/>
                <w:sz w:val="24"/>
                <w:szCs w:val="24"/>
                <w:highlight w:val="none"/>
                <w:lang w:val="en-US" w:eastAsia="zh-CN"/>
                <w14:textFill>
                  <w14:solidFill>
                    <w14:schemeClr w14:val="tx1"/>
                  </w14:solidFill>
                </w14:textFill>
              </w:rPr>
              <w:t>2</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、G1-1</w:t>
            </w:r>
            <w:r>
              <w:rPr>
                <w:rFonts w:hint="default" w:ascii="Times New Roman" w:hAnsi="Times New Roman" w:cs="Times New Roman"/>
                <w:b w:val="0"/>
                <w:bCs w:val="0"/>
                <w:color w:val="000000" w:themeColor="text1"/>
                <w:sz w:val="24"/>
                <w:szCs w:val="24"/>
                <w:highlight w:val="none"/>
                <w:lang w:val="en-US" w:eastAsia="zh-CN"/>
                <w14:textFill>
                  <w14:solidFill>
                    <w14:schemeClr w14:val="tx1"/>
                  </w14:solidFill>
                </w14:textFill>
              </w:rPr>
              <w:t>4</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本项目包装过程中会产生粉尘，该部分粉尘经集气罩收集后，经大包装产生废气集气罩收集后经布袋收尘器处理后收集废气汇集通过1根30m高的</w:t>
            </w:r>
            <w:r>
              <w:rPr>
                <w:rFonts w:hint="eastAsia" w:cs="Times New Roman"/>
                <w:color w:val="000000" w:themeColor="text1"/>
                <w:sz w:val="24"/>
                <w:szCs w:val="24"/>
                <w:highlight w:val="none"/>
                <w:lang w:val="en-US" w:eastAsia="zh-CN"/>
                <w14:textFill>
                  <w14:solidFill>
                    <w14:schemeClr w14:val="tx1"/>
                  </w14:solidFill>
                </w14:textFill>
              </w:rPr>
              <w:t>排气口</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（DA010）排放，小包装产生废气集气罩收集后经布袋收尘器处理后收集废气汇集通过1根</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0m高的</w:t>
            </w:r>
            <w:r>
              <w:rPr>
                <w:rFonts w:hint="eastAsia" w:cs="Times New Roman"/>
                <w:color w:val="000000" w:themeColor="text1"/>
                <w:sz w:val="24"/>
                <w:szCs w:val="24"/>
                <w:highlight w:val="none"/>
                <w:lang w:val="en-US" w:eastAsia="zh-CN"/>
                <w14:textFill>
                  <w14:solidFill>
                    <w14:schemeClr w14:val="tx1"/>
                  </w14:solidFill>
                </w14:textFill>
              </w:rPr>
              <w:t>排气口</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（DA01</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达标排放</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p>
          <w:p w14:paraId="46AE092D">
            <w:pPr>
              <w:spacing w:line="360" w:lineRule="auto"/>
              <w:ind w:firstLine="480" w:firstLineChars="20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工艺流程及产污环节见图</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2-</w:t>
            </w:r>
            <w:r>
              <w:rPr>
                <w:rFonts w:hint="default" w:ascii="Times New Roman" w:hAnsi="Times New Roman" w:cs="Times New Roman"/>
                <w:color w:val="000000" w:themeColor="text1"/>
                <w:sz w:val="24"/>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z w:val="24"/>
                <w:highlight w:val="none"/>
                <w14:textFill>
                  <w14:solidFill>
                    <w14:schemeClr w14:val="tx1"/>
                  </w14:solidFill>
                </w14:textFill>
              </w:rPr>
              <w:t>。</w:t>
            </w:r>
          </w:p>
          <w:p w14:paraId="782F0C19">
            <w:pPr>
              <w:jc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drawing>
                <wp:inline distT="0" distB="0" distL="114300" distR="114300">
                  <wp:extent cx="4992370" cy="7239000"/>
                  <wp:effectExtent l="0" t="0" r="11430" b="0"/>
                  <wp:docPr id="7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1"/>
                          <pic:cNvPicPr>
                            <a:picLocks noChangeAspect="1"/>
                          </pic:cNvPicPr>
                        </pic:nvPicPr>
                        <pic:blipFill>
                          <a:blip r:embed="rId20"/>
                          <a:stretch>
                            <a:fillRect/>
                          </a:stretch>
                        </pic:blipFill>
                        <pic:spPr>
                          <a:xfrm>
                            <a:off x="0" y="0"/>
                            <a:ext cx="4992370" cy="7239000"/>
                          </a:xfrm>
                          <a:prstGeom prst="rect">
                            <a:avLst/>
                          </a:prstGeom>
                          <a:noFill/>
                          <a:ln>
                            <a:noFill/>
                          </a:ln>
                        </pic:spPr>
                      </pic:pic>
                    </a:graphicData>
                  </a:graphic>
                </wp:inline>
              </w:drawing>
            </w:r>
          </w:p>
          <w:p w14:paraId="40A024B1">
            <w:pPr>
              <w:spacing w:line="360" w:lineRule="auto"/>
              <w:jc w:val="center"/>
              <w:rPr>
                <w:rFonts w:hint="default" w:ascii="Times New Roman" w:hAnsi="Times New Roman" w:eastAsia="宋体" w:cs="Times New Roman"/>
                <w:b/>
                <w:bCs/>
                <w:color w:val="000000" w:themeColor="text1"/>
                <w:sz w:val="24"/>
                <w:highlight w:val="none"/>
                <w14:textFill>
                  <w14:solidFill>
                    <w14:schemeClr w14:val="tx1"/>
                  </w14:solidFill>
                </w14:textFill>
              </w:rPr>
            </w:pPr>
            <w:r>
              <w:rPr>
                <w:rFonts w:hint="default" w:ascii="Times New Roman" w:hAnsi="Times New Roman" w:eastAsia="宋体" w:cs="Times New Roman"/>
                <w:b/>
                <w:bCs/>
                <w:color w:val="000000" w:themeColor="text1"/>
                <w:sz w:val="24"/>
                <w:highlight w:val="none"/>
                <w14:textFill>
                  <w14:solidFill>
                    <w14:schemeClr w14:val="tx1"/>
                  </w14:solidFill>
                </w14:textFill>
              </w:rPr>
              <w:t>图</w:t>
            </w:r>
            <w:r>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t>2-5</w:t>
            </w:r>
            <w:r>
              <w:rPr>
                <w:rFonts w:hint="default" w:ascii="Times New Roman" w:hAnsi="Times New Roman" w:eastAsia="宋体" w:cs="Times New Roman"/>
                <w:b/>
                <w:bCs/>
                <w:color w:val="000000" w:themeColor="text1"/>
                <w:sz w:val="24"/>
                <w:highlight w:val="none"/>
                <w14:textFill>
                  <w14:solidFill>
                    <w14:schemeClr w14:val="tx1"/>
                  </w14:solidFill>
                </w14:textFill>
              </w:rPr>
              <w:t>工艺流程及产污环节</w:t>
            </w:r>
          </w:p>
          <w:p w14:paraId="58AA24DD">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baseline"/>
              <w:rPr>
                <w:rFonts w:hint="default" w:ascii="Times New Roman" w:hAnsi="Times New Roman" w:eastAsia="宋体" w:cs="Times New Roman"/>
                <w:b/>
                <w:bCs/>
                <w:color w:val="000000" w:themeColor="text1"/>
                <w:sz w:val="24"/>
                <w:szCs w:val="18"/>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18"/>
                <w:highlight w:val="none"/>
                <w:lang w:val="en-US" w:eastAsia="zh-CN"/>
                <w14:textFill>
                  <w14:solidFill>
                    <w14:schemeClr w14:val="tx1"/>
                  </w14:solidFill>
                </w14:textFill>
              </w:rPr>
              <w:t>（2）煅烧窑余热回收利用</w:t>
            </w:r>
          </w:p>
          <w:p w14:paraId="0A3B5E7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default" w:ascii="Times New Roman" w:hAnsi="Times New Roman" w:eastAsia="宋体" w:cs="Times New Roman"/>
                <w:color w:val="000000" w:themeColor="text1"/>
                <w:sz w:val="24"/>
                <w:szCs w:val="18"/>
                <w:highlight w:val="none"/>
                <w14:textFill>
                  <w14:solidFill>
                    <w14:schemeClr w14:val="tx1"/>
                  </w14:solidFill>
                </w14:textFill>
              </w:rPr>
            </w:pPr>
            <w:r>
              <w:rPr>
                <w:rFonts w:hint="default" w:ascii="Times New Roman" w:hAnsi="Times New Roman" w:eastAsia="宋体" w:cs="Times New Roman"/>
                <w:color w:val="000000" w:themeColor="text1"/>
                <w:sz w:val="24"/>
                <w:szCs w:val="18"/>
                <w:highlight w:val="none"/>
                <w:lang w:val="en-US" w:eastAsia="zh-CN"/>
                <w14:textFill>
                  <w14:solidFill>
                    <w14:schemeClr w14:val="tx1"/>
                  </w14:solidFill>
                </w14:textFill>
              </w:rPr>
              <w:t>1）</w:t>
            </w:r>
            <w:r>
              <w:rPr>
                <w:rFonts w:hint="default" w:ascii="Times New Roman" w:hAnsi="Times New Roman" w:eastAsia="宋体" w:cs="Times New Roman"/>
                <w:color w:val="000000" w:themeColor="text1"/>
                <w:sz w:val="24"/>
                <w:szCs w:val="18"/>
                <w:highlight w:val="none"/>
                <w14:textFill>
                  <w14:solidFill>
                    <w14:schemeClr w14:val="tx1"/>
                  </w14:solidFill>
                </w14:textFill>
              </w:rPr>
              <w:t>余热利用流程</w:t>
            </w:r>
            <w:r>
              <w:rPr>
                <w:rFonts w:hint="default" w:ascii="Times New Roman" w:hAnsi="Times New Roman" w:eastAsia="宋体" w:cs="Times New Roman"/>
                <w:color w:val="000000" w:themeColor="text1"/>
                <w:sz w:val="24"/>
                <w:szCs w:val="18"/>
                <w:highlight w:val="none"/>
                <w:lang w:val="en-US" w:eastAsia="zh-CN"/>
                <w14:textFill>
                  <w14:solidFill>
                    <w14:schemeClr w14:val="tx1"/>
                  </w14:solidFill>
                </w14:textFill>
              </w:rPr>
              <w:t>及产排污环节</w:t>
            </w:r>
          </w:p>
          <w:p w14:paraId="18F8915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default" w:ascii="Times New Roman" w:hAnsi="Times New Roman" w:eastAsia="宋体" w:cs="Times New Roman"/>
                <w:color w:val="000000" w:themeColor="text1"/>
                <w:sz w:val="24"/>
                <w:szCs w:val="18"/>
                <w:highlight w:val="none"/>
                <w14:textFill>
                  <w14:solidFill>
                    <w14:schemeClr w14:val="tx1"/>
                  </w14:solidFill>
                </w14:textFill>
              </w:rPr>
            </w:pPr>
            <w:r>
              <w:rPr>
                <w:rFonts w:hint="default" w:ascii="Times New Roman" w:hAnsi="Times New Roman" w:eastAsia="宋体" w:cs="Times New Roman"/>
                <w:color w:val="000000" w:themeColor="text1"/>
                <w:sz w:val="24"/>
                <w:szCs w:val="18"/>
                <w:highlight w:val="none"/>
                <w14:textFill>
                  <w14:solidFill>
                    <w14:schemeClr w14:val="tx1"/>
                  </w14:solidFill>
                </w14:textFill>
              </w:rPr>
              <w:t>本方案技术不使用燃料来补燃，不对环境产生附加污染，是资源综合利用工程，运行的可靠性和安全性高，运行成本低，日常管理简单。</w:t>
            </w:r>
          </w:p>
          <w:p w14:paraId="103D14A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default" w:ascii="Times New Roman" w:hAnsi="Times New Roman" w:eastAsia="宋体" w:cs="Times New Roman"/>
                <w:color w:val="000000" w:themeColor="text1"/>
                <w:sz w:val="24"/>
                <w:szCs w:val="18"/>
                <w:highlight w:val="none"/>
                <w14:textFill>
                  <w14:solidFill>
                    <w14:schemeClr w14:val="tx1"/>
                  </w14:solidFill>
                </w14:textFill>
              </w:rPr>
            </w:pPr>
            <w:r>
              <w:rPr>
                <w:rFonts w:hint="default" w:ascii="Times New Roman" w:hAnsi="Times New Roman" w:eastAsia="宋体" w:cs="Times New Roman"/>
                <w:color w:val="000000" w:themeColor="text1"/>
                <w:sz w:val="24"/>
                <w:szCs w:val="18"/>
                <w:highlight w:val="none"/>
                <w14:textFill>
                  <w14:solidFill>
                    <w14:schemeClr w14:val="tx1"/>
                  </w14:solidFill>
                </w14:textFill>
              </w:rPr>
              <w:t>系统主机包括：1台余热锅炉。</w:t>
            </w:r>
          </w:p>
          <w:p w14:paraId="7E62437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default" w:ascii="Times New Roman" w:hAnsi="Times New Roman" w:eastAsia="宋体" w:cs="Times New Roman"/>
                <w:color w:val="000000" w:themeColor="text1"/>
                <w:sz w:val="24"/>
                <w:szCs w:val="18"/>
                <w:highlight w:val="none"/>
                <w14:textFill>
                  <w14:solidFill>
                    <w14:schemeClr w14:val="tx1"/>
                  </w14:solidFill>
                </w14:textFill>
              </w:rPr>
            </w:pPr>
            <w:r>
              <w:rPr>
                <w:rFonts w:hint="default" w:ascii="Times New Roman" w:hAnsi="Times New Roman" w:eastAsia="宋体" w:cs="Times New Roman"/>
                <w:color w:val="000000" w:themeColor="text1"/>
                <w:sz w:val="24"/>
                <w:szCs w:val="18"/>
                <w:highlight w:val="none"/>
                <w14:textFill>
                  <w14:solidFill>
                    <w14:schemeClr w14:val="tx1"/>
                  </w14:solidFill>
                </w14:textFill>
              </w:rPr>
              <w:t>余热锅炉：在煤矸石预处理生产线预热器C1出口设置一台余热锅炉，该锅炉包括过热器、蒸发器、省煤器。过热器产生的过热蒸汽送往蒸汽用户。余热锅炉出口废气温度降至200℃。</w:t>
            </w:r>
          </w:p>
          <w:p w14:paraId="52F0A20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default" w:ascii="Times New Roman" w:hAnsi="Times New Roman" w:eastAsia="宋体" w:cs="Times New Roman"/>
                <w:color w:val="000000" w:themeColor="text1"/>
                <w:sz w:val="24"/>
                <w:szCs w:val="18"/>
                <w:highlight w:val="none"/>
                <w14:textFill>
                  <w14:solidFill>
                    <w14:schemeClr w14:val="tx1"/>
                  </w14:solidFill>
                </w14:textFill>
              </w:rPr>
            </w:pPr>
            <w:r>
              <w:rPr>
                <w:rFonts w:hint="default" w:ascii="Times New Roman" w:hAnsi="Times New Roman" w:eastAsia="宋体" w:cs="Times New Roman"/>
                <w:color w:val="000000" w:themeColor="text1"/>
                <w:sz w:val="24"/>
                <w:szCs w:val="18"/>
                <w:highlight w:val="none"/>
                <w14:textFill>
                  <w14:solidFill>
                    <w14:schemeClr w14:val="tx1"/>
                  </w14:solidFill>
                </w14:textFill>
              </w:rPr>
              <w:t>整个工艺流程是：化补水由供水泵加压依次低压加热器、除氧器，加热成150℃的给水，再由给水泵送至余热锅炉省煤器；给水依次经过余热锅炉省煤器、蒸发器、过热器产生过热蒸汽，送至蒸汽用户。</w:t>
            </w:r>
          </w:p>
          <w:p w14:paraId="72031AF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default" w:ascii="Times New Roman" w:hAnsi="Times New Roman" w:eastAsia="宋体" w:cs="Times New Roman"/>
                <w:color w:val="000000" w:themeColor="text1"/>
                <w:sz w:val="24"/>
                <w:szCs w:val="18"/>
                <w:highlight w:val="none"/>
                <w14:textFill>
                  <w14:solidFill>
                    <w14:schemeClr w14:val="tx1"/>
                  </w14:solidFill>
                </w14:textFill>
              </w:rPr>
            </w:pPr>
            <w:r>
              <w:rPr>
                <w:rFonts w:hint="default" w:ascii="Times New Roman" w:hAnsi="Times New Roman" w:eastAsia="宋体" w:cs="Times New Roman"/>
                <w:color w:val="000000" w:themeColor="text1"/>
                <w:sz w:val="24"/>
                <w:szCs w:val="18"/>
                <w:highlight w:val="none"/>
                <w14:textFill>
                  <w14:solidFill>
                    <w14:schemeClr w14:val="tx1"/>
                  </w14:solidFill>
                </w14:textFill>
              </w:rPr>
              <w:t>2</w:t>
            </w:r>
            <w:r>
              <w:rPr>
                <w:rFonts w:hint="default" w:ascii="Times New Roman" w:hAnsi="Times New Roman" w:eastAsia="宋体" w:cs="Times New Roman"/>
                <w:color w:val="000000" w:themeColor="text1"/>
                <w:sz w:val="24"/>
                <w:szCs w:val="18"/>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18"/>
                <w:highlight w:val="none"/>
                <w14:textFill>
                  <w14:solidFill>
                    <w14:schemeClr w14:val="tx1"/>
                  </w14:solidFill>
                </w14:textFill>
              </w:rPr>
              <w:t>热力工艺系统</w:t>
            </w:r>
          </w:p>
          <w:p w14:paraId="604E826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default" w:ascii="Times New Roman" w:hAnsi="Times New Roman" w:eastAsia="宋体" w:cs="Times New Roman"/>
                <w:color w:val="000000" w:themeColor="text1"/>
                <w:sz w:val="24"/>
                <w:szCs w:val="18"/>
                <w:highlight w:val="none"/>
                <w14:textFill>
                  <w14:solidFill>
                    <w14:schemeClr w14:val="tx1"/>
                  </w14:solidFill>
                </w14:textFill>
              </w:rPr>
            </w:pPr>
            <w:r>
              <w:rPr>
                <w:rFonts w:hint="default" w:ascii="Times New Roman" w:hAnsi="Times New Roman" w:eastAsia="宋体" w:cs="Times New Roman"/>
                <w:color w:val="000000" w:themeColor="text1"/>
                <w:sz w:val="24"/>
                <w:szCs w:val="18"/>
                <w:highlight w:val="none"/>
                <w14:textFill>
                  <w14:solidFill>
                    <w14:schemeClr w14:val="tx1"/>
                  </w14:solidFill>
                </w14:textFill>
              </w:rPr>
              <w:t>热力工艺系统主要包括：主蒸汽系统、疏放水及放气系统、给水系统、锅炉排污系统、给水回热系统等。</w:t>
            </w:r>
          </w:p>
          <w:p w14:paraId="1208409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default" w:ascii="Times New Roman" w:hAnsi="Times New Roman" w:eastAsia="宋体" w:cs="Times New Roman"/>
                <w:color w:val="000000" w:themeColor="text1"/>
                <w:sz w:val="24"/>
                <w:szCs w:val="18"/>
                <w:highlight w:val="none"/>
                <w14:textFill>
                  <w14:solidFill>
                    <w14:schemeClr w14:val="tx1"/>
                  </w14:solidFill>
                </w14:textFill>
              </w:rPr>
            </w:pPr>
            <w:r>
              <w:rPr>
                <w:rFonts w:hint="default" w:ascii="Times New Roman" w:hAnsi="Times New Roman" w:eastAsia="宋体" w:cs="Times New Roman"/>
                <w:color w:val="000000" w:themeColor="text1"/>
                <w:sz w:val="24"/>
                <w:szCs w:val="18"/>
                <w:highlight w:val="none"/>
                <w14:textFill>
                  <w14:solidFill>
                    <w14:schemeClr w14:val="tx1"/>
                  </w14:solidFill>
                </w14:textFill>
              </w:rPr>
              <w:t>a.主蒸汽系统</w:t>
            </w:r>
          </w:p>
          <w:p w14:paraId="3BEA821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default" w:ascii="Times New Roman" w:hAnsi="Times New Roman" w:eastAsia="宋体" w:cs="Times New Roman"/>
                <w:color w:val="000000" w:themeColor="text1"/>
                <w:sz w:val="24"/>
                <w:szCs w:val="18"/>
                <w:highlight w:val="none"/>
                <w14:textFill>
                  <w14:solidFill>
                    <w14:schemeClr w14:val="tx1"/>
                  </w14:solidFill>
                </w14:textFill>
              </w:rPr>
            </w:pPr>
            <w:r>
              <w:rPr>
                <w:rFonts w:hint="default" w:ascii="Times New Roman" w:hAnsi="Times New Roman" w:eastAsia="宋体" w:cs="Times New Roman"/>
                <w:color w:val="000000" w:themeColor="text1"/>
                <w:sz w:val="24"/>
                <w:szCs w:val="18"/>
                <w:highlight w:val="none"/>
                <w14:textFill>
                  <w14:solidFill>
                    <w14:schemeClr w14:val="tx1"/>
                  </w14:solidFill>
                </w14:textFill>
              </w:rPr>
              <w:t>主蒸汽系统采用单母管制。</w:t>
            </w:r>
          </w:p>
          <w:p w14:paraId="6EEDEBF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default" w:ascii="Times New Roman" w:hAnsi="Times New Roman" w:eastAsia="宋体" w:cs="Times New Roman"/>
                <w:color w:val="000000" w:themeColor="text1"/>
                <w:sz w:val="24"/>
                <w:szCs w:val="18"/>
                <w:highlight w:val="none"/>
                <w14:textFill>
                  <w14:solidFill>
                    <w14:schemeClr w14:val="tx1"/>
                  </w14:solidFill>
                </w14:textFill>
              </w:rPr>
            </w:pPr>
            <w:r>
              <w:rPr>
                <w:rFonts w:hint="default" w:ascii="Times New Roman" w:hAnsi="Times New Roman" w:eastAsia="宋体" w:cs="Times New Roman"/>
                <w:color w:val="000000" w:themeColor="text1"/>
                <w:sz w:val="24"/>
                <w:szCs w:val="18"/>
                <w:highlight w:val="none"/>
                <w14:textFill>
                  <w14:solidFill>
                    <w14:schemeClr w14:val="tx1"/>
                  </w14:solidFill>
                </w14:textFill>
              </w:rPr>
              <w:t>b.疏放水及放气系统</w:t>
            </w:r>
          </w:p>
          <w:p w14:paraId="43CEDF3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default" w:ascii="Times New Roman" w:hAnsi="Times New Roman" w:eastAsia="宋体" w:cs="Times New Roman"/>
                <w:color w:val="000000" w:themeColor="text1"/>
                <w:sz w:val="24"/>
                <w:szCs w:val="18"/>
                <w:highlight w:val="none"/>
                <w14:textFill>
                  <w14:solidFill>
                    <w14:schemeClr w14:val="tx1"/>
                  </w14:solidFill>
                </w14:textFill>
              </w:rPr>
            </w:pPr>
            <w:r>
              <w:rPr>
                <w:rFonts w:hint="default" w:ascii="Times New Roman" w:hAnsi="Times New Roman" w:eastAsia="宋体" w:cs="Times New Roman"/>
                <w:color w:val="000000" w:themeColor="text1"/>
                <w:sz w:val="24"/>
                <w:szCs w:val="18"/>
                <w:highlight w:val="none"/>
                <w14:textFill>
                  <w14:solidFill>
                    <w14:schemeClr w14:val="tx1"/>
                  </w14:solidFill>
                </w14:textFill>
              </w:rPr>
              <w:t>本工程锅炉部分疏放水量极少，放水直接引至排污扩容器排放。</w:t>
            </w:r>
          </w:p>
          <w:p w14:paraId="52ABFEA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default" w:ascii="Times New Roman" w:hAnsi="Times New Roman" w:eastAsia="宋体" w:cs="Times New Roman"/>
                <w:color w:val="000000" w:themeColor="text1"/>
                <w:sz w:val="24"/>
                <w:szCs w:val="18"/>
                <w:highlight w:val="none"/>
                <w14:textFill>
                  <w14:solidFill>
                    <w14:schemeClr w14:val="tx1"/>
                  </w14:solidFill>
                </w14:textFill>
              </w:rPr>
            </w:pPr>
            <w:r>
              <w:rPr>
                <w:rFonts w:hint="default" w:ascii="Times New Roman" w:hAnsi="Times New Roman" w:eastAsia="宋体" w:cs="Times New Roman"/>
                <w:color w:val="000000" w:themeColor="text1"/>
                <w:sz w:val="24"/>
                <w:szCs w:val="18"/>
                <w:highlight w:val="none"/>
                <w14:textFill>
                  <w14:solidFill>
                    <w14:schemeClr w14:val="tx1"/>
                  </w14:solidFill>
                </w14:textFill>
              </w:rPr>
              <w:t>汽水管道的自然高点和自然低点均设放汽阀和放水阀，排污及疏放水由</w:t>
            </w:r>
            <w:r>
              <w:rPr>
                <w:rFonts w:hint="default" w:ascii="Times New Roman" w:hAnsi="Times New Roman" w:cs="Times New Roman"/>
                <w:color w:val="000000" w:themeColor="text1"/>
                <w:sz w:val="24"/>
                <w:szCs w:val="18"/>
                <w:highlight w:val="none"/>
                <w:lang w:eastAsia="zh-CN"/>
                <w14:textFill>
                  <w14:solidFill>
                    <w14:schemeClr w14:val="tx1"/>
                  </w14:solidFill>
                </w14:textFill>
              </w:rPr>
              <w:t>全厂</w:t>
            </w:r>
            <w:r>
              <w:rPr>
                <w:rFonts w:hint="default" w:ascii="Times New Roman" w:hAnsi="Times New Roman" w:eastAsia="宋体" w:cs="Times New Roman"/>
                <w:color w:val="000000" w:themeColor="text1"/>
                <w:sz w:val="24"/>
                <w:szCs w:val="18"/>
                <w:highlight w:val="none"/>
                <w14:textFill>
                  <w14:solidFill>
                    <w14:schemeClr w14:val="tx1"/>
                  </w14:solidFill>
                </w14:textFill>
              </w:rPr>
              <w:t>排污系统统一处理。</w:t>
            </w:r>
          </w:p>
          <w:p w14:paraId="74762B9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default" w:ascii="Times New Roman" w:hAnsi="Times New Roman" w:eastAsia="宋体" w:cs="Times New Roman"/>
                <w:color w:val="000000" w:themeColor="text1"/>
                <w:sz w:val="24"/>
                <w:szCs w:val="18"/>
                <w:highlight w:val="none"/>
                <w14:textFill>
                  <w14:solidFill>
                    <w14:schemeClr w14:val="tx1"/>
                  </w14:solidFill>
                </w14:textFill>
              </w:rPr>
            </w:pPr>
            <w:r>
              <w:rPr>
                <w:rFonts w:hint="default" w:ascii="Times New Roman" w:hAnsi="Times New Roman" w:eastAsia="宋体" w:cs="Times New Roman"/>
                <w:color w:val="000000" w:themeColor="text1"/>
                <w:sz w:val="24"/>
                <w:szCs w:val="18"/>
                <w:highlight w:val="none"/>
                <w14:textFill>
                  <w14:solidFill>
                    <w14:schemeClr w14:val="tx1"/>
                  </w14:solidFill>
                </w14:textFill>
              </w:rPr>
              <w:t>c.给水系统</w:t>
            </w:r>
          </w:p>
          <w:p w14:paraId="42B7F62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default" w:ascii="Times New Roman" w:hAnsi="Times New Roman" w:eastAsia="宋体" w:cs="Times New Roman"/>
                <w:color w:val="000000" w:themeColor="text1"/>
                <w:sz w:val="24"/>
                <w:szCs w:val="18"/>
                <w:highlight w:val="none"/>
                <w14:textFill>
                  <w14:solidFill>
                    <w14:schemeClr w14:val="tx1"/>
                  </w14:solidFill>
                </w14:textFill>
              </w:rPr>
            </w:pPr>
            <w:r>
              <w:rPr>
                <w:rFonts w:hint="default" w:ascii="Times New Roman" w:hAnsi="Times New Roman" w:eastAsia="宋体" w:cs="Times New Roman"/>
                <w:color w:val="000000" w:themeColor="text1"/>
                <w:sz w:val="24"/>
                <w:szCs w:val="18"/>
                <w:highlight w:val="none"/>
                <w14:textFill>
                  <w14:solidFill>
                    <w14:schemeClr w14:val="tx1"/>
                  </w14:solidFill>
                </w14:textFill>
              </w:rPr>
              <w:t>本工程锅炉给水为化学补充水，由</w:t>
            </w:r>
            <w:r>
              <w:rPr>
                <w:rFonts w:hint="eastAsia" w:cs="Times New Roman"/>
                <w:color w:val="000000" w:themeColor="text1"/>
                <w:sz w:val="24"/>
                <w:szCs w:val="18"/>
                <w:highlight w:val="none"/>
                <w:lang w:eastAsia="zh-CN"/>
                <w14:textFill>
                  <w14:solidFill>
                    <w14:schemeClr w14:val="tx1"/>
                  </w14:solidFill>
                </w14:textFill>
              </w:rPr>
              <w:t>软水</w:t>
            </w:r>
            <w:r>
              <w:rPr>
                <w:rFonts w:hint="default" w:ascii="Times New Roman" w:hAnsi="Times New Roman" w:eastAsia="宋体" w:cs="Times New Roman"/>
                <w:color w:val="000000" w:themeColor="text1"/>
                <w:sz w:val="24"/>
                <w:szCs w:val="18"/>
                <w:highlight w:val="none"/>
                <w14:textFill>
                  <w14:solidFill>
                    <w14:schemeClr w14:val="tx1"/>
                  </w14:solidFill>
                </w14:textFill>
              </w:rPr>
              <w:t>处理系统提供。</w:t>
            </w:r>
          </w:p>
          <w:p w14:paraId="5556D3C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default" w:ascii="Times New Roman" w:hAnsi="Times New Roman" w:eastAsia="宋体" w:cs="Times New Roman"/>
                <w:color w:val="000000" w:themeColor="text1"/>
                <w:sz w:val="24"/>
                <w:szCs w:val="18"/>
                <w:highlight w:val="none"/>
                <w14:textFill>
                  <w14:solidFill>
                    <w14:schemeClr w14:val="tx1"/>
                  </w14:solidFill>
                </w14:textFill>
              </w:rPr>
            </w:pPr>
            <w:r>
              <w:rPr>
                <w:rFonts w:hint="default" w:ascii="Times New Roman" w:hAnsi="Times New Roman" w:eastAsia="宋体" w:cs="Times New Roman"/>
                <w:color w:val="000000" w:themeColor="text1"/>
                <w:sz w:val="24"/>
                <w:szCs w:val="18"/>
                <w:highlight w:val="none"/>
                <w14:textFill>
                  <w14:solidFill>
                    <w14:schemeClr w14:val="tx1"/>
                  </w14:solidFill>
                </w14:textFill>
              </w:rPr>
              <w:t>d.锅炉排污系统</w:t>
            </w:r>
          </w:p>
          <w:p w14:paraId="367AA25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default" w:ascii="Times New Roman" w:hAnsi="Times New Roman" w:eastAsia="宋体" w:cs="Times New Roman"/>
                <w:color w:val="000000" w:themeColor="text1"/>
                <w:sz w:val="24"/>
                <w:szCs w:val="18"/>
                <w:highlight w:val="none"/>
                <w14:textFill>
                  <w14:solidFill>
                    <w14:schemeClr w14:val="tx1"/>
                  </w14:solidFill>
                </w14:textFill>
              </w:rPr>
            </w:pPr>
            <w:r>
              <w:rPr>
                <w:rFonts w:hint="default" w:ascii="Times New Roman" w:hAnsi="Times New Roman" w:eastAsia="宋体" w:cs="Times New Roman"/>
                <w:color w:val="000000" w:themeColor="text1"/>
                <w:sz w:val="24"/>
                <w:szCs w:val="18"/>
                <w:highlight w:val="none"/>
                <w14:textFill>
                  <w14:solidFill>
                    <w14:schemeClr w14:val="tx1"/>
                  </w14:solidFill>
                </w14:textFill>
              </w:rPr>
              <w:t>本工程锅炉设置排污扩容器，排污后的水均回收至污水处理系统统一处理。</w:t>
            </w:r>
          </w:p>
          <w:p w14:paraId="6F3F7BC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default" w:ascii="Times New Roman" w:hAnsi="Times New Roman" w:eastAsia="宋体" w:cs="Times New Roman"/>
                <w:color w:val="000000" w:themeColor="text1"/>
                <w:sz w:val="24"/>
                <w:szCs w:val="18"/>
                <w:highlight w:val="none"/>
                <w14:textFill>
                  <w14:solidFill>
                    <w14:schemeClr w14:val="tx1"/>
                  </w14:solidFill>
                </w14:textFill>
              </w:rPr>
            </w:pPr>
            <w:r>
              <w:rPr>
                <w:rFonts w:hint="default" w:ascii="Times New Roman" w:hAnsi="Times New Roman" w:eastAsia="宋体" w:cs="Times New Roman"/>
                <w:color w:val="000000" w:themeColor="text1"/>
                <w:sz w:val="24"/>
                <w:szCs w:val="18"/>
                <w:highlight w:val="none"/>
                <w14:textFill>
                  <w14:solidFill>
                    <w14:schemeClr w14:val="tx1"/>
                  </w14:solidFill>
                </w14:textFill>
              </w:rPr>
              <w:t>e.给水回热系统</w:t>
            </w:r>
          </w:p>
          <w:p w14:paraId="3B841D0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default" w:ascii="Times New Roman" w:hAnsi="Times New Roman" w:eastAsia="宋体" w:cs="Times New Roman"/>
                <w:color w:val="000000" w:themeColor="text1"/>
                <w:sz w:val="24"/>
                <w:szCs w:val="18"/>
                <w:highlight w:val="none"/>
                <w14:textFill>
                  <w14:solidFill>
                    <w14:schemeClr w14:val="tx1"/>
                  </w14:solidFill>
                </w14:textFill>
              </w:rPr>
            </w:pPr>
            <w:r>
              <w:rPr>
                <w:rFonts w:hint="default" w:ascii="Times New Roman" w:hAnsi="Times New Roman" w:eastAsia="宋体" w:cs="Times New Roman"/>
                <w:color w:val="000000" w:themeColor="text1"/>
                <w:sz w:val="24"/>
                <w:szCs w:val="18"/>
                <w:highlight w:val="none"/>
                <w14:textFill>
                  <w14:solidFill>
                    <w14:schemeClr w14:val="tx1"/>
                  </w14:solidFill>
                </w14:textFill>
              </w:rPr>
              <w:t>本项目设置了给水回热系统，将给水温度加热到一定温度后再送至除氧器。除氧器采用热力除氧，消耗少量的蒸汽，除去给水中的氧气同时加热给水。</w:t>
            </w:r>
          </w:p>
          <w:p w14:paraId="21C519D0">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baseline"/>
              <w:rPr>
                <w:rFonts w:hint="default" w:ascii="Times New Roman" w:hAnsi="Times New Roman" w:eastAsia="宋体" w:cs="Times New Roman"/>
                <w:color w:val="000000" w:themeColor="text1"/>
                <w:sz w:val="24"/>
                <w:szCs w:val="18"/>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18"/>
                <w:highlight w:val="none"/>
                <w:lang w:val="en-US" w:eastAsia="zh-CN"/>
                <w14:textFill>
                  <w14:solidFill>
                    <w14:schemeClr w14:val="tx1"/>
                  </w14:solidFill>
                </w14:textFill>
              </w:rPr>
              <w:t>废水</w:t>
            </w:r>
            <w:r>
              <w:rPr>
                <w:rFonts w:hint="default" w:ascii="Times New Roman" w:hAnsi="Times New Roman" w:eastAsia="宋体" w:cs="Times New Roman"/>
                <w:color w:val="000000" w:themeColor="text1"/>
                <w:sz w:val="24"/>
                <w:szCs w:val="18"/>
                <w:highlight w:val="none"/>
                <w:lang w:val="en-US" w:eastAsia="zh-CN"/>
                <w14:textFill>
                  <w14:solidFill>
                    <w14:schemeClr w14:val="tx1"/>
                  </w14:solidFill>
                </w14:textFill>
              </w:rPr>
              <w:t>：余热锅炉排污水（W3）。</w:t>
            </w:r>
          </w:p>
          <w:p w14:paraId="7F9C3DB6">
            <w:pPr>
              <w:spacing w:line="360" w:lineRule="auto"/>
              <w:jc w:val="both"/>
              <w:rPr>
                <w:rFonts w:hint="default" w:ascii="Times New Roman" w:hAnsi="Times New Roman" w:cs="Times New Roman"/>
                <w:color w:val="000000" w:themeColor="text1"/>
                <w:sz w:val="24"/>
                <w:szCs w:val="32"/>
                <w:highlight w:val="none"/>
                <w:lang w:eastAsia="zh-Hans"/>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657225</wp:posOffset>
                      </wp:positionH>
                      <wp:positionV relativeFrom="paragraph">
                        <wp:posOffset>-64598550</wp:posOffset>
                      </wp:positionV>
                      <wp:extent cx="2540" cy="365760"/>
                      <wp:effectExtent l="24765" t="0" r="29845" b="15240"/>
                      <wp:wrapNone/>
                      <wp:docPr id="1" name="直接箭头连接符 19"/>
                      <wp:cNvGraphicFramePr/>
                      <a:graphic xmlns:a="http://schemas.openxmlformats.org/drawingml/2006/main">
                        <a:graphicData uri="http://schemas.microsoft.com/office/word/2010/wordprocessingShape">
                          <wps:wsp>
                            <wps:cNvCnPr/>
                            <wps:spPr>
                              <a:xfrm flipH="1">
                                <a:off x="0" y="0"/>
                                <a:ext cx="2540" cy="365760"/>
                              </a:xfrm>
                              <a:prstGeom prst="straightConnector1">
                                <a:avLst/>
                              </a:prstGeom>
                              <a:ln w="9525" cap="flat" cmpd="sng">
                                <a:solidFill>
                                  <a:srgbClr val="000000"/>
                                </a:solidFill>
                                <a:prstDash val="solid"/>
                                <a:headEnd type="none" w="med" len="med"/>
                                <a:tailEnd type="triangle" w="sm" len="med"/>
                              </a:ln>
                            </wps:spPr>
                            <wps:bodyPr/>
                          </wps:wsp>
                        </a:graphicData>
                      </a:graphic>
                    </wp:anchor>
                  </w:drawing>
                </mc:Choice>
                <mc:Fallback>
                  <w:pict>
                    <v:shape id="直接箭头连接符 19" o:spid="_x0000_s1026" o:spt="32" type="#_x0000_t32" style="position:absolute;left:0pt;flip:x;margin-left:51.75pt;margin-top:-5086.5pt;height:28.8pt;width:0.2pt;z-index:251659264;mso-width-relative:page;mso-height-relative:page;" filled="f" stroked="t" coordsize="21600,21600" o:gfxdata="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HzC5XPdAAAAEQEAAA8A&#10;AAAAAAAAAQAgAAAAIgAAAGRycy9kb3ducmV2LnhtbFBLAQIUABQAAAAIAIdO4kD29i8UEgIAAPwD&#10;AAAOAAAAAAAAAAEAIAAAACwBAABkcnMvZTJvRG9jLnhtbFBLBQYAAAAABgAGAFkBAACwBQAAAAA=&#10;">
                      <v:fill on="f" focussize="0,0"/>
                      <v:stroke color="#000000" joinstyle="round" endarrow="block" endarrowwidth="narrow"/>
                      <v:imagedata o:title=""/>
                      <o:lock v:ext="edit" aspectratio="f"/>
                    </v:shape>
                  </w:pict>
                </mc:Fallback>
              </mc:AlternateContent>
            </w:r>
            <w:r>
              <w:rPr>
                <w:rFonts w:hint="default" w:ascii="Times New Roman" w:hAnsi="Times New Roman" w:cs="Times New Roman"/>
                <w:b/>
                <w:bCs/>
                <w:color w:val="000000" w:themeColor="text1"/>
                <w:sz w:val="24"/>
                <w:highlight w:val="none"/>
                <w:lang w:val="en-US" w:eastAsia="zh-CN"/>
                <w14:textFill>
                  <w14:solidFill>
                    <w14:schemeClr w14:val="tx1"/>
                  </w14:solidFill>
                </w14:textFill>
              </w:rPr>
              <w:t>三</w:t>
            </w:r>
            <w:r>
              <w:rPr>
                <w:rFonts w:hint="default" w:ascii="Times New Roman" w:hAnsi="Times New Roman" w:cs="Times New Roman"/>
                <w:b/>
                <w:bCs/>
                <w:color w:val="000000" w:themeColor="text1"/>
                <w:sz w:val="24"/>
                <w:highlight w:val="none"/>
                <w14:textFill>
                  <w14:solidFill>
                    <w14:schemeClr w14:val="tx1"/>
                  </w14:solidFill>
                </w14:textFill>
              </w:rPr>
              <w:t>、生产工艺产污环节</w:t>
            </w:r>
          </w:p>
          <w:p w14:paraId="5E25D8F6">
            <w:pPr>
              <w:adjustRightInd w:val="0"/>
              <w:snapToGrid w:val="0"/>
              <w:spacing w:line="360" w:lineRule="auto"/>
              <w:ind w:firstLine="480" w:firstLineChars="200"/>
              <w:rPr>
                <w:rFonts w:hint="default" w:ascii="Times New Roman" w:hAnsi="Times New Roman" w:cs="Times New Roman"/>
                <w:color w:val="000000" w:themeColor="text1"/>
                <w:sz w:val="24"/>
                <w:szCs w:val="32"/>
                <w:highlight w:val="none"/>
                <w:lang w:eastAsia="zh-Hans"/>
                <w14:textFill>
                  <w14:solidFill>
                    <w14:schemeClr w14:val="tx1"/>
                  </w14:solidFill>
                </w14:textFill>
              </w:rPr>
            </w:pPr>
            <w:r>
              <w:rPr>
                <w:rFonts w:hint="default" w:ascii="Times New Roman" w:hAnsi="Times New Roman" w:cs="Times New Roman"/>
                <w:color w:val="000000" w:themeColor="text1"/>
                <w:sz w:val="24"/>
                <w:szCs w:val="32"/>
                <w:highlight w:val="none"/>
                <w:lang w:val="en-US" w:eastAsia="zh-CN"/>
                <w14:textFill>
                  <w14:solidFill>
                    <w14:schemeClr w14:val="tx1"/>
                  </w14:solidFill>
                </w14:textFill>
              </w:rPr>
              <w:t>项目</w:t>
            </w:r>
            <w:r>
              <w:rPr>
                <w:rFonts w:hint="default" w:ascii="Times New Roman" w:hAnsi="Times New Roman" w:cs="Times New Roman"/>
                <w:color w:val="000000" w:themeColor="text1"/>
                <w:sz w:val="24"/>
                <w:szCs w:val="32"/>
                <w:highlight w:val="none"/>
                <w:lang w:eastAsia="zh-Hans"/>
                <w14:textFill>
                  <w14:solidFill>
                    <w14:schemeClr w14:val="tx1"/>
                  </w14:solidFill>
                </w14:textFill>
              </w:rPr>
              <w:t>产污</w:t>
            </w:r>
            <w:r>
              <w:rPr>
                <w:rFonts w:hint="default" w:ascii="Times New Roman" w:hAnsi="Times New Roman" w:cs="Times New Roman"/>
                <w:color w:val="000000" w:themeColor="text1"/>
                <w:sz w:val="24"/>
                <w:szCs w:val="32"/>
                <w:highlight w:val="none"/>
                <w:lang w:val="en-US" w:eastAsia="zh-CN"/>
                <w14:textFill>
                  <w14:solidFill>
                    <w14:schemeClr w14:val="tx1"/>
                  </w14:solidFill>
                </w14:textFill>
              </w:rPr>
              <w:t>环节一览表如下。</w:t>
            </w:r>
          </w:p>
          <w:p w14:paraId="1785C556">
            <w:pPr>
              <w:pStyle w:val="6"/>
              <w:numPr>
                <w:ilvl w:val="0"/>
                <w:numId w:val="0"/>
              </w:numPr>
              <w:bidi w:val="0"/>
              <w:ind w:left="0" w:leftChars="0" w:firstLine="402" w:firstLineChars="0"/>
              <w:rPr>
                <w:rFonts w:hint="default" w:ascii="Times New Roman" w:hAnsi="Times New Roman" w:cs="Times New Roman"/>
                <w:color w:val="000000" w:themeColor="text1"/>
                <w:sz w:val="24"/>
                <w:szCs w:val="22"/>
                <w:highlight w:val="none"/>
                <w14:textFill>
                  <w14:solidFill>
                    <w14:schemeClr w14:val="tx1"/>
                  </w14:solidFill>
                </w14:textFill>
              </w:rPr>
            </w:pPr>
            <w:r>
              <w:rPr>
                <w:rFonts w:hint="default" w:ascii="Times New Roman" w:hAnsi="Times New Roman" w:cs="Times New Roman"/>
                <w:color w:val="000000" w:themeColor="text1"/>
                <w:sz w:val="24"/>
                <w:szCs w:val="22"/>
                <w:highlight w:val="none"/>
                <w:lang w:val="en-US" w:eastAsia="zh-CN"/>
                <w14:textFill>
                  <w14:solidFill>
                    <w14:schemeClr w14:val="tx1"/>
                  </w14:solidFill>
                </w14:textFill>
              </w:rPr>
              <w:t>表</w:t>
            </w:r>
            <w:r>
              <w:rPr>
                <w:rFonts w:hint="default" w:ascii="Times New Roman" w:hAnsi="Times New Roman" w:cs="Times New Roman"/>
                <w:color w:val="000000" w:themeColor="text1"/>
                <w:sz w:val="24"/>
                <w:szCs w:val="22"/>
                <w:highlight w:val="none"/>
                <w14:textFill>
                  <w14:solidFill>
                    <w14:schemeClr w14:val="tx1"/>
                  </w14:solidFill>
                </w14:textFill>
              </w:rPr>
              <w:t>2-</w:t>
            </w:r>
            <w:r>
              <w:rPr>
                <w:rFonts w:hint="default" w:ascii="Times New Roman" w:hAnsi="Times New Roman" w:cs="Times New Roman"/>
                <w:color w:val="000000" w:themeColor="text1"/>
                <w:sz w:val="24"/>
                <w:szCs w:val="22"/>
                <w:highlight w:val="none"/>
                <w:lang w:val="en-US" w:eastAsia="zh-CN"/>
                <w14:textFill>
                  <w14:solidFill>
                    <w14:schemeClr w14:val="tx1"/>
                  </w14:solidFill>
                </w14:textFill>
              </w:rPr>
              <w:t>26</w:t>
            </w:r>
            <w:r>
              <w:rPr>
                <w:rFonts w:hint="default" w:ascii="Times New Roman" w:hAnsi="Times New Roman" w:cs="Times New Roman"/>
                <w:color w:val="000000" w:themeColor="text1"/>
                <w:sz w:val="24"/>
                <w:szCs w:val="22"/>
                <w:highlight w:val="none"/>
                <w14:textFill>
                  <w14:solidFill>
                    <w14:schemeClr w14:val="tx1"/>
                  </w14:solidFill>
                </w14:textFill>
              </w:rPr>
              <w:t>项目产污环节</w:t>
            </w:r>
            <w:r>
              <w:rPr>
                <w:rFonts w:hint="default" w:ascii="Times New Roman" w:hAnsi="Times New Roman" w:cs="Times New Roman"/>
                <w:color w:val="000000" w:themeColor="text1"/>
                <w:sz w:val="24"/>
                <w:szCs w:val="22"/>
                <w:highlight w:val="none"/>
                <w:lang w:val="en-US" w:eastAsia="zh-CN"/>
                <w14:textFill>
                  <w14:solidFill>
                    <w14:schemeClr w14:val="tx1"/>
                  </w14:solidFill>
                </w14:textFill>
              </w:rPr>
              <w:t>一</w:t>
            </w:r>
            <w:r>
              <w:rPr>
                <w:rFonts w:hint="default" w:ascii="Times New Roman" w:hAnsi="Times New Roman" w:cs="Times New Roman"/>
                <w:color w:val="000000" w:themeColor="text1"/>
                <w:sz w:val="24"/>
                <w:szCs w:val="22"/>
                <w:highlight w:val="none"/>
                <w14:textFill>
                  <w14:solidFill>
                    <w14:schemeClr w14:val="tx1"/>
                  </w14:solidFill>
                </w14:textFill>
              </w:rPr>
              <w:t>览表</w:t>
            </w:r>
          </w:p>
          <w:tbl>
            <w:tblPr>
              <w:tblStyle w:val="24"/>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1318"/>
              <w:gridCol w:w="963"/>
              <w:gridCol w:w="1579"/>
              <w:gridCol w:w="670"/>
              <w:gridCol w:w="3188"/>
            </w:tblGrid>
            <w:tr w14:paraId="02FCB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noWrap w:val="0"/>
                  <w:vAlign w:val="center"/>
                </w:tcPr>
                <w:p w14:paraId="77AE69A5">
                  <w:pPr>
                    <w:pStyle w:val="118"/>
                    <w:bidi w:val="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类别</w:t>
                  </w:r>
                </w:p>
              </w:tc>
              <w:tc>
                <w:tcPr>
                  <w:tcW w:w="787" w:type="pct"/>
                  <w:tcBorders>
                    <w:tl2br w:val="nil"/>
                    <w:tr2bl w:val="nil"/>
                  </w:tcBorders>
                  <w:noWrap w:val="0"/>
                  <w:vAlign w:val="center"/>
                </w:tcPr>
                <w:p w14:paraId="2C92AA9B">
                  <w:pPr>
                    <w:pStyle w:val="118"/>
                    <w:bidi w:val="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污染源</w:t>
                  </w:r>
                </w:p>
              </w:tc>
              <w:tc>
                <w:tcPr>
                  <w:tcW w:w="575" w:type="pct"/>
                  <w:tcBorders>
                    <w:tl2br w:val="nil"/>
                    <w:tr2bl w:val="nil"/>
                  </w:tcBorders>
                  <w:noWrap w:val="0"/>
                  <w:vAlign w:val="center"/>
                </w:tcPr>
                <w:p w14:paraId="62213122">
                  <w:pPr>
                    <w:pStyle w:val="118"/>
                    <w:bidi w:val="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排污</w:t>
                  </w:r>
                </w:p>
                <w:p w14:paraId="7FA53A05">
                  <w:pPr>
                    <w:pStyle w:val="118"/>
                    <w:bidi w:val="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序号</w:t>
                  </w:r>
                </w:p>
              </w:tc>
              <w:tc>
                <w:tcPr>
                  <w:tcW w:w="943" w:type="pct"/>
                  <w:tcBorders>
                    <w:tl2br w:val="nil"/>
                    <w:tr2bl w:val="nil"/>
                  </w:tcBorders>
                  <w:noWrap w:val="0"/>
                  <w:vAlign w:val="center"/>
                </w:tcPr>
                <w:p w14:paraId="78DFB300">
                  <w:pPr>
                    <w:pStyle w:val="118"/>
                    <w:bidi w:val="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主要污染物</w:t>
                  </w:r>
                </w:p>
              </w:tc>
              <w:tc>
                <w:tcPr>
                  <w:tcW w:w="400" w:type="pct"/>
                  <w:tcBorders>
                    <w:tl2br w:val="nil"/>
                    <w:tr2bl w:val="nil"/>
                  </w:tcBorders>
                  <w:noWrap w:val="0"/>
                  <w:vAlign w:val="center"/>
                </w:tcPr>
                <w:p w14:paraId="1C524C76">
                  <w:pPr>
                    <w:pStyle w:val="118"/>
                    <w:bidi w:val="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排放</w:t>
                  </w:r>
                </w:p>
                <w:p w14:paraId="568442E1">
                  <w:pPr>
                    <w:pStyle w:val="118"/>
                    <w:bidi w:val="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规律</w:t>
                  </w:r>
                </w:p>
              </w:tc>
              <w:tc>
                <w:tcPr>
                  <w:tcW w:w="1904" w:type="pct"/>
                  <w:tcBorders>
                    <w:tl2br w:val="nil"/>
                    <w:tr2bl w:val="nil"/>
                  </w:tcBorders>
                  <w:noWrap w:val="0"/>
                  <w:vAlign w:val="center"/>
                </w:tcPr>
                <w:p w14:paraId="46B317B8">
                  <w:pPr>
                    <w:pStyle w:val="118"/>
                    <w:bidi w:val="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措施及去向</w:t>
                  </w:r>
                </w:p>
              </w:tc>
            </w:tr>
            <w:tr w14:paraId="00AB0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390" w:type="pct"/>
                  <w:vMerge w:val="restart"/>
                  <w:tcBorders>
                    <w:tl2br w:val="nil"/>
                    <w:tr2bl w:val="nil"/>
                  </w:tcBorders>
                  <w:noWrap w:val="0"/>
                  <w:vAlign w:val="center"/>
                </w:tcPr>
                <w:p w14:paraId="5AE26A89">
                  <w:pPr>
                    <w:pStyle w:val="118"/>
                    <w:bidi w:val="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废气</w:t>
                  </w:r>
                </w:p>
              </w:tc>
              <w:tc>
                <w:tcPr>
                  <w:tcW w:w="787" w:type="pct"/>
                  <w:tcBorders>
                    <w:tl2br w:val="nil"/>
                    <w:tr2bl w:val="nil"/>
                  </w:tcBorders>
                  <w:noWrap w:val="0"/>
                  <w:vAlign w:val="center"/>
                </w:tcPr>
                <w:p w14:paraId="0151CBAD">
                  <w:pPr>
                    <w:pStyle w:val="118"/>
                    <w:bidi w:val="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lang w:eastAsia="zh-CN"/>
                      <w14:textFill>
                        <w14:solidFill>
                          <w14:schemeClr w14:val="tx1"/>
                        </w14:solidFill>
                      </w14:textFill>
                    </w:rPr>
                    <w:t>原料粉</w:t>
                  </w:r>
                  <w:r>
                    <w:rPr>
                      <w:rFonts w:hint="default" w:ascii="Times New Roman" w:hAnsi="Times New Roman" w:cs="Times New Roman"/>
                      <w:color w:val="000000" w:themeColor="text1"/>
                      <w:sz w:val="21"/>
                      <w:szCs w:val="21"/>
                      <w:highlight w:val="none"/>
                      <w14:textFill>
                        <w14:solidFill>
                          <w14:schemeClr w14:val="tx1"/>
                        </w14:solidFill>
                      </w14:textFill>
                    </w:rPr>
                    <w:t>料储存装卸</w:t>
                  </w:r>
                </w:p>
              </w:tc>
              <w:tc>
                <w:tcPr>
                  <w:tcW w:w="575" w:type="pct"/>
                  <w:tcBorders>
                    <w:tl2br w:val="nil"/>
                    <w:tr2bl w:val="nil"/>
                  </w:tcBorders>
                  <w:noWrap w:val="0"/>
                  <w:vAlign w:val="center"/>
                </w:tcPr>
                <w:p w14:paraId="0DF75934">
                  <w:pPr>
                    <w:pStyle w:val="118"/>
                    <w:bidi w:val="0"/>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G1</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-1、</w:t>
                  </w:r>
                  <w:r>
                    <w:rPr>
                      <w:rFonts w:hint="default" w:ascii="Times New Roman" w:hAnsi="Times New Roman" w:cs="Times New Roman"/>
                      <w:color w:val="000000" w:themeColor="text1"/>
                      <w:sz w:val="21"/>
                      <w:szCs w:val="21"/>
                      <w:highlight w:val="none"/>
                      <w14:textFill>
                        <w14:solidFill>
                          <w14:schemeClr w14:val="tx1"/>
                        </w14:solidFill>
                      </w14:textFill>
                    </w:rPr>
                    <w:t>G</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1-</w:t>
                  </w:r>
                  <w:r>
                    <w:rPr>
                      <w:rFonts w:hint="default" w:ascii="Times New Roman" w:hAnsi="Times New Roman" w:cs="Times New Roman"/>
                      <w:color w:val="000000" w:themeColor="text1"/>
                      <w:sz w:val="21"/>
                      <w:szCs w:val="21"/>
                      <w:highlight w:val="none"/>
                      <w14:textFill>
                        <w14:solidFill>
                          <w14:schemeClr w14:val="tx1"/>
                        </w14:solidFill>
                      </w14:textFill>
                    </w:rPr>
                    <w:t>2</w:t>
                  </w:r>
                </w:p>
              </w:tc>
              <w:tc>
                <w:tcPr>
                  <w:tcW w:w="943" w:type="pct"/>
                  <w:tcBorders>
                    <w:tl2br w:val="nil"/>
                    <w:tr2bl w:val="nil"/>
                  </w:tcBorders>
                  <w:noWrap w:val="0"/>
                  <w:vAlign w:val="center"/>
                </w:tcPr>
                <w:p w14:paraId="03239B1D">
                  <w:pPr>
                    <w:pStyle w:val="118"/>
                    <w:bidi w:val="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颗粒物</w:t>
                  </w:r>
                </w:p>
              </w:tc>
              <w:tc>
                <w:tcPr>
                  <w:tcW w:w="400" w:type="pct"/>
                  <w:tcBorders>
                    <w:tl2br w:val="nil"/>
                    <w:tr2bl w:val="nil"/>
                  </w:tcBorders>
                  <w:noWrap w:val="0"/>
                  <w:vAlign w:val="center"/>
                </w:tcPr>
                <w:p w14:paraId="51DD6756">
                  <w:pPr>
                    <w:pStyle w:val="118"/>
                    <w:bidi w:val="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间隙</w:t>
                  </w:r>
                </w:p>
              </w:tc>
              <w:tc>
                <w:tcPr>
                  <w:tcW w:w="1904" w:type="pct"/>
                  <w:tcBorders>
                    <w:tl2br w:val="nil"/>
                    <w:tr2bl w:val="nil"/>
                  </w:tcBorders>
                  <w:noWrap w:val="0"/>
                  <w:vAlign w:val="center"/>
                </w:tcPr>
                <w:p w14:paraId="60C2721D">
                  <w:pPr>
                    <w:pStyle w:val="118"/>
                    <w:bidi w:val="0"/>
                    <w:jc w:val="both"/>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lang w:eastAsia="zh-CN"/>
                      <w14:textFill>
                        <w14:solidFill>
                          <w14:schemeClr w14:val="tx1"/>
                        </w14:solidFill>
                      </w14:textFill>
                    </w:rPr>
                    <w:t>布袋除尘器（覆膜袋式）</w:t>
                  </w:r>
                  <w:r>
                    <w:rPr>
                      <w:rFonts w:hint="default" w:ascii="Times New Roman" w:hAnsi="Times New Roman" w:cs="Times New Roman"/>
                      <w:color w:val="000000" w:themeColor="text1"/>
                      <w:sz w:val="21"/>
                      <w:szCs w:val="21"/>
                      <w:highlight w:val="none"/>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2</w:t>
                  </w:r>
                  <w:r>
                    <w:rPr>
                      <w:rFonts w:hint="default" w:ascii="Times New Roman" w:hAnsi="Times New Roman" w:cs="Times New Roman"/>
                      <w:color w:val="000000" w:themeColor="text1"/>
                      <w:sz w:val="21"/>
                      <w:szCs w:val="21"/>
                      <w:highlight w:val="none"/>
                      <w14:textFill>
                        <w14:solidFill>
                          <w14:schemeClr w14:val="tx1"/>
                        </w14:solidFill>
                      </w14:textFill>
                    </w:rPr>
                    <w:t>套）+</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42</w:t>
                  </w:r>
                  <w:r>
                    <w:rPr>
                      <w:rFonts w:hint="default" w:ascii="Times New Roman" w:hAnsi="Times New Roman" w:cs="Times New Roman"/>
                      <w:color w:val="000000" w:themeColor="text1"/>
                      <w:sz w:val="21"/>
                      <w:szCs w:val="21"/>
                      <w:highlight w:val="none"/>
                      <w:lang w:eastAsia="zh-CN"/>
                      <w14:textFill>
                        <w14:solidFill>
                          <w14:schemeClr w14:val="tx1"/>
                        </w14:solidFill>
                      </w14:textFill>
                    </w:rPr>
                    <w:t>m</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高</w:t>
                  </w:r>
                  <w:r>
                    <w:rPr>
                      <w:rFonts w:hint="eastAsia" w:cs="Times New Roman"/>
                      <w:color w:val="000000" w:themeColor="text1"/>
                      <w:sz w:val="21"/>
                      <w:szCs w:val="21"/>
                      <w:highlight w:val="none"/>
                      <w:lang w:eastAsia="zh-CN"/>
                      <w14:textFill>
                        <w14:solidFill>
                          <w14:schemeClr w14:val="tx1"/>
                        </w14:solidFill>
                      </w14:textFill>
                    </w:rPr>
                    <w:t>排气</w:t>
                  </w:r>
                  <w:r>
                    <w:rPr>
                      <w:rFonts w:hint="eastAsia" w:cs="Times New Roman"/>
                      <w:color w:val="000000" w:themeColor="text1"/>
                      <w:sz w:val="24"/>
                      <w:szCs w:val="24"/>
                      <w:highlight w:val="none"/>
                      <w:lang w:val="en-US" w:eastAsia="zh-CN"/>
                      <w14:textFill>
                        <w14:solidFill>
                          <w14:schemeClr w14:val="tx1"/>
                        </w14:solidFill>
                      </w14:textFill>
                    </w:rPr>
                    <w:t>口</w:t>
                  </w:r>
                  <w:r>
                    <w:rPr>
                      <w:rFonts w:hint="default" w:ascii="Times New Roman" w:hAnsi="Times New Roman" w:cs="Times New Roman"/>
                      <w:color w:val="000000" w:themeColor="text1"/>
                      <w:sz w:val="21"/>
                      <w:szCs w:val="21"/>
                      <w:highlight w:val="none"/>
                      <w14:textFill>
                        <w14:solidFill>
                          <w14:schemeClr w14:val="tx1"/>
                        </w14:solidFill>
                      </w14:textFill>
                    </w:rPr>
                    <w:t>（DA001</w:t>
                  </w:r>
                  <w:r>
                    <w:rPr>
                      <w:rFonts w:hint="default" w:ascii="Times New Roman" w:hAnsi="Times New Roman" w:cs="Times New Roman"/>
                      <w:color w:val="000000" w:themeColor="text1"/>
                      <w:sz w:val="21"/>
                      <w:szCs w:val="21"/>
                      <w:highlight w:val="none"/>
                      <w:lang w:eastAsia="zh-CN"/>
                      <w14:textFill>
                        <w14:solidFill>
                          <w14:schemeClr w14:val="tx1"/>
                        </w14:solidFill>
                      </w14:textFill>
                    </w:rPr>
                    <w:t>、</w:t>
                  </w:r>
                  <w:r>
                    <w:rPr>
                      <w:rFonts w:hint="default" w:ascii="Times New Roman" w:hAnsi="Times New Roman" w:cs="Times New Roman"/>
                      <w:color w:val="000000" w:themeColor="text1"/>
                      <w:sz w:val="21"/>
                      <w:szCs w:val="21"/>
                      <w:highlight w:val="none"/>
                      <w14:textFill>
                        <w14:solidFill>
                          <w14:schemeClr w14:val="tx1"/>
                        </w14:solidFill>
                      </w14:textFill>
                    </w:rPr>
                    <w:t>DA00</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2</w:t>
                  </w:r>
                  <w:r>
                    <w:rPr>
                      <w:rFonts w:hint="default" w:ascii="Times New Roman" w:hAnsi="Times New Roman" w:cs="Times New Roman"/>
                      <w:color w:val="000000" w:themeColor="text1"/>
                      <w:sz w:val="21"/>
                      <w:szCs w:val="21"/>
                      <w:highlight w:val="none"/>
                      <w14:textFill>
                        <w14:solidFill>
                          <w14:schemeClr w14:val="tx1"/>
                        </w14:solidFill>
                      </w14:textFill>
                    </w:rPr>
                    <w:t>）</w:t>
                  </w:r>
                </w:p>
              </w:tc>
            </w:tr>
            <w:tr w14:paraId="50649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390" w:type="pct"/>
                  <w:vMerge w:val="continue"/>
                  <w:tcBorders>
                    <w:tl2br w:val="nil"/>
                    <w:tr2bl w:val="nil"/>
                  </w:tcBorders>
                  <w:noWrap w:val="0"/>
                  <w:vAlign w:val="center"/>
                </w:tcPr>
                <w:p w14:paraId="72982F7A">
                  <w:pPr>
                    <w:pStyle w:val="118"/>
                    <w:bidi w:val="0"/>
                    <w:rPr>
                      <w:rFonts w:hint="default" w:ascii="Times New Roman" w:hAnsi="Times New Roman" w:cs="Times New Roman"/>
                      <w:color w:val="000000" w:themeColor="text1"/>
                      <w:sz w:val="21"/>
                      <w:szCs w:val="21"/>
                      <w:highlight w:val="none"/>
                      <w14:textFill>
                        <w14:solidFill>
                          <w14:schemeClr w14:val="tx1"/>
                        </w14:solidFill>
                      </w14:textFill>
                    </w:rPr>
                  </w:pPr>
                </w:p>
              </w:tc>
              <w:tc>
                <w:tcPr>
                  <w:tcW w:w="787" w:type="pct"/>
                  <w:tcBorders>
                    <w:tl2br w:val="nil"/>
                    <w:tr2bl w:val="nil"/>
                  </w:tcBorders>
                  <w:noWrap w:val="0"/>
                  <w:vAlign w:val="center"/>
                </w:tcPr>
                <w:p w14:paraId="455BEF8A">
                  <w:pPr>
                    <w:pStyle w:val="118"/>
                    <w:bidi w:val="0"/>
                    <w:rPr>
                      <w:rFonts w:hint="default" w:ascii="Times New Roman" w:hAnsi="Times New Roman" w:cs="Times New Roman"/>
                      <w:color w:val="000000" w:themeColor="text1"/>
                      <w:sz w:val="21"/>
                      <w:szCs w:val="21"/>
                      <w:highlight w:val="none"/>
                      <w:lang w:val="en-US"/>
                      <w14:textFill>
                        <w14:solidFill>
                          <w14:schemeClr w14:val="tx1"/>
                        </w14:solidFill>
                      </w14:textFill>
                    </w:rPr>
                  </w:pPr>
                  <w:r>
                    <w:rPr>
                      <w:rFonts w:hint="default" w:ascii="Times New Roman" w:hAnsi="Times New Roman" w:cs="Times New Roman"/>
                      <w:color w:val="000000" w:themeColor="text1"/>
                      <w:sz w:val="21"/>
                      <w:szCs w:val="21"/>
                      <w:highlight w:val="none"/>
                      <w:lang w:eastAsia="zh-CN"/>
                      <w14:textFill>
                        <w14:solidFill>
                          <w14:schemeClr w14:val="tx1"/>
                        </w14:solidFill>
                      </w14:textFill>
                    </w:rPr>
                    <w:t>原料粉</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转运粉仓</w:t>
                  </w:r>
                </w:p>
              </w:tc>
              <w:tc>
                <w:tcPr>
                  <w:tcW w:w="575" w:type="pct"/>
                  <w:tcBorders>
                    <w:tl2br w:val="nil"/>
                    <w:tr2bl w:val="nil"/>
                  </w:tcBorders>
                  <w:noWrap w:val="0"/>
                  <w:vAlign w:val="center"/>
                </w:tcPr>
                <w:p w14:paraId="753C29FF">
                  <w:pPr>
                    <w:pStyle w:val="118"/>
                    <w:bidi w:val="0"/>
                    <w:ind w:firstLine="0" w:firstLineChars="0"/>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G</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1-3</w:t>
                  </w:r>
                </w:p>
              </w:tc>
              <w:tc>
                <w:tcPr>
                  <w:tcW w:w="943" w:type="pct"/>
                  <w:tcBorders>
                    <w:tl2br w:val="nil"/>
                    <w:tr2bl w:val="nil"/>
                  </w:tcBorders>
                  <w:noWrap w:val="0"/>
                  <w:vAlign w:val="center"/>
                </w:tcPr>
                <w:p w14:paraId="7AB51C6F">
                  <w:pPr>
                    <w:pStyle w:val="118"/>
                    <w:bidi w:val="0"/>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颗粒物</w:t>
                  </w:r>
                </w:p>
              </w:tc>
              <w:tc>
                <w:tcPr>
                  <w:tcW w:w="400" w:type="pct"/>
                  <w:tcBorders>
                    <w:tl2br w:val="nil"/>
                    <w:tr2bl w:val="nil"/>
                  </w:tcBorders>
                  <w:noWrap w:val="0"/>
                  <w:vAlign w:val="center"/>
                </w:tcPr>
                <w:p w14:paraId="7D7BA8EF">
                  <w:pPr>
                    <w:pStyle w:val="118"/>
                    <w:bidi w:val="0"/>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连续</w:t>
                  </w:r>
                </w:p>
              </w:tc>
              <w:tc>
                <w:tcPr>
                  <w:tcW w:w="1904" w:type="pct"/>
                  <w:tcBorders>
                    <w:tl2br w:val="nil"/>
                    <w:tr2bl w:val="nil"/>
                  </w:tcBorders>
                  <w:noWrap w:val="0"/>
                  <w:vAlign w:val="center"/>
                </w:tcPr>
                <w:p w14:paraId="36ED221B">
                  <w:pPr>
                    <w:pStyle w:val="118"/>
                    <w:bidi w:val="0"/>
                    <w:jc w:val="both"/>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lang w:eastAsia="zh-CN"/>
                      <w14:textFill>
                        <w14:solidFill>
                          <w14:schemeClr w14:val="tx1"/>
                        </w14:solidFill>
                      </w14:textFill>
                    </w:rPr>
                    <w:t>布袋除尘器（覆膜袋式）</w:t>
                  </w:r>
                  <w:r>
                    <w:rPr>
                      <w:rFonts w:hint="default" w:ascii="Times New Roman" w:hAnsi="Times New Roman" w:cs="Times New Roman"/>
                      <w:color w:val="000000" w:themeColor="text1"/>
                      <w:sz w:val="21"/>
                      <w:szCs w:val="21"/>
                      <w:highlight w:val="none"/>
                      <w14:textFill>
                        <w14:solidFill>
                          <w14:schemeClr w14:val="tx1"/>
                        </w14:solidFill>
                      </w14:textFill>
                    </w:rPr>
                    <w:t>（1套）+</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15</w:t>
                  </w:r>
                  <w:r>
                    <w:rPr>
                      <w:rFonts w:hint="default" w:ascii="Times New Roman" w:hAnsi="Times New Roman" w:cs="Times New Roman"/>
                      <w:color w:val="000000" w:themeColor="text1"/>
                      <w:sz w:val="21"/>
                      <w:szCs w:val="21"/>
                      <w:highlight w:val="none"/>
                      <w:lang w:eastAsia="zh-CN"/>
                      <w14:textFill>
                        <w14:solidFill>
                          <w14:schemeClr w14:val="tx1"/>
                        </w14:solidFill>
                      </w14:textFill>
                    </w:rPr>
                    <w:t>m</w:t>
                  </w:r>
                  <w:r>
                    <w:rPr>
                      <w:rFonts w:hint="default" w:ascii="Times New Roman" w:hAnsi="Times New Roman" w:cs="Times New Roman"/>
                      <w:color w:val="000000" w:themeColor="text1"/>
                      <w:sz w:val="24"/>
                      <w:highlight w:val="none"/>
                      <w:lang w:val="en-US" w:eastAsia="zh-CN"/>
                      <w14:textFill>
                        <w14:solidFill>
                          <w14:schemeClr w14:val="tx1"/>
                        </w14:solidFill>
                      </w14:textFill>
                    </w:rPr>
                    <w:t>高</w:t>
                  </w:r>
                  <w:r>
                    <w:rPr>
                      <w:rFonts w:hint="eastAsia" w:cs="Times New Roman"/>
                      <w:color w:val="000000" w:themeColor="text1"/>
                      <w:sz w:val="21"/>
                      <w:szCs w:val="21"/>
                      <w:highlight w:val="none"/>
                      <w:lang w:eastAsia="zh-CN"/>
                      <w14:textFill>
                        <w14:solidFill>
                          <w14:schemeClr w14:val="tx1"/>
                        </w14:solidFill>
                      </w14:textFill>
                    </w:rPr>
                    <w:t>排气</w:t>
                  </w:r>
                  <w:r>
                    <w:rPr>
                      <w:rFonts w:hint="eastAsia" w:cs="Times New Roman"/>
                      <w:color w:val="000000" w:themeColor="text1"/>
                      <w:sz w:val="24"/>
                      <w:szCs w:val="24"/>
                      <w:highlight w:val="none"/>
                      <w:lang w:val="en-US" w:eastAsia="zh-CN"/>
                      <w14:textFill>
                        <w14:solidFill>
                          <w14:schemeClr w14:val="tx1"/>
                        </w14:solidFill>
                      </w14:textFill>
                    </w:rPr>
                    <w:t>口</w:t>
                  </w:r>
                  <w:r>
                    <w:rPr>
                      <w:rFonts w:hint="default" w:ascii="Times New Roman" w:hAnsi="Times New Roman" w:cs="Times New Roman"/>
                      <w:color w:val="000000" w:themeColor="text1"/>
                      <w:sz w:val="21"/>
                      <w:szCs w:val="21"/>
                      <w:highlight w:val="none"/>
                      <w14:textFill>
                        <w14:solidFill>
                          <w14:schemeClr w14:val="tx1"/>
                        </w14:solidFill>
                      </w14:textFill>
                    </w:rPr>
                    <w:t>（DA00</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3</w:t>
                  </w:r>
                  <w:r>
                    <w:rPr>
                      <w:rFonts w:hint="default" w:ascii="Times New Roman" w:hAnsi="Times New Roman" w:cs="Times New Roman"/>
                      <w:color w:val="000000" w:themeColor="text1"/>
                      <w:sz w:val="21"/>
                      <w:szCs w:val="21"/>
                      <w:highlight w:val="none"/>
                      <w14:textFill>
                        <w14:solidFill>
                          <w14:schemeClr w14:val="tx1"/>
                        </w14:solidFill>
                      </w14:textFill>
                    </w:rPr>
                    <w:t>）</w:t>
                  </w:r>
                </w:p>
              </w:tc>
            </w:tr>
            <w:tr w14:paraId="707B5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390" w:type="pct"/>
                  <w:vMerge w:val="continue"/>
                  <w:tcBorders>
                    <w:tl2br w:val="nil"/>
                    <w:tr2bl w:val="nil"/>
                  </w:tcBorders>
                  <w:noWrap w:val="0"/>
                  <w:vAlign w:val="center"/>
                </w:tcPr>
                <w:p w14:paraId="701A7BA5">
                  <w:pPr>
                    <w:pStyle w:val="118"/>
                    <w:bidi w:val="0"/>
                    <w:rPr>
                      <w:rFonts w:hint="default" w:ascii="Times New Roman" w:hAnsi="Times New Roman" w:cs="Times New Roman"/>
                      <w:color w:val="000000" w:themeColor="text1"/>
                      <w:sz w:val="21"/>
                      <w:szCs w:val="21"/>
                      <w:highlight w:val="none"/>
                      <w14:textFill>
                        <w14:solidFill>
                          <w14:schemeClr w14:val="tx1"/>
                        </w14:solidFill>
                      </w14:textFill>
                    </w:rPr>
                  </w:pPr>
                </w:p>
              </w:tc>
              <w:tc>
                <w:tcPr>
                  <w:tcW w:w="787" w:type="pct"/>
                  <w:tcBorders>
                    <w:tl2br w:val="nil"/>
                    <w:tr2bl w:val="nil"/>
                  </w:tcBorders>
                  <w:noWrap w:val="0"/>
                  <w:vAlign w:val="center"/>
                </w:tcPr>
                <w:p w14:paraId="58A5370B">
                  <w:pPr>
                    <w:pStyle w:val="118"/>
                    <w:bidi w:val="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窑尾喂料仓卸料粉尘</w:t>
                  </w:r>
                </w:p>
              </w:tc>
              <w:tc>
                <w:tcPr>
                  <w:tcW w:w="575" w:type="pct"/>
                  <w:tcBorders>
                    <w:tl2br w:val="nil"/>
                    <w:tr2bl w:val="nil"/>
                  </w:tcBorders>
                  <w:noWrap w:val="0"/>
                  <w:vAlign w:val="center"/>
                </w:tcPr>
                <w:p w14:paraId="3DCF9CA8">
                  <w:pPr>
                    <w:pStyle w:val="118"/>
                    <w:bidi w:val="0"/>
                    <w:rPr>
                      <w:rFonts w:hint="default" w:ascii="Times New Roman" w:hAnsi="Times New Roman" w:cs="Times New Roman"/>
                      <w:color w:val="000000" w:themeColor="text1"/>
                      <w:sz w:val="21"/>
                      <w:szCs w:val="21"/>
                      <w:highlight w:val="none"/>
                      <w:lang w:val="en-US"/>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G</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1-4</w:t>
                  </w:r>
                </w:p>
              </w:tc>
              <w:tc>
                <w:tcPr>
                  <w:tcW w:w="943" w:type="pct"/>
                  <w:tcBorders>
                    <w:tl2br w:val="nil"/>
                    <w:tr2bl w:val="nil"/>
                  </w:tcBorders>
                  <w:noWrap w:val="0"/>
                  <w:vAlign w:val="center"/>
                </w:tcPr>
                <w:p w14:paraId="1DFCADE7">
                  <w:pPr>
                    <w:pStyle w:val="118"/>
                    <w:bidi w:val="0"/>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颗粒物</w:t>
                  </w:r>
                </w:p>
              </w:tc>
              <w:tc>
                <w:tcPr>
                  <w:tcW w:w="400" w:type="pct"/>
                  <w:tcBorders>
                    <w:tl2br w:val="nil"/>
                    <w:tr2bl w:val="nil"/>
                  </w:tcBorders>
                  <w:noWrap w:val="0"/>
                  <w:vAlign w:val="center"/>
                </w:tcPr>
                <w:p w14:paraId="7EE429FB">
                  <w:pPr>
                    <w:pStyle w:val="118"/>
                    <w:bidi w:val="0"/>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连续</w:t>
                  </w:r>
                </w:p>
              </w:tc>
              <w:tc>
                <w:tcPr>
                  <w:tcW w:w="1904" w:type="pct"/>
                  <w:tcBorders>
                    <w:tl2br w:val="nil"/>
                    <w:tr2bl w:val="nil"/>
                  </w:tcBorders>
                  <w:noWrap w:val="0"/>
                  <w:vAlign w:val="center"/>
                </w:tcPr>
                <w:p w14:paraId="24F7F334">
                  <w:pPr>
                    <w:pStyle w:val="118"/>
                    <w:bidi w:val="0"/>
                    <w:jc w:val="both"/>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布袋除尘器（覆膜袋式）</w:t>
                  </w:r>
                  <w:r>
                    <w:rPr>
                      <w:rFonts w:hint="default" w:ascii="Times New Roman" w:hAnsi="Times New Roman" w:cs="Times New Roman"/>
                      <w:color w:val="000000" w:themeColor="text1"/>
                      <w:sz w:val="21"/>
                      <w:szCs w:val="21"/>
                      <w:highlight w:val="none"/>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30</w:t>
                  </w:r>
                  <w:r>
                    <w:rPr>
                      <w:rFonts w:hint="default" w:ascii="Times New Roman" w:hAnsi="Times New Roman" w:cs="Times New Roman"/>
                      <w:color w:val="000000" w:themeColor="text1"/>
                      <w:sz w:val="21"/>
                      <w:szCs w:val="21"/>
                      <w:highlight w:val="none"/>
                      <w:lang w:eastAsia="zh-CN"/>
                      <w14:textFill>
                        <w14:solidFill>
                          <w14:schemeClr w14:val="tx1"/>
                        </w14:solidFill>
                      </w14:textFill>
                    </w:rPr>
                    <w:t>m</w:t>
                  </w:r>
                  <w:r>
                    <w:rPr>
                      <w:rFonts w:hint="eastAsia" w:cs="Times New Roman"/>
                      <w:color w:val="000000" w:themeColor="text1"/>
                      <w:sz w:val="21"/>
                      <w:szCs w:val="21"/>
                      <w:highlight w:val="none"/>
                      <w:lang w:val="en-US" w:eastAsia="zh-CN"/>
                      <w14:textFill>
                        <w14:solidFill>
                          <w14:schemeClr w14:val="tx1"/>
                        </w14:solidFill>
                      </w14:textFill>
                    </w:rPr>
                    <w:t>高</w:t>
                  </w:r>
                  <w:r>
                    <w:rPr>
                      <w:rFonts w:hint="eastAsia" w:cs="Times New Roman"/>
                      <w:color w:val="000000" w:themeColor="text1"/>
                      <w:sz w:val="21"/>
                      <w:szCs w:val="21"/>
                      <w:highlight w:val="none"/>
                      <w:lang w:eastAsia="zh-CN"/>
                      <w14:textFill>
                        <w14:solidFill>
                          <w14:schemeClr w14:val="tx1"/>
                        </w14:solidFill>
                      </w14:textFill>
                    </w:rPr>
                    <w:t>排气</w:t>
                  </w:r>
                  <w:r>
                    <w:rPr>
                      <w:rFonts w:hint="eastAsia" w:cs="Times New Roman"/>
                      <w:color w:val="000000" w:themeColor="text1"/>
                      <w:sz w:val="24"/>
                      <w:szCs w:val="24"/>
                      <w:highlight w:val="none"/>
                      <w:lang w:val="en-US" w:eastAsia="zh-CN"/>
                      <w14:textFill>
                        <w14:solidFill>
                          <w14:schemeClr w14:val="tx1"/>
                        </w14:solidFill>
                      </w14:textFill>
                    </w:rPr>
                    <w:t>口</w:t>
                  </w:r>
                  <w:r>
                    <w:rPr>
                      <w:rFonts w:hint="default" w:ascii="Times New Roman" w:hAnsi="Times New Roman" w:cs="Times New Roman"/>
                      <w:color w:val="000000" w:themeColor="text1"/>
                      <w:sz w:val="21"/>
                      <w:szCs w:val="21"/>
                      <w:highlight w:val="none"/>
                      <w14:textFill>
                        <w14:solidFill>
                          <w14:schemeClr w14:val="tx1"/>
                        </w14:solidFill>
                      </w14:textFill>
                    </w:rPr>
                    <w:t>（DA00</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4</w:t>
                  </w:r>
                  <w:r>
                    <w:rPr>
                      <w:rFonts w:hint="default" w:ascii="Times New Roman" w:hAnsi="Times New Roman" w:cs="Times New Roman"/>
                      <w:color w:val="000000" w:themeColor="text1"/>
                      <w:sz w:val="21"/>
                      <w:szCs w:val="21"/>
                      <w:highlight w:val="none"/>
                      <w14:textFill>
                        <w14:solidFill>
                          <w14:schemeClr w14:val="tx1"/>
                        </w14:solidFill>
                      </w14:textFill>
                    </w:rPr>
                    <w:t>）</w:t>
                  </w:r>
                </w:p>
              </w:tc>
            </w:tr>
            <w:tr w14:paraId="546CA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390" w:type="pct"/>
                  <w:vMerge w:val="continue"/>
                  <w:tcBorders>
                    <w:tl2br w:val="nil"/>
                    <w:tr2bl w:val="nil"/>
                  </w:tcBorders>
                  <w:noWrap w:val="0"/>
                  <w:vAlign w:val="center"/>
                </w:tcPr>
                <w:p w14:paraId="7076E2EC">
                  <w:pPr>
                    <w:pStyle w:val="118"/>
                    <w:bidi w:val="0"/>
                    <w:rPr>
                      <w:rFonts w:hint="default" w:ascii="Times New Roman" w:hAnsi="Times New Roman" w:cs="Times New Roman"/>
                      <w:color w:val="000000" w:themeColor="text1"/>
                      <w:sz w:val="21"/>
                      <w:szCs w:val="21"/>
                      <w:highlight w:val="none"/>
                      <w14:textFill>
                        <w14:solidFill>
                          <w14:schemeClr w14:val="tx1"/>
                        </w14:solidFill>
                      </w14:textFill>
                    </w:rPr>
                  </w:pPr>
                </w:p>
              </w:tc>
              <w:tc>
                <w:tcPr>
                  <w:tcW w:w="787" w:type="pct"/>
                  <w:tcBorders>
                    <w:tl2br w:val="nil"/>
                    <w:tr2bl w:val="nil"/>
                  </w:tcBorders>
                  <w:noWrap w:val="0"/>
                  <w:vAlign w:val="center"/>
                </w:tcPr>
                <w:p w14:paraId="5A9CF7C3">
                  <w:pPr>
                    <w:pStyle w:val="118"/>
                    <w:bidi w:val="0"/>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窑尾喂料提升机卸料粉尘</w:t>
                  </w:r>
                </w:p>
              </w:tc>
              <w:tc>
                <w:tcPr>
                  <w:tcW w:w="575" w:type="pct"/>
                  <w:tcBorders>
                    <w:tl2br w:val="nil"/>
                    <w:tr2bl w:val="nil"/>
                  </w:tcBorders>
                  <w:noWrap w:val="0"/>
                  <w:vAlign w:val="center"/>
                </w:tcPr>
                <w:p w14:paraId="4E15D44C">
                  <w:pPr>
                    <w:pStyle w:val="118"/>
                    <w:bidi w:val="0"/>
                    <w:ind w:firstLine="0" w:firstLineChars="0"/>
                    <w:rPr>
                      <w:rFonts w:hint="default" w:ascii="Times New Roman" w:hAnsi="Times New Roman" w:cs="Times New Roman"/>
                      <w:color w:val="000000" w:themeColor="text1"/>
                      <w:sz w:val="21"/>
                      <w:szCs w:val="21"/>
                      <w:highlight w:val="none"/>
                      <w:lang w:val="en-US"/>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G</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1-5</w:t>
                  </w:r>
                </w:p>
              </w:tc>
              <w:tc>
                <w:tcPr>
                  <w:tcW w:w="943" w:type="pct"/>
                  <w:tcBorders>
                    <w:tl2br w:val="nil"/>
                    <w:tr2bl w:val="nil"/>
                  </w:tcBorders>
                  <w:noWrap w:val="0"/>
                  <w:vAlign w:val="center"/>
                </w:tcPr>
                <w:p w14:paraId="71E04E44">
                  <w:pPr>
                    <w:pStyle w:val="118"/>
                    <w:bidi w:val="0"/>
                    <w:ind w:firstLine="0" w:firstLineChars="0"/>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颗粒物</w:t>
                  </w:r>
                </w:p>
              </w:tc>
              <w:tc>
                <w:tcPr>
                  <w:tcW w:w="400" w:type="pct"/>
                  <w:tcBorders>
                    <w:tl2br w:val="nil"/>
                    <w:tr2bl w:val="nil"/>
                  </w:tcBorders>
                  <w:noWrap w:val="0"/>
                  <w:vAlign w:val="center"/>
                </w:tcPr>
                <w:p w14:paraId="745732CF">
                  <w:pPr>
                    <w:pStyle w:val="118"/>
                    <w:bidi w:val="0"/>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连续</w:t>
                  </w:r>
                </w:p>
              </w:tc>
              <w:tc>
                <w:tcPr>
                  <w:tcW w:w="1904" w:type="pct"/>
                  <w:tcBorders>
                    <w:tl2br w:val="nil"/>
                    <w:tr2bl w:val="nil"/>
                  </w:tcBorders>
                  <w:noWrap w:val="0"/>
                  <w:vAlign w:val="center"/>
                </w:tcPr>
                <w:p w14:paraId="6BD7C675">
                  <w:pPr>
                    <w:pStyle w:val="118"/>
                    <w:bidi w:val="0"/>
                    <w:ind w:firstLine="0" w:firstLineChars="0"/>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lang w:eastAsia="zh-CN"/>
                      <w14:textFill>
                        <w14:solidFill>
                          <w14:schemeClr w14:val="tx1"/>
                        </w14:solidFill>
                      </w14:textFill>
                    </w:rPr>
                    <w:t>布袋除尘器（覆膜袋式）</w:t>
                  </w:r>
                  <w:r>
                    <w:rPr>
                      <w:rFonts w:hint="default" w:ascii="Times New Roman" w:hAnsi="Times New Roman" w:cs="Times New Roman"/>
                      <w:color w:val="000000" w:themeColor="text1"/>
                      <w:sz w:val="21"/>
                      <w:szCs w:val="21"/>
                      <w:highlight w:val="none"/>
                      <w14:textFill>
                        <w14:solidFill>
                          <w14:schemeClr w14:val="tx1"/>
                        </w14:solidFill>
                      </w14:textFill>
                    </w:rPr>
                    <w:t>（1套）+</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90</w:t>
                  </w:r>
                  <w:r>
                    <w:rPr>
                      <w:rFonts w:hint="default" w:ascii="Times New Roman" w:hAnsi="Times New Roman" w:cs="Times New Roman"/>
                      <w:color w:val="000000" w:themeColor="text1"/>
                      <w:sz w:val="21"/>
                      <w:szCs w:val="21"/>
                      <w:highlight w:val="none"/>
                      <w:lang w:eastAsia="zh-CN"/>
                      <w14:textFill>
                        <w14:solidFill>
                          <w14:schemeClr w14:val="tx1"/>
                        </w14:solidFill>
                      </w14:textFill>
                    </w:rPr>
                    <w:t>m</w:t>
                  </w:r>
                  <w:r>
                    <w:rPr>
                      <w:rFonts w:hint="default" w:ascii="Times New Roman" w:hAnsi="Times New Roman" w:cs="Times New Roman"/>
                      <w:color w:val="000000" w:themeColor="text1"/>
                      <w:sz w:val="24"/>
                      <w:highlight w:val="none"/>
                      <w:lang w:val="en-US" w:eastAsia="zh-CN"/>
                      <w14:textFill>
                        <w14:solidFill>
                          <w14:schemeClr w14:val="tx1"/>
                        </w14:solidFill>
                      </w14:textFill>
                    </w:rPr>
                    <w:t>高</w:t>
                  </w:r>
                  <w:r>
                    <w:rPr>
                      <w:rFonts w:hint="eastAsia" w:cs="Times New Roman"/>
                      <w:color w:val="000000" w:themeColor="text1"/>
                      <w:sz w:val="21"/>
                      <w:szCs w:val="21"/>
                      <w:highlight w:val="none"/>
                      <w:lang w:eastAsia="zh-CN"/>
                      <w14:textFill>
                        <w14:solidFill>
                          <w14:schemeClr w14:val="tx1"/>
                        </w14:solidFill>
                      </w14:textFill>
                    </w:rPr>
                    <w:t>排气</w:t>
                  </w:r>
                  <w:r>
                    <w:rPr>
                      <w:rFonts w:hint="eastAsia" w:cs="Times New Roman"/>
                      <w:color w:val="000000" w:themeColor="text1"/>
                      <w:sz w:val="24"/>
                      <w:szCs w:val="24"/>
                      <w:highlight w:val="none"/>
                      <w:lang w:val="en-US" w:eastAsia="zh-CN"/>
                      <w14:textFill>
                        <w14:solidFill>
                          <w14:schemeClr w14:val="tx1"/>
                        </w14:solidFill>
                      </w14:textFill>
                    </w:rPr>
                    <w:t>口</w:t>
                  </w:r>
                  <w:r>
                    <w:rPr>
                      <w:rFonts w:hint="default" w:ascii="Times New Roman" w:hAnsi="Times New Roman" w:cs="Times New Roman"/>
                      <w:color w:val="000000" w:themeColor="text1"/>
                      <w:sz w:val="21"/>
                      <w:szCs w:val="21"/>
                      <w:highlight w:val="none"/>
                      <w14:textFill>
                        <w14:solidFill>
                          <w14:schemeClr w14:val="tx1"/>
                        </w14:solidFill>
                      </w14:textFill>
                    </w:rPr>
                    <w:t>（DA00</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5</w:t>
                  </w:r>
                  <w:r>
                    <w:rPr>
                      <w:rFonts w:hint="default" w:ascii="Times New Roman" w:hAnsi="Times New Roman" w:cs="Times New Roman"/>
                      <w:color w:val="000000" w:themeColor="text1"/>
                      <w:sz w:val="21"/>
                      <w:szCs w:val="21"/>
                      <w:highlight w:val="none"/>
                      <w14:textFill>
                        <w14:solidFill>
                          <w14:schemeClr w14:val="tx1"/>
                        </w14:solidFill>
                      </w14:textFill>
                    </w:rPr>
                    <w:t>）</w:t>
                  </w:r>
                </w:p>
              </w:tc>
            </w:tr>
            <w:tr w14:paraId="5E827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390" w:type="pct"/>
                  <w:vMerge w:val="continue"/>
                  <w:tcBorders>
                    <w:tl2br w:val="nil"/>
                    <w:tr2bl w:val="nil"/>
                  </w:tcBorders>
                  <w:noWrap w:val="0"/>
                  <w:vAlign w:val="center"/>
                </w:tcPr>
                <w:p w14:paraId="7FB26464">
                  <w:pPr>
                    <w:pStyle w:val="118"/>
                    <w:bidi w:val="0"/>
                    <w:rPr>
                      <w:rFonts w:hint="default" w:ascii="Times New Roman" w:hAnsi="Times New Roman" w:cs="Times New Roman"/>
                      <w:color w:val="000000" w:themeColor="text1"/>
                      <w:sz w:val="21"/>
                      <w:szCs w:val="21"/>
                      <w:highlight w:val="none"/>
                      <w14:textFill>
                        <w14:solidFill>
                          <w14:schemeClr w14:val="tx1"/>
                        </w14:solidFill>
                      </w14:textFill>
                    </w:rPr>
                  </w:pPr>
                </w:p>
              </w:tc>
              <w:tc>
                <w:tcPr>
                  <w:tcW w:w="787" w:type="pct"/>
                  <w:tcBorders>
                    <w:tl2br w:val="nil"/>
                    <w:tr2bl w:val="nil"/>
                  </w:tcBorders>
                  <w:noWrap w:val="0"/>
                  <w:vAlign w:val="center"/>
                </w:tcPr>
                <w:p w14:paraId="46A0BB77">
                  <w:pPr>
                    <w:pStyle w:val="118"/>
                    <w:bidi w:val="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回转窑和窑尾焙烧废气</w:t>
                  </w:r>
                </w:p>
              </w:tc>
              <w:tc>
                <w:tcPr>
                  <w:tcW w:w="575" w:type="pct"/>
                  <w:tcBorders>
                    <w:tl2br w:val="nil"/>
                    <w:tr2bl w:val="nil"/>
                  </w:tcBorders>
                  <w:noWrap w:val="0"/>
                  <w:vAlign w:val="center"/>
                </w:tcPr>
                <w:p w14:paraId="7C913294">
                  <w:pPr>
                    <w:pStyle w:val="118"/>
                    <w:bidi w:val="0"/>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G</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1-6</w:t>
                  </w:r>
                </w:p>
              </w:tc>
              <w:tc>
                <w:tcPr>
                  <w:tcW w:w="943" w:type="pct"/>
                  <w:tcBorders>
                    <w:tl2br w:val="nil"/>
                    <w:tr2bl w:val="nil"/>
                  </w:tcBorders>
                  <w:noWrap w:val="0"/>
                  <w:vAlign w:val="center"/>
                </w:tcPr>
                <w:p w14:paraId="593CEA82">
                  <w:pPr>
                    <w:pStyle w:val="118"/>
                    <w:bidi w:val="0"/>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颗粒物</w:t>
                  </w:r>
                  <w:r>
                    <w:rPr>
                      <w:rFonts w:hint="default" w:ascii="Times New Roman" w:hAnsi="Times New Roman" w:cs="Times New Roman"/>
                      <w:color w:val="000000" w:themeColor="text1"/>
                      <w:sz w:val="21"/>
                      <w:szCs w:val="21"/>
                      <w:highlight w:val="none"/>
                      <w:lang w:eastAsia="zh-CN"/>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二氧化硫、氮氧化物</w:t>
                  </w:r>
                </w:p>
              </w:tc>
              <w:tc>
                <w:tcPr>
                  <w:tcW w:w="400" w:type="pct"/>
                  <w:tcBorders>
                    <w:tl2br w:val="nil"/>
                    <w:tr2bl w:val="nil"/>
                  </w:tcBorders>
                  <w:noWrap w:val="0"/>
                  <w:vAlign w:val="center"/>
                </w:tcPr>
                <w:p w14:paraId="5EF7A39E">
                  <w:pPr>
                    <w:pStyle w:val="118"/>
                    <w:bidi w:val="0"/>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连续</w:t>
                  </w:r>
                </w:p>
              </w:tc>
              <w:tc>
                <w:tcPr>
                  <w:tcW w:w="1904" w:type="pct"/>
                  <w:tcBorders>
                    <w:tl2br w:val="nil"/>
                    <w:tr2bl w:val="nil"/>
                  </w:tcBorders>
                  <w:noWrap w:val="0"/>
                  <w:vAlign w:val="center"/>
                </w:tcPr>
                <w:p w14:paraId="33AF618E">
                  <w:pPr>
                    <w:pStyle w:val="118"/>
                    <w:bidi w:val="0"/>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低氮燃烧（</w:t>
                  </w:r>
                  <w:r>
                    <w:rPr>
                      <w:rFonts w:hint="default" w:ascii="Times New Roman" w:hAnsi="Times New Roman" w:cs="Times New Roman"/>
                      <w:color w:val="000000" w:themeColor="text1"/>
                      <w:sz w:val="24"/>
                      <w:highlight w:val="none"/>
                      <w:lang w:val="en-US" w:eastAsia="zh-CN"/>
                      <w14:textFill>
                        <w14:solidFill>
                          <w14:schemeClr w14:val="tx1"/>
                        </w14:solidFill>
                      </w14:textFill>
                    </w:rPr>
                    <w:t>“分</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级燃烧+缺氧燃烧+烟气再循环（FGR”</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）+余热回收+脱硝装置</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（SNCR）+</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布袋除尘器（覆膜袋式）</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石灰石/石膏</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湿法脱硫</w:t>
                  </w:r>
                  <w:r>
                    <w:rPr>
                      <w:rFonts w:hint="default" w:ascii="Times New Roman" w:hAnsi="Times New Roman" w:cs="Times New Roman"/>
                      <w:color w:val="000000" w:themeColor="text1"/>
                      <w:sz w:val="21"/>
                      <w:szCs w:val="21"/>
                      <w:highlight w:val="none"/>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42m</w:t>
                  </w:r>
                  <w:r>
                    <w:rPr>
                      <w:rFonts w:hint="default" w:ascii="Times New Roman" w:hAnsi="Times New Roman" w:cs="Times New Roman"/>
                      <w:color w:val="000000" w:themeColor="text1"/>
                      <w:sz w:val="24"/>
                      <w:highlight w:val="none"/>
                      <w:lang w:val="en-US" w:eastAsia="zh-CN"/>
                      <w14:textFill>
                        <w14:solidFill>
                          <w14:schemeClr w14:val="tx1"/>
                        </w14:solidFill>
                      </w14:textFill>
                    </w:rPr>
                    <w:t>高的</w:t>
                  </w:r>
                  <w:r>
                    <w:rPr>
                      <w:rFonts w:hint="eastAsia" w:cs="Times New Roman"/>
                      <w:color w:val="000000" w:themeColor="text1"/>
                      <w:sz w:val="21"/>
                      <w:szCs w:val="21"/>
                      <w:highlight w:val="none"/>
                      <w:lang w:eastAsia="zh-CN"/>
                      <w14:textFill>
                        <w14:solidFill>
                          <w14:schemeClr w14:val="tx1"/>
                        </w14:solidFill>
                      </w14:textFill>
                    </w:rPr>
                    <w:t>排气</w:t>
                  </w:r>
                  <w:r>
                    <w:rPr>
                      <w:rFonts w:hint="eastAsia" w:cs="Times New Roman"/>
                      <w:color w:val="000000" w:themeColor="text1"/>
                      <w:sz w:val="24"/>
                      <w:szCs w:val="24"/>
                      <w:highlight w:val="none"/>
                      <w:lang w:val="en-US" w:eastAsia="zh-CN"/>
                      <w14:textFill>
                        <w14:solidFill>
                          <w14:schemeClr w14:val="tx1"/>
                        </w14:solidFill>
                      </w14:textFill>
                    </w:rPr>
                    <w:t>口</w:t>
                  </w:r>
                  <w:r>
                    <w:rPr>
                      <w:rFonts w:hint="default" w:ascii="Times New Roman" w:hAnsi="Times New Roman" w:cs="Times New Roman"/>
                      <w:color w:val="000000" w:themeColor="text1"/>
                      <w:sz w:val="21"/>
                      <w:szCs w:val="21"/>
                      <w:highlight w:val="none"/>
                      <w14:textFill>
                        <w14:solidFill>
                          <w14:schemeClr w14:val="tx1"/>
                        </w14:solidFill>
                      </w14:textFill>
                    </w:rPr>
                    <w:t>（DA00</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6</w:t>
                  </w:r>
                  <w:r>
                    <w:rPr>
                      <w:rFonts w:hint="default" w:ascii="Times New Roman" w:hAnsi="Times New Roman" w:cs="Times New Roman"/>
                      <w:color w:val="000000" w:themeColor="text1"/>
                      <w:sz w:val="21"/>
                      <w:szCs w:val="21"/>
                      <w:highlight w:val="none"/>
                      <w14:textFill>
                        <w14:solidFill>
                          <w14:schemeClr w14:val="tx1"/>
                        </w14:solidFill>
                      </w14:textFill>
                    </w:rPr>
                    <w:t>）</w:t>
                  </w:r>
                </w:p>
              </w:tc>
            </w:tr>
            <w:tr w14:paraId="2387D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90" w:type="pct"/>
                  <w:vMerge w:val="continue"/>
                  <w:tcBorders>
                    <w:tl2br w:val="nil"/>
                    <w:tr2bl w:val="nil"/>
                  </w:tcBorders>
                  <w:noWrap w:val="0"/>
                  <w:vAlign w:val="center"/>
                </w:tcPr>
                <w:p w14:paraId="01E502C6">
                  <w:pPr>
                    <w:pStyle w:val="118"/>
                    <w:bidi w:val="0"/>
                    <w:rPr>
                      <w:rFonts w:hint="default" w:ascii="Times New Roman" w:hAnsi="Times New Roman" w:cs="Times New Roman"/>
                      <w:color w:val="000000" w:themeColor="text1"/>
                      <w:sz w:val="21"/>
                      <w:szCs w:val="21"/>
                      <w:highlight w:val="none"/>
                      <w14:textFill>
                        <w14:solidFill>
                          <w14:schemeClr w14:val="tx1"/>
                        </w14:solidFill>
                      </w14:textFill>
                    </w:rPr>
                  </w:pPr>
                </w:p>
              </w:tc>
              <w:tc>
                <w:tcPr>
                  <w:tcW w:w="787" w:type="pct"/>
                  <w:tcBorders>
                    <w:tl2br w:val="nil"/>
                    <w:tr2bl w:val="nil"/>
                  </w:tcBorders>
                  <w:noWrap w:val="0"/>
                  <w:vAlign w:val="center"/>
                </w:tcPr>
                <w:p w14:paraId="288B8516">
                  <w:pPr>
                    <w:pStyle w:val="118"/>
                    <w:bidi w:val="0"/>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产品</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分选</w:t>
                  </w:r>
                </w:p>
                <w:p w14:paraId="1E4C8B1E">
                  <w:pPr>
                    <w:pStyle w:val="118"/>
                    <w:bidi w:val="0"/>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（打散、粉磨）</w:t>
                  </w:r>
                </w:p>
              </w:tc>
              <w:tc>
                <w:tcPr>
                  <w:tcW w:w="575" w:type="pct"/>
                  <w:tcBorders>
                    <w:tl2br w:val="nil"/>
                    <w:tr2bl w:val="nil"/>
                  </w:tcBorders>
                  <w:noWrap w:val="0"/>
                  <w:vAlign w:val="center"/>
                </w:tcPr>
                <w:p w14:paraId="6A55A8C9">
                  <w:pPr>
                    <w:pStyle w:val="118"/>
                    <w:bidi w:val="0"/>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G</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1-7、</w:t>
                  </w:r>
                  <w:r>
                    <w:rPr>
                      <w:rFonts w:hint="default" w:ascii="Times New Roman" w:hAnsi="Times New Roman" w:cs="Times New Roman"/>
                      <w:color w:val="000000" w:themeColor="text1"/>
                      <w:sz w:val="21"/>
                      <w:szCs w:val="21"/>
                      <w:highlight w:val="none"/>
                      <w14:textFill>
                        <w14:solidFill>
                          <w14:schemeClr w14:val="tx1"/>
                        </w14:solidFill>
                      </w14:textFill>
                    </w:rPr>
                    <w:t>G</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1-8</w:t>
                  </w:r>
                </w:p>
              </w:tc>
              <w:tc>
                <w:tcPr>
                  <w:tcW w:w="943" w:type="pct"/>
                  <w:tcBorders>
                    <w:tl2br w:val="nil"/>
                    <w:tr2bl w:val="nil"/>
                  </w:tcBorders>
                  <w:noWrap w:val="0"/>
                  <w:vAlign w:val="center"/>
                </w:tcPr>
                <w:p w14:paraId="5208040F">
                  <w:pPr>
                    <w:pStyle w:val="118"/>
                    <w:bidi w:val="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颗粒物</w:t>
                  </w:r>
                </w:p>
              </w:tc>
              <w:tc>
                <w:tcPr>
                  <w:tcW w:w="400" w:type="pct"/>
                  <w:tcBorders>
                    <w:tl2br w:val="nil"/>
                    <w:tr2bl w:val="nil"/>
                  </w:tcBorders>
                  <w:noWrap w:val="0"/>
                  <w:vAlign w:val="center"/>
                </w:tcPr>
                <w:p w14:paraId="7169DFA7">
                  <w:pPr>
                    <w:pStyle w:val="118"/>
                    <w:bidi w:val="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连续</w:t>
                  </w:r>
                </w:p>
              </w:tc>
              <w:tc>
                <w:tcPr>
                  <w:tcW w:w="1904" w:type="pct"/>
                  <w:tcBorders>
                    <w:tl2br w:val="nil"/>
                    <w:tr2bl w:val="nil"/>
                  </w:tcBorders>
                  <w:noWrap w:val="0"/>
                  <w:vAlign w:val="center"/>
                </w:tcPr>
                <w:p w14:paraId="737F46EB">
                  <w:pPr>
                    <w:pStyle w:val="118"/>
                    <w:bidi w:val="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lang w:eastAsia="zh-CN"/>
                      <w14:textFill>
                        <w14:solidFill>
                          <w14:schemeClr w14:val="tx1"/>
                        </w14:solidFill>
                      </w14:textFill>
                    </w:rPr>
                    <w:t>布袋除尘器（覆膜袋式）</w:t>
                  </w:r>
                  <w:r>
                    <w:rPr>
                      <w:rFonts w:hint="default" w:ascii="Times New Roman" w:hAnsi="Times New Roman" w:cs="Times New Roman"/>
                      <w:color w:val="000000" w:themeColor="text1"/>
                      <w:sz w:val="21"/>
                      <w:szCs w:val="21"/>
                      <w:highlight w:val="none"/>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2</w:t>
                  </w:r>
                  <w:r>
                    <w:rPr>
                      <w:rFonts w:hint="default" w:ascii="Times New Roman" w:hAnsi="Times New Roman" w:cs="Times New Roman"/>
                      <w:color w:val="000000" w:themeColor="text1"/>
                      <w:sz w:val="21"/>
                      <w:szCs w:val="21"/>
                      <w:highlight w:val="none"/>
                      <w14:textFill>
                        <w14:solidFill>
                          <w14:schemeClr w14:val="tx1"/>
                        </w14:solidFill>
                      </w14:textFill>
                    </w:rPr>
                    <w:t>套）+</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30</w:t>
                  </w:r>
                  <w:r>
                    <w:rPr>
                      <w:rFonts w:hint="default" w:ascii="Times New Roman" w:hAnsi="Times New Roman" w:cs="Times New Roman"/>
                      <w:color w:val="000000" w:themeColor="text1"/>
                      <w:sz w:val="21"/>
                      <w:szCs w:val="21"/>
                      <w:highlight w:val="none"/>
                      <w:lang w:eastAsia="zh-CN"/>
                      <w14:textFill>
                        <w14:solidFill>
                          <w14:schemeClr w14:val="tx1"/>
                        </w14:solidFill>
                      </w14:textFill>
                    </w:rPr>
                    <w:t>m</w:t>
                  </w:r>
                  <w:r>
                    <w:rPr>
                      <w:rFonts w:hint="default" w:ascii="Times New Roman" w:hAnsi="Times New Roman" w:cs="Times New Roman"/>
                      <w:color w:val="000000" w:themeColor="text1"/>
                      <w:sz w:val="24"/>
                      <w:highlight w:val="none"/>
                      <w:lang w:val="en-US" w:eastAsia="zh-CN"/>
                      <w14:textFill>
                        <w14:solidFill>
                          <w14:schemeClr w14:val="tx1"/>
                        </w14:solidFill>
                      </w14:textFill>
                    </w:rPr>
                    <w:t>高的</w:t>
                  </w:r>
                  <w:r>
                    <w:rPr>
                      <w:rFonts w:hint="eastAsia" w:cs="Times New Roman"/>
                      <w:color w:val="000000" w:themeColor="text1"/>
                      <w:sz w:val="21"/>
                      <w:szCs w:val="21"/>
                      <w:highlight w:val="none"/>
                      <w:lang w:eastAsia="zh-CN"/>
                      <w14:textFill>
                        <w14:solidFill>
                          <w14:schemeClr w14:val="tx1"/>
                        </w14:solidFill>
                      </w14:textFill>
                    </w:rPr>
                    <w:t>排气</w:t>
                  </w:r>
                  <w:r>
                    <w:rPr>
                      <w:rFonts w:hint="eastAsia" w:cs="Times New Roman"/>
                      <w:color w:val="000000" w:themeColor="text1"/>
                      <w:sz w:val="24"/>
                      <w:szCs w:val="24"/>
                      <w:highlight w:val="none"/>
                      <w:lang w:val="en-US" w:eastAsia="zh-CN"/>
                      <w14:textFill>
                        <w14:solidFill>
                          <w14:schemeClr w14:val="tx1"/>
                        </w14:solidFill>
                      </w14:textFill>
                    </w:rPr>
                    <w:t>口</w:t>
                  </w:r>
                  <w:r>
                    <w:rPr>
                      <w:rFonts w:hint="default" w:ascii="Times New Roman" w:hAnsi="Times New Roman" w:cs="Times New Roman"/>
                      <w:color w:val="000000" w:themeColor="text1"/>
                      <w:sz w:val="21"/>
                      <w:szCs w:val="21"/>
                      <w:highlight w:val="none"/>
                      <w14:textFill>
                        <w14:solidFill>
                          <w14:schemeClr w14:val="tx1"/>
                        </w14:solidFill>
                      </w14:textFill>
                    </w:rPr>
                    <w:t>（DA00</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7、</w:t>
                  </w:r>
                  <w:r>
                    <w:rPr>
                      <w:rFonts w:hint="default" w:ascii="Times New Roman" w:hAnsi="Times New Roman" w:cs="Times New Roman"/>
                      <w:color w:val="000000" w:themeColor="text1"/>
                      <w:sz w:val="21"/>
                      <w:szCs w:val="21"/>
                      <w:highlight w:val="none"/>
                      <w14:textFill>
                        <w14:solidFill>
                          <w14:schemeClr w14:val="tx1"/>
                        </w14:solidFill>
                      </w14:textFill>
                    </w:rPr>
                    <w:t>DA00</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8</w:t>
                  </w:r>
                  <w:r>
                    <w:rPr>
                      <w:rFonts w:hint="default" w:ascii="Times New Roman" w:hAnsi="Times New Roman" w:cs="Times New Roman"/>
                      <w:color w:val="000000" w:themeColor="text1"/>
                      <w:sz w:val="21"/>
                      <w:szCs w:val="21"/>
                      <w:highlight w:val="none"/>
                      <w14:textFill>
                        <w14:solidFill>
                          <w14:schemeClr w14:val="tx1"/>
                        </w14:solidFill>
                      </w14:textFill>
                    </w:rPr>
                    <w:t>）</w:t>
                  </w:r>
                </w:p>
              </w:tc>
            </w:tr>
            <w:tr w14:paraId="1A612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390" w:type="pct"/>
                  <w:vMerge w:val="continue"/>
                  <w:tcBorders>
                    <w:tl2br w:val="nil"/>
                    <w:tr2bl w:val="nil"/>
                  </w:tcBorders>
                  <w:noWrap w:val="0"/>
                  <w:vAlign w:val="center"/>
                </w:tcPr>
                <w:p w14:paraId="7EB9B408">
                  <w:pPr>
                    <w:pStyle w:val="118"/>
                    <w:bidi w:val="0"/>
                    <w:rPr>
                      <w:rFonts w:hint="default" w:ascii="Times New Roman" w:hAnsi="Times New Roman" w:cs="Times New Roman"/>
                      <w:color w:val="000000" w:themeColor="text1"/>
                      <w:sz w:val="21"/>
                      <w:szCs w:val="21"/>
                      <w:highlight w:val="none"/>
                      <w14:textFill>
                        <w14:solidFill>
                          <w14:schemeClr w14:val="tx1"/>
                        </w14:solidFill>
                      </w14:textFill>
                    </w:rPr>
                  </w:pPr>
                </w:p>
              </w:tc>
              <w:tc>
                <w:tcPr>
                  <w:tcW w:w="787" w:type="pct"/>
                  <w:tcBorders>
                    <w:tl2br w:val="nil"/>
                    <w:tr2bl w:val="nil"/>
                  </w:tcBorders>
                  <w:shd w:val="clear" w:color="auto" w:fill="auto"/>
                  <w:noWrap w:val="0"/>
                  <w:vAlign w:val="center"/>
                </w:tcPr>
                <w:p w14:paraId="2A61E225">
                  <w:pPr>
                    <w:pStyle w:val="118"/>
                    <w:bidi w:val="0"/>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黄料筒仓装卸呼吸废气</w:t>
                  </w:r>
                </w:p>
              </w:tc>
              <w:tc>
                <w:tcPr>
                  <w:tcW w:w="575" w:type="pct"/>
                  <w:tcBorders>
                    <w:tl2br w:val="nil"/>
                    <w:tr2bl w:val="nil"/>
                  </w:tcBorders>
                  <w:shd w:val="clear" w:color="auto" w:fill="auto"/>
                  <w:noWrap w:val="0"/>
                  <w:vAlign w:val="center"/>
                </w:tcPr>
                <w:p w14:paraId="6FBDA714">
                  <w:pPr>
                    <w:pStyle w:val="118"/>
                    <w:bidi w:val="0"/>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G</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1-9</w:t>
                  </w:r>
                </w:p>
              </w:tc>
              <w:tc>
                <w:tcPr>
                  <w:tcW w:w="943" w:type="pct"/>
                  <w:tcBorders>
                    <w:tl2br w:val="nil"/>
                    <w:tr2bl w:val="nil"/>
                  </w:tcBorders>
                  <w:shd w:val="clear" w:color="auto" w:fill="auto"/>
                  <w:noWrap w:val="0"/>
                  <w:vAlign w:val="center"/>
                </w:tcPr>
                <w:p w14:paraId="4F7C697D">
                  <w:pPr>
                    <w:pStyle w:val="118"/>
                    <w:bidi w:val="0"/>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颗粒物</w:t>
                  </w:r>
                </w:p>
              </w:tc>
              <w:tc>
                <w:tcPr>
                  <w:tcW w:w="400" w:type="pct"/>
                  <w:tcBorders>
                    <w:tl2br w:val="nil"/>
                    <w:tr2bl w:val="nil"/>
                  </w:tcBorders>
                  <w:shd w:val="clear" w:color="auto" w:fill="auto"/>
                  <w:noWrap w:val="0"/>
                  <w:vAlign w:val="center"/>
                </w:tcPr>
                <w:p w14:paraId="7A530BC9">
                  <w:pPr>
                    <w:pStyle w:val="118"/>
                    <w:bidi w:val="0"/>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连续</w:t>
                  </w:r>
                </w:p>
              </w:tc>
              <w:tc>
                <w:tcPr>
                  <w:tcW w:w="1904" w:type="pct"/>
                  <w:tcBorders>
                    <w:tl2br w:val="nil"/>
                    <w:tr2bl w:val="nil"/>
                  </w:tcBorders>
                  <w:shd w:val="clear" w:color="auto" w:fill="auto"/>
                  <w:noWrap w:val="0"/>
                  <w:vAlign w:val="center"/>
                </w:tcPr>
                <w:p w14:paraId="2AF4B025">
                  <w:pPr>
                    <w:pStyle w:val="118"/>
                    <w:bidi w:val="0"/>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lang w:eastAsia="zh-CN"/>
                      <w14:textFill>
                        <w14:solidFill>
                          <w14:schemeClr w14:val="tx1"/>
                        </w14:solidFill>
                      </w14:textFill>
                    </w:rPr>
                    <w:t>布袋除尘器（覆膜袋式）</w:t>
                  </w:r>
                  <w:r>
                    <w:rPr>
                      <w:rFonts w:hint="default" w:ascii="Times New Roman" w:hAnsi="Times New Roman" w:cs="Times New Roman"/>
                      <w:color w:val="000000" w:themeColor="text1"/>
                      <w:sz w:val="21"/>
                      <w:szCs w:val="21"/>
                      <w:highlight w:val="none"/>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2</w:t>
                  </w:r>
                  <w:r>
                    <w:rPr>
                      <w:rFonts w:hint="default" w:ascii="Times New Roman" w:hAnsi="Times New Roman" w:cs="Times New Roman"/>
                      <w:color w:val="000000" w:themeColor="text1"/>
                      <w:sz w:val="21"/>
                      <w:szCs w:val="21"/>
                      <w:highlight w:val="none"/>
                      <w14:textFill>
                        <w14:solidFill>
                          <w14:schemeClr w14:val="tx1"/>
                        </w14:solidFill>
                      </w14:textFill>
                    </w:rPr>
                    <w:t>套）+</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15</w:t>
                  </w:r>
                  <w:r>
                    <w:rPr>
                      <w:rFonts w:hint="default" w:ascii="Times New Roman" w:hAnsi="Times New Roman" w:cs="Times New Roman"/>
                      <w:color w:val="000000" w:themeColor="text1"/>
                      <w:sz w:val="21"/>
                      <w:szCs w:val="21"/>
                      <w:highlight w:val="none"/>
                      <w:lang w:eastAsia="zh-CN"/>
                      <w14:textFill>
                        <w14:solidFill>
                          <w14:schemeClr w14:val="tx1"/>
                        </w14:solidFill>
                      </w14:textFill>
                    </w:rPr>
                    <w:t>m</w:t>
                  </w:r>
                  <w:r>
                    <w:rPr>
                      <w:rFonts w:hint="default" w:ascii="Times New Roman" w:hAnsi="Times New Roman" w:cs="Times New Roman"/>
                      <w:color w:val="000000" w:themeColor="text1"/>
                      <w:sz w:val="24"/>
                      <w:highlight w:val="none"/>
                      <w:lang w:val="en-US" w:eastAsia="zh-CN"/>
                      <w14:textFill>
                        <w14:solidFill>
                          <w14:schemeClr w14:val="tx1"/>
                        </w14:solidFill>
                      </w14:textFill>
                    </w:rPr>
                    <w:t>高的</w:t>
                  </w:r>
                  <w:r>
                    <w:rPr>
                      <w:rFonts w:hint="eastAsia" w:cs="Times New Roman"/>
                      <w:color w:val="000000" w:themeColor="text1"/>
                      <w:sz w:val="21"/>
                      <w:szCs w:val="21"/>
                      <w:highlight w:val="none"/>
                      <w:lang w:eastAsia="zh-CN"/>
                      <w14:textFill>
                        <w14:solidFill>
                          <w14:schemeClr w14:val="tx1"/>
                        </w14:solidFill>
                      </w14:textFill>
                    </w:rPr>
                    <w:t>排气</w:t>
                  </w:r>
                  <w:r>
                    <w:rPr>
                      <w:rFonts w:hint="eastAsia" w:cs="Times New Roman"/>
                      <w:color w:val="000000" w:themeColor="text1"/>
                      <w:sz w:val="24"/>
                      <w:szCs w:val="24"/>
                      <w:highlight w:val="none"/>
                      <w:lang w:val="en-US" w:eastAsia="zh-CN"/>
                      <w14:textFill>
                        <w14:solidFill>
                          <w14:schemeClr w14:val="tx1"/>
                        </w14:solidFill>
                      </w14:textFill>
                    </w:rPr>
                    <w:t>口</w:t>
                  </w:r>
                  <w:r>
                    <w:rPr>
                      <w:rFonts w:hint="default" w:ascii="Times New Roman" w:hAnsi="Times New Roman" w:cs="Times New Roman"/>
                      <w:color w:val="000000" w:themeColor="text1"/>
                      <w:sz w:val="21"/>
                      <w:szCs w:val="21"/>
                      <w:highlight w:val="none"/>
                      <w14:textFill>
                        <w14:solidFill>
                          <w14:schemeClr w14:val="tx1"/>
                        </w14:solidFill>
                      </w14:textFill>
                    </w:rPr>
                    <w:t>（DA01</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4</w:t>
                  </w:r>
                  <w:r>
                    <w:rPr>
                      <w:rFonts w:hint="default" w:ascii="Times New Roman" w:hAnsi="Times New Roman" w:cs="Times New Roman"/>
                      <w:color w:val="000000" w:themeColor="text1"/>
                      <w:sz w:val="21"/>
                      <w:szCs w:val="21"/>
                      <w:highlight w:val="none"/>
                      <w14:textFill>
                        <w14:solidFill>
                          <w14:schemeClr w14:val="tx1"/>
                        </w14:solidFill>
                      </w14:textFill>
                    </w:rPr>
                    <w:t>）</w:t>
                  </w:r>
                </w:p>
              </w:tc>
            </w:tr>
            <w:tr w14:paraId="6E4F8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390" w:type="pct"/>
                  <w:vMerge w:val="continue"/>
                  <w:tcBorders>
                    <w:tl2br w:val="nil"/>
                    <w:tr2bl w:val="nil"/>
                  </w:tcBorders>
                  <w:noWrap w:val="0"/>
                  <w:vAlign w:val="center"/>
                </w:tcPr>
                <w:p w14:paraId="18022AFA">
                  <w:pPr>
                    <w:pStyle w:val="118"/>
                    <w:bidi w:val="0"/>
                    <w:rPr>
                      <w:rFonts w:hint="default" w:ascii="Times New Roman" w:hAnsi="Times New Roman" w:cs="Times New Roman"/>
                      <w:color w:val="000000" w:themeColor="text1"/>
                      <w:sz w:val="21"/>
                      <w:szCs w:val="21"/>
                      <w:highlight w:val="none"/>
                      <w14:textFill>
                        <w14:solidFill>
                          <w14:schemeClr w14:val="tx1"/>
                        </w14:solidFill>
                      </w14:textFill>
                    </w:rPr>
                  </w:pPr>
                </w:p>
              </w:tc>
              <w:tc>
                <w:tcPr>
                  <w:tcW w:w="787" w:type="pct"/>
                  <w:tcBorders>
                    <w:tl2br w:val="nil"/>
                    <w:tr2bl w:val="nil"/>
                  </w:tcBorders>
                  <w:noWrap w:val="0"/>
                  <w:vAlign w:val="center"/>
                </w:tcPr>
                <w:p w14:paraId="75F3DF5E">
                  <w:pPr>
                    <w:pStyle w:val="118"/>
                    <w:bidi w:val="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大包</w:t>
                  </w:r>
                  <w:r>
                    <w:rPr>
                      <w:rFonts w:hint="default" w:ascii="Times New Roman" w:hAnsi="Times New Roman" w:cs="Times New Roman"/>
                      <w:color w:val="000000" w:themeColor="text1"/>
                      <w:sz w:val="21"/>
                      <w:szCs w:val="21"/>
                      <w:highlight w:val="none"/>
                      <w14:textFill>
                        <w14:solidFill>
                          <w14:schemeClr w14:val="tx1"/>
                        </w14:solidFill>
                      </w14:textFill>
                    </w:rPr>
                    <w:t>高岭土产品装卸、贮存</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产生废气</w:t>
                  </w:r>
                </w:p>
              </w:tc>
              <w:tc>
                <w:tcPr>
                  <w:tcW w:w="575" w:type="pct"/>
                  <w:tcBorders>
                    <w:tl2br w:val="nil"/>
                    <w:tr2bl w:val="nil"/>
                  </w:tcBorders>
                  <w:noWrap w:val="0"/>
                  <w:vAlign w:val="center"/>
                </w:tcPr>
                <w:p w14:paraId="663E0638">
                  <w:pPr>
                    <w:pStyle w:val="118"/>
                    <w:bidi w:val="0"/>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G</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1-10、</w:t>
                  </w:r>
                  <w:r>
                    <w:rPr>
                      <w:rFonts w:hint="default" w:ascii="Times New Roman" w:hAnsi="Times New Roman" w:cs="Times New Roman"/>
                      <w:color w:val="000000" w:themeColor="text1"/>
                      <w:sz w:val="21"/>
                      <w:szCs w:val="21"/>
                      <w:highlight w:val="none"/>
                      <w14:textFill>
                        <w14:solidFill>
                          <w14:schemeClr w14:val="tx1"/>
                        </w14:solidFill>
                      </w14:textFill>
                    </w:rPr>
                    <w:t>G</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1-11</w:t>
                  </w:r>
                </w:p>
              </w:tc>
              <w:tc>
                <w:tcPr>
                  <w:tcW w:w="943" w:type="pct"/>
                  <w:tcBorders>
                    <w:tl2br w:val="nil"/>
                    <w:tr2bl w:val="nil"/>
                  </w:tcBorders>
                  <w:noWrap w:val="0"/>
                  <w:vAlign w:val="center"/>
                </w:tcPr>
                <w:p w14:paraId="3803DC8E">
                  <w:pPr>
                    <w:pStyle w:val="118"/>
                    <w:bidi w:val="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颗粒物</w:t>
                  </w:r>
                </w:p>
              </w:tc>
              <w:tc>
                <w:tcPr>
                  <w:tcW w:w="400" w:type="pct"/>
                  <w:tcBorders>
                    <w:tl2br w:val="nil"/>
                    <w:tr2bl w:val="nil"/>
                  </w:tcBorders>
                  <w:noWrap w:val="0"/>
                  <w:vAlign w:val="center"/>
                </w:tcPr>
                <w:p w14:paraId="4A31E935">
                  <w:pPr>
                    <w:pStyle w:val="118"/>
                    <w:bidi w:val="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连续</w:t>
                  </w:r>
                </w:p>
              </w:tc>
              <w:tc>
                <w:tcPr>
                  <w:tcW w:w="1904" w:type="pct"/>
                  <w:tcBorders>
                    <w:tl2br w:val="nil"/>
                    <w:tr2bl w:val="nil"/>
                  </w:tcBorders>
                  <w:noWrap w:val="0"/>
                  <w:vAlign w:val="center"/>
                </w:tcPr>
                <w:p w14:paraId="61ED5647">
                  <w:pPr>
                    <w:pStyle w:val="118"/>
                    <w:bidi w:val="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lang w:eastAsia="zh-CN"/>
                      <w14:textFill>
                        <w14:solidFill>
                          <w14:schemeClr w14:val="tx1"/>
                        </w14:solidFill>
                      </w14:textFill>
                    </w:rPr>
                    <w:t>布袋除尘器（覆膜袋式）</w:t>
                  </w:r>
                  <w:r>
                    <w:rPr>
                      <w:rFonts w:hint="default" w:ascii="Times New Roman" w:hAnsi="Times New Roman" w:cs="Times New Roman"/>
                      <w:color w:val="000000" w:themeColor="text1"/>
                      <w:sz w:val="21"/>
                      <w:szCs w:val="21"/>
                      <w:highlight w:val="none"/>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2</w:t>
                  </w:r>
                  <w:r>
                    <w:rPr>
                      <w:rFonts w:hint="default" w:ascii="Times New Roman" w:hAnsi="Times New Roman" w:cs="Times New Roman"/>
                      <w:color w:val="000000" w:themeColor="text1"/>
                      <w:sz w:val="21"/>
                      <w:szCs w:val="21"/>
                      <w:highlight w:val="none"/>
                      <w14:textFill>
                        <w14:solidFill>
                          <w14:schemeClr w14:val="tx1"/>
                        </w14:solidFill>
                      </w14:textFill>
                    </w:rPr>
                    <w:t>套）+</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50</w:t>
                  </w:r>
                  <w:r>
                    <w:rPr>
                      <w:rFonts w:hint="default" w:ascii="Times New Roman" w:hAnsi="Times New Roman" w:cs="Times New Roman"/>
                      <w:color w:val="000000" w:themeColor="text1"/>
                      <w:sz w:val="21"/>
                      <w:szCs w:val="21"/>
                      <w:highlight w:val="none"/>
                      <w:lang w:eastAsia="zh-CN"/>
                      <w14:textFill>
                        <w14:solidFill>
                          <w14:schemeClr w14:val="tx1"/>
                        </w14:solidFill>
                      </w14:textFill>
                    </w:rPr>
                    <w:t>m</w:t>
                  </w:r>
                  <w:r>
                    <w:rPr>
                      <w:rFonts w:hint="default" w:ascii="Times New Roman" w:hAnsi="Times New Roman" w:cs="Times New Roman"/>
                      <w:color w:val="000000" w:themeColor="text1"/>
                      <w:sz w:val="24"/>
                      <w:highlight w:val="none"/>
                      <w:lang w:val="en-US" w:eastAsia="zh-CN"/>
                      <w14:textFill>
                        <w14:solidFill>
                          <w14:schemeClr w14:val="tx1"/>
                        </w14:solidFill>
                      </w14:textFill>
                    </w:rPr>
                    <w:t>高的</w:t>
                  </w:r>
                  <w:r>
                    <w:rPr>
                      <w:rFonts w:hint="eastAsia" w:cs="Times New Roman"/>
                      <w:color w:val="000000" w:themeColor="text1"/>
                      <w:sz w:val="21"/>
                      <w:szCs w:val="21"/>
                      <w:highlight w:val="none"/>
                      <w:lang w:eastAsia="zh-CN"/>
                      <w14:textFill>
                        <w14:solidFill>
                          <w14:schemeClr w14:val="tx1"/>
                        </w14:solidFill>
                      </w14:textFill>
                    </w:rPr>
                    <w:t>排气</w:t>
                  </w:r>
                  <w:r>
                    <w:rPr>
                      <w:rFonts w:hint="eastAsia" w:cs="Times New Roman"/>
                      <w:color w:val="000000" w:themeColor="text1"/>
                      <w:sz w:val="24"/>
                      <w:szCs w:val="24"/>
                      <w:highlight w:val="none"/>
                      <w:lang w:val="en-US" w:eastAsia="zh-CN"/>
                      <w14:textFill>
                        <w14:solidFill>
                          <w14:schemeClr w14:val="tx1"/>
                        </w14:solidFill>
                      </w14:textFill>
                    </w:rPr>
                    <w:t>口</w:t>
                  </w:r>
                  <w:r>
                    <w:rPr>
                      <w:rFonts w:hint="default" w:ascii="Times New Roman" w:hAnsi="Times New Roman" w:cs="Times New Roman"/>
                      <w:color w:val="000000" w:themeColor="text1"/>
                      <w:sz w:val="21"/>
                      <w:szCs w:val="21"/>
                      <w:highlight w:val="none"/>
                      <w14:textFill>
                        <w14:solidFill>
                          <w14:schemeClr w14:val="tx1"/>
                        </w14:solidFill>
                      </w14:textFill>
                    </w:rPr>
                    <w:t>（DA0</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09、</w:t>
                  </w:r>
                  <w:r>
                    <w:rPr>
                      <w:rFonts w:hint="default" w:ascii="Times New Roman" w:hAnsi="Times New Roman" w:cs="Times New Roman"/>
                      <w:color w:val="000000" w:themeColor="text1"/>
                      <w:sz w:val="21"/>
                      <w:szCs w:val="21"/>
                      <w:highlight w:val="none"/>
                      <w14:textFill>
                        <w14:solidFill>
                          <w14:schemeClr w14:val="tx1"/>
                        </w14:solidFill>
                      </w14:textFill>
                    </w:rPr>
                    <w:t>DA0</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10</w:t>
                  </w:r>
                  <w:r>
                    <w:rPr>
                      <w:rFonts w:hint="default" w:ascii="Times New Roman" w:hAnsi="Times New Roman" w:cs="Times New Roman"/>
                      <w:color w:val="000000" w:themeColor="text1"/>
                      <w:sz w:val="21"/>
                      <w:szCs w:val="21"/>
                      <w:highlight w:val="none"/>
                      <w14:textFill>
                        <w14:solidFill>
                          <w14:schemeClr w14:val="tx1"/>
                        </w14:solidFill>
                      </w14:textFill>
                    </w:rPr>
                    <w:t>）</w:t>
                  </w:r>
                </w:p>
              </w:tc>
            </w:tr>
            <w:tr w14:paraId="6B974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390" w:type="pct"/>
                  <w:vMerge w:val="continue"/>
                  <w:tcBorders>
                    <w:tl2br w:val="nil"/>
                    <w:tr2bl w:val="nil"/>
                  </w:tcBorders>
                  <w:noWrap w:val="0"/>
                  <w:vAlign w:val="center"/>
                </w:tcPr>
                <w:p w14:paraId="0A9DDB37">
                  <w:pPr>
                    <w:pStyle w:val="118"/>
                    <w:bidi w:val="0"/>
                    <w:rPr>
                      <w:rFonts w:hint="default" w:ascii="Times New Roman" w:hAnsi="Times New Roman" w:cs="Times New Roman"/>
                      <w:color w:val="000000" w:themeColor="text1"/>
                      <w:sz w:val="21"/>
                      <w:szCs w:val="21"/>
                      <w:highlight w:val="none"/>
                      <w14:textFill>
                        <w14:solidFill>
                          <w14:schemeClr w14:val="tx1"/>
                        </w14:solidFill>
                      </w14:textFill>
                    </w:rPr>
                  </w:pPr>
                </w:p>
              </w:tc>
              <w:tc>
                <w:tcPr>
                  <w:tcW w:w="787" w:type="pct"/>
                  <w:tcBorders>
                    <w:tl2br w:val="nil"/>
                    <w:tr2bl w:val="nil"/>
                  </w:tcBorders>
                  <w:noWrap w:val="0"/>
                  <w:vAlign w:val="center"/>
                </w:tcPr>
                <w:p w14:paraId="31E32907">
                  <w:pPr>
                    <w:pStyle w:val="118"/>
                    <w:bidi w:val="0"/>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大包</w:t>
                  </w:r>
                  <w:r>
                    <w:rPr>
                      <w:rFonts w:hint="default" w:ascii="Times New Roman" w:hAnsi="Times New Roman" w:cs="Times New Roman"/>
                      <w:color w:val="000000" w:themeColor="text1"/>
                      <w:sz w:val="21"/>
                      <w:szCs w:val="21"/>
                      <w:highlight w:val="none"/>
                      <w14:textFill>
                        <w14:solidFill>
                          <w14:schemeClr w14:val="tx1"/>
                        </w14:solidFill>
                      </w14:textFill>
                    </w:rPr>
                    <w:t>高岭土产品</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包装</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产生废气</w:t>
                  </w:r>
                </w:p>
              </w:tc>
              <w:tc>
                <w:tcPr>
                  <w:tcW w:w="575" w:type="pct"/>
                  <w:tcBorders>
                    <w:tl2br w:val="nil"/>
                    <w:tr2bl w:val="nil"/>
                  </w:tcBorders>
                  <w:noWrap w:val="0"/>
                  <w:vAlign w:val="center"/>
                </w:tcPr>
                <w:p w14:paraId="67412883">
                  <w:pPr>
                    <w:pStyle w:val="118"/>
                    <w:bidi w:val="0"/>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G</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1-12</w:t>
                  </w:r>
                </w:p>
              </w:tc>
              <w:tc>
                <w:tcPr>
                  <w:tcW w:w="943" w:type="pct"/>
                  <w:tcBorders>
                    <w:tl2br w:val="nil"/>
                    <w:tr2bl w:val="nil"/>
                  </w:tcBorders>
                  <w:noWrap w:val="0"/>
                  <w:vAlign w:val="center"/>
                </w:tcPr>
                <w:p w14:paraId="5D1E991B">
                  <w:pPr>
                    <w:pStyle w:val="118"/>
                    <w:bidi w:val="0"/>
                    <w:ind w:firstLine="0" w:firstLineChars="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颗粒物</w:t>
                  </w:r>
                </w:p>
              </w:tc>
              <w:tc>
                <w:tcPr>
                  <w:tcW w:w="400" w:type="pct"/>
                  <w:tcBorders>
                    <w:tl2br w:val="nil"/>
                    <w:tr2bl w:val="nil"/>
                  </w:tcBorders>
                  <w:noWrap w:val="0"/>
                  <w:vAlign w:val="center"/>
                </w:tcPr>
                <w:p w14:paraId="187702EC">
                  <w:pPr>
                    <w:pStyle w:val="118"/>
                    <w:bidi w:val="0"/>
                    <w:ind w:firstLine="0" w:firstLineChars="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连续</w:t>
                  </w:r>
                </w:p>
              </w:tc>
              <w:tc>
                <w:tcPr>
                  <w:tcW w:w="1904" w:type="pct"/>
                  <w:tcBorders>
                    <w:tl2br w:val="nil"/>
                    <w:tr2bl w:val="nil"/>
                  </w:tcBorders>
                  <w:noWrap w:val="0"/>
                  <w:vAlign w:val="center"/>
                </w:tcPr>
                <w:p w14:paraId="731CC697">
                  <w:pPr>
                    <w:pStyle w:val="118"/>
                    <w:bidi w:val="0"/>
                    <w:ind w:firstLine="0" w:firstLineChars="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集气罩（</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8</w:t>
                  </w:r>
                  <w:r>
                    <w:rPr>
                      <w:rFonts w:hint="default" w:ascii="Times New Roman" w:hAnsi="Times New Roman" w:cs="Times New Roman"/>
                      <w:color w:val="000000" w:themeColor="text1"/>
                      <w:sz w:val="21"/>
                      <w:szCs w:val="21"/>
                      <w:highlight w:val="none"/>
                      <w14:textFill>
                        <w14:solidFill>
                          <w14:schemeClr w14:val="tx1"/>
                        </w14:solidFill>
                      </w14:textFill>
                    </w:rPr>
                    <w:t>套）+</w:t>
                  </w:r>
                  <w:r>
                    <w:rPr>
                      <w:rFonts w:hint="default" w:ascii="Times New Roman" w:hAnsi="Times New Roman" w:cs="Times New Roman"/>
                      <w:color w:val="000000" w:themeColor="text1"/>
                      <w:sz w:val="21"/>
                      <w:szCs w:val="21"/>
                      <w:highlight w:val="none"/>
                      <w:lang w:eastAsia="zh-CN"/>
                      <w14:textFill>
                        <w14:solidFill>
                          <w14:schemeClr w14:val="tx1"/>
                        </w14:solidFill>
                      </w14:textFill>
                    </w:rPr>
                    <w:t>布袋除尘器（覆膜袋式）</w:t>
                  </w:r>
                  <w:r>
                    <w:rPr>
                      <w:rFonts w:hint="default" w:ascii="Times New Roman" w:hAnsi="Times New Roman" w:cs="Times New Roman"/>
                      <w:color w:val="000000" w:themeColor="text1"/>
                      <w:sz w:val="21"/>
                      <w:szCs w:val="21"/>
                      <w:highlight w:val="none"/>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8</w:t>
                  </w:r>
                  <w:r>
                    <w:rPr>
                      <w:rFonts w:hint="default" w:ascii="Times New Roman" w:hAnsi="Times New Roman" w:cs="Times New Roman"/>
                      <w:color w:val="000000" w:themeColor="text1"/>
                      <w:sz w:val="21"/>
                      <w:szCs w:val="21"/>
                      <w:highlight w:val="none"/>
                      <w14:textFill>
                        <w14:solidFill>
                          <w14:schemeClr w14:val="tx1"/>
                        </w14:solidFill>
                      </w14:textFill>
                    </w:rPr>
                    <w:t>套）+</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30</w:t>
                  </w:r>
                  <w:r>
                    <w:rPr>
                      <w:rFonts w:hint="default" w:ascii="Times New Roman" w:hAnsi="Times New Roman" w:cs="Times New Roman"/>
                      <w:color w:val="000000" w:themeColor="text1"/>
                      <w:sz w:val="21"/>
                      <w:szCs w:val="21"/>
                      <w:highlight w:val="none"/>
                      <w:lang w:eastAsia="zh-CN"/>
                      <w14:textFill>
                        <w14:solidFill>
                          <w14:schemeClr w14:val="tx1"/>
                        </w14:solidFill>
                      </w14:textFill>
                    </w:rPr>
                    <w:t>m</w:t>
                  </w:r>
                  <w:r>
                    <w:rPr>
                      <w:rFonts w:hint="default" w:ascii="Times New Roman" w:hAnsi="Times New Roman" w:cs="Times New Roman"/>
                      <w:color w:val="000000" w:themeColor="text1"/>
                      <w:sz w:val="24"/>
                      <w:highlight w:val="none"/>
                      <w:lang w:val="en-US" w:eastAsia="zh-CN"/>
                      <w14:textFill>
                        <w14:solidFill>
                          <w14:schemeClr w14:val="tx1"/>
                        </w14:solidFill>
                      </w14:textFill>
                    </w:rPr>
                    <w:t>高的</w:t>
                  </w:r>
                  <w:r>
                    <w:rPr>
                      <w:rFonts w:hint="eastAsia" w:cs="Times New Roman"/>
                      <w:color w:val="000000" w:themeColor="text1"/>
                      <w:sz w:val="21"/>
                      <w:szCs w:val="21"/>
                      <w:highlight w:val="none"/>
                      <w:lang w:eastAsia="zh-CN"/>
                      <w14:textFill>
                        <w14:solidFill>
                          <w14:schemeClr w14:val="tx1"/>
                        </w14:solidFill>
                      </w14:textFill>
                    </w:rPr>
                    <w:t>排气</w:t>
                  </w:r>
                  <w:r>
                    <w:rPr>
                      <w:rFonts w:hint="eastAsia" w:cs="Times New Roman"/>
                      <w:color w:val="000000" w:themeColor="text1"/>
                      <w:sz w:val="24"/>
                      <w:szCs w:val="24"/>
                      <w:highlight w:val="none"/>
                      <w:lang w:val="en-US" w:eastAsia="zh-CN"/>
                      <w14:textFill>
                        <w14:solidFill>
                          <w14:schemeClr w14:val="tx1"/>
                        </w14:solidFill>
                      </w14:textFill>
                    </w:rPr>
                    <w:t>口</w:t>
                  </w:r>
                  <w:r>
                    <w:rPr>
                      <w:rFonts w:hint="default" w:ascii="Times New Roman" w:hAnsi="Times New Roman" w:cs="Times New Roman"/>
                      <w:color w:val="000000" w:themeColor="text1"/>
                      <w:sz w:val="21"/>
                      <w:szCs w:val="21"/>
                      <w:highlight w:val="none"/>
                      <w14:textFill>
                        <w14:solidFill>
                          <w14:schemeClr w14:val="tx1"/>
                        </w14:solidFill>
                      </w14:textFill>
                    </w:rPr>
                    <w:t>（DA01</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1</w:t>
                  </w:r>
                  <w:r>
                    <w:rPr>
                      <w:rFonts w:hint="default" w:ascii="Times New Roman" w:hAnsi="Times New Roman" w:cs="Times New Roman"/>
                      <w:color w:val="000000" w:themeColor="text1"/>
                      <w:sz w:val="21"/>
                      <w:szCs w:val="21"/>
                      <w:highlight w:val="none"/>
                      <w14:textFill>
                        <w14:solidFill>
                          <w14:schemeClr w14:val="tx1"/>
                        </w14:solidFill>
                      </w14:textFill>
                    </w:rPr>
                    <w:t>）</w:t>
                  </w:r>
                </w:p>
              </w:tc>
            </w:tr>
            <w:tr w14:paraId="545F7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390" w:type="pct"/>
                  <w:vMerge w:val="continue"/>
                  <w:tcBorders>
                    <w:tl2br w:val="nil"/>
                    <w:tr2bl w:val="nil"/>
                  </w:tcBorders>
                  <w:noWrap w:val="0"/>
                  <w:vAlign w:val="center"/>
                </w:tcPr>
                <w:p w14:paraId="3C27809E">
                  <w:pPr>
                    <w:pStyle w:val="118"/>
                    <w:bidi w:val="0"/>
                    <w:rPr>
                      <w:rFonts w:hint="default" w:ascii="Times New Roman" w:hAnsi="Times New Roman" w:cs="Times New Roman"/>
                      <w:color w:val="000000" w:themeColor="text1"/>
                      <w:sz w:val="21"/>
                      <w:szCs w:val="21"/>
                      <w:highlight w:val="none"/>
                      <w14:textFill>
                        <w14:solidFill>
                          <w14:schemeClr w14:val="tx1"/>
                        </w14:solidFill>
                      </w14:textFill>
                    </w:rPr>
                  </w:pPr>
                </w:p>
              </w:tc>
              <w:tc>
                <w:tcPr>
                  <w:tcW w:w="787" w:type="pct"/>
                  <w:tcBorders>
                    <w:tl2br w:val="nil"/>
                    <w:tr2bl w:val="nil"/>
                  </w:tcBorders>
                  <w:noWrap w:val="0"/>
                  <w:vAlign w:val="center"/>
                </w:tcPr>
                <w:p w14:paraId="4898D466">
                  <w:pPr>
                    <w:pStyle w:val="118"/>
                    <w:bidi w:val="0"/>
                    <w:ind w:firstLine="0" w:firstLineChars="0"/>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小包</w:t>
                  </w:r>
                  <w:r>
                    <w:rPr>
                      <w:rFonts w:hint="default" w:ascii="Times New Roman" w:hAnsi="Times New Roman" w:cs="Times New Roman"/>
                      <w:color w:val="000000" w:themeColor="text1"/>
                      <w:sz w:val="21"/>
                      <w:szCs w:val="21"/>
                      <w:highlight w:val="none"/>
                      <w14:textFill>
                        <w14:solidFill>
                          <w14:schemeClr w14:val="tx1"/>
                        </w14:solidFill>
                      </w14:textFill>
                    </w:rPr>
                    <w:t>高岭土产品装卸、贮存</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产生废气</w:t>
                  </w:r>
                </w:p>
              </w:tc>
              <w:tc>
                <w:tcPr>
                  <w:tcW w:w="575" w:type="pct"/>
                  <w:tcBorders>
                    <w:tl2br w:val="nil"/>
                    <w:tr2bl w:val="nil"/>
                  </w:tcBorders>
                  <w:noWrap w:val="0"/>
                  <w:vAlign w:val="center"/>
                </w:tcPr>
                <w:p w14:paraId="506BF5B8">
                  <w:pPr>
                    <w:pStyle w:val="118"/>
                    <w:bidi w:val="0"/>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G</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1-13</w:t>
                  </w:r>
                </w:p>
              </w:tc>
              <w:tc>
                <w:tcPr>
                  <w:tcW w:w="943" w:type="pct"/>
                  <w:tcBorders>
                    <w:tl2br w:val="nil"/>
                    <w:tr2bl w:val="nil"/>
                  </w:tcBorders>
                  <w:noWrap w:val="0"/>
                  <w:vAlign w:val="center"/>
                </w:tcPr>
                <w:p w14:paraId="52E7CE1C">
                  <w:pPr>
                    <w:pStyle w:val="118"/>
                    <w:bidi w:val="0"/>
                    <w:ind w:firstLine="0" w:firstLineChars="0"/>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颗粒物</w:t>
                  </w:r>
                </w:p>
              </w:tc>
              <w:tc>
                <w:tcPr>
                  <w:tcW w:w="400" w:type="pct"/>
                  <w:tcBorders>
                    <w:tl2br w:val="nil"/>
                    <w:tr2bl w:val="nil"/>
                  </w:tcBorders>
                  <w:noWrap w:val="0"/>
                  <w:vAlign w:val="center"/>
                </w:tcPr>
                <w:p w14:paraId="4548FEA2">
                  <w:pPr>
                    <w:pStyle w:val="118"/>
                    <w:bidi w:val="0"/>
                    <w:ind w:firstLine="0" w:firstLineChars="0"/>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连续</w:t>
                  </w:r>
                </w:p>
              </w:tc>
              <w:tc>
                <w:tcPr>
                  <w:tcW w:w="1904" w:type="pct"/>
                  <w:tcBorders>
                    <w:tl2br w:val="nil"/>
                    <w:tr2bl w:val="nil"/>
                  </w:tcBorders>
                  <w:noWrap w:val="0"/>
                  <w:vAlign w:val="center"/>
                </w:tcPr>
                <w:p w14:paraId="0C25928F">
                  <w:pPr>
                    <w:pStyle w:val="118"/>
                    <w:bidi w:val="0"/>
                    <w:ind w:firstLine="0" w:firstLineChars="0"/>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lang w:eastAsia="zh-CN"/>
                      <w14:textFill>
                        <w14:solidFill>
                          <w14:schemeClr w14:val="tx1"/>
                        </w14:solidFill>
                      </w14:textFill>
                    </w:rPr>
                    <w:t>布袋除尘器（覆膜袋式）</w:t>
                  </w:r>
                  <w:r>
                    <w:rPr>
                      <w:rFonts w:hint="default" w:ascii="Times New Roman" w:hAnsi="Times New Roman" w:cs="Times New Roman"/>
                      <w:color w:val="000000" w:themeColor="text1"/>
                      <w:sz w:val="21"/>
                      <w:szCs w:val="21"/>
                      <w:highlight w:val="none"/>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1</w:t>
                  </w:r>
                  <w:r>
                    <w:rPr>
                      <w:rFonts w:hint="default" w:ascii="Times New Roman" w:hAnsi="Times New Roman" w:cs="Times New Roman"/>
                      <w:color w:val="000000" w:themeColor="text1"/>
                      <w:sz w:val="21"/>
                      <w:szCs w:val="21"/>
                      <w:highlight w:val="none"/>
                      <w14:textFill>
                        <w14:solidFill>
                          <w14:schemeClr w14:val="tx1"/>
                        </w14:solidFill>
                      </w14:textFill>
                    </w:rPr>
                    <w:t>套）+</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30</w:t>
                  </w:r>
                  <w:r>
                    <w:rPr>
                      <w:rFonts w:hint="default" w:ascii="Times New Roman" w:hAnsi="Times New Roman" w:cs="Times New Roman"/>
                      <w:color w:val="000000" w:themeColor="text1"/>
                      <w:sz w:val="21"/>
                      <w:szCs w:val="21"/>
                      <w:highlight w:val="none"/>
                      <w:lang w:eastAsia="zh-CN"/>
                      <w14:textFill>
                        <w14:solidFill>
                          <w14:schemeClr w14:val="tx1"/>
                        </w14:solidFill>
                      </w14:textFill>
                    </w:rPr>
                    <w:t>m</w:t>
                  </w:r>
                  <w:r>
                    <w:rPr>
                      <w:rFonts w:hint="default" w:ascii="Times New Roman" w:hAnsi="Times New Roman" w:cs="Times New Roman"/>
                      <w:color w:val="000000" w:themeColor="text1"/>
                      <w:sz w:val="24"/>
                      <w:highlight w:val="none"/>
                      <w:lang w:val="en-US" w:eastAsia="zh-CN"/>
                      <w14:textFill>
                        <w14:solidFill>
                          <w14:schemeClr w14:val="tx1"/>
                        </w14:solidFill>
                      </w14:textFill>
                    </w:rPr>
                    <w:t>高的</w:t>
                  </w:r>
                  <w:r>
                    <w:rPr>
                      <w:rFonts w:hint="eastAsia" w:cs="Times New Roman"/>
                      <w:color w:val="000000" w:themeColor="text1"/>
                      <w:sz w:val="21"/>
                      <w:szCs w:val="21"/>
                      <w:highlight w:val="none"/>
                      <w:lang w:eastAsia="zh-CN"/>
                      <w14:textFill>
                        <w14:solidFill>
                          <w14:schemeClr w14:val="tx1"/>
                        </w14:solidFill>
                      </w14:textFill>
                    </w:rPr>
                    <w:t>排气</w:t>
                  </w:r>
                  <w:r>
                    <w:rPr>
                      <w:rFonts w:hint="eastAsia" w:cs="Times New Roman"/>
                      <w:color w:val="000000" w:themeColor="text1"/>
                      <w:sz w:val="24"/>
                      <w:szCs w:val="24"/>
                      <w:highlight w:val="none"/>
                      <w:lang w:val="en-US" w:eastAsia="zh-CN"/>
                      <w14:textFill>
                        <w14:solidFill>
                          <w14:schemeClr w14:val="tx1"/>
                        </w14:solidFill>
                      </w14:textFill>
                    </w:rPr>
                    <w:t>口</w:t>
                  </w:r>
                  <w:r>
                    <w:rPr>
                      <w:rFonts w:hint="default" w:ascii="Times New Roman" w:hAnsi="Times New Roman" w:cs="Times New Roman"/>
                      <w:color w:val="000000" w:themeColor="text1"/>
                      <w:sz w:val="21"/>
                      <w:szCs w:val="21"/>
                      <w:highlight w:val="none"/>
                      <w14:textFill>
                        <w14:solidFill>
                          <w14:schemeClr w14:val="tx1"/>
                        </w14:solidFill>
                      </w14:textFill>
                    </w:rPr>
                    <w:t>（DA0</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12</w:t>
                  </w:r>
                  <w:r>
                    <w:rPr>
                      <w:rFonts w:hint="default" w:ascii="Times New Roman" w:hAnsi="Times New Roman" w:cs="Times New Roman"/>
                      <w:color w:val="000000" w:themeColor="text1"/>
                      <w:sz w:val="21"/>
                      <w:szCs w:val="21"/>
                      <w:highlight w:val="none"/>
                      <w14:textFill>
                        <w14:solidFill>
                          <w14:schemeClr w14:val="tx1"/>
                        </w14:solidFill>
                      </w14:textFill>
                    </w:rPr>
                    <w:t>）</w:t>
                  </w:r>
                </w:p>
              </w:tc>
            </w:tr>
            <w:tr w14:paraId="6F1AA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390" w:type="pct"/>
                  <w:vMerge w:val="continue"/>
                  <w:tcBorders>
                    <w:tl2br w:val="nil"/>
                    <w:tr2bl w:val="nil"/>
                  </w:tcBorders>
                  <w:noWrap w:val="0"/>
                  <w:vAlign w:val="center"/>
                </w:tcPr>
                <w:p w14:paraId="08D315FF">
                  <w:pPr>
                    <w:pStyle w:val="118"/>
                    <w:bidi w:val="0"/>
                    <w:rPr>
                      <w:rFonts w:hint="default" w:ascii="Times New Roman" w:hAnsi="Times New Roman" w:cs="Times New Roman"/>
                      <w:color w:val="000000" w:themeColor="text1"/>
                      <w:sz w:val="21"/>
                      <w:szCs w:val="21"/>
                      <w:highlight w:val="none"/>
                      <w14:textFill>
                        <w14:solidFill>
                          <w14:schemeClr w14:val="tx1"/>
                        </w14:solidFill>
                      </w14:textFill>
                    </w:rPr>
                  </w:pPr>
                </w:p>
              </w:tc>
              <w:tc>
                <w:tcPr>
                  <w:tcW w:w="787" w:type="pct"/>
                  <w:tcBorders>
                    <w:tl2br w:val="nil"/>
                    <w:tr2bl w:val="nil"/>
                  </w:tcBorders>
                  <w:shd w:val="clear" w:color="auto" w:fill="auto"/>
                  <w:noWrap w:val="0"/>
                  <w:vAlign w:val="center"/>
                </w:tcPr>
                <w:p w14:paraId="7B85AAA5">
                  <w:pPr>
                    <w:pStyle w:val="118"/>
                    <w:bidi w:val="0"/>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小包</w:t>
                  </w:r>
                  <w:r>
                    <w:rPr>
                      <w:rFonts w:hint="default" w:ascii="Times New Roman" w:hAnsi="Times New Roman" w:cs="Times New Roman"/>
                      <w:color w:val="000000" w:themeColor="text1"/>
                      <w:sz w:val="21"/>
                      <w:szCs w:val="21"/>
                      <w:highlight w:val="none"/>
                      <w14:textFill>
                        <w14:solidFill>
                          <w14:schemeClr w14:val="tx1"/>
                        </w14:solidFill>
                      </w14:textFill>
                    </w:rPr>
                    <w:t>高岭土产品</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包装</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产生废气</w:t>
                  </w:r>
                </w:p>
              </w:tc>
              <w:tc>
                <w:tcPr>
                  <w:tcW w:w="575" w:type="pct"/>
                  <w:tcBorders>
                    <w:tl2br w:val="nil"/>
                    <w:tr2bl w:val="nil"/>
                  </w:tcBorders>
                  <w:shd w:val="clear" w:color="auto" w:fill="auto"/>
                  <w:noWrap w:val="0"/>
                  <w:vAlign w:val="center"/>
                </w:tcPr>
                <w:p w14:paraId="7FFA2782">
                  <w:pPr>
                    <w:pStyle w:val="118"/>
                    <w:bidi w:val="0"/>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G</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1-14</w:t>
                  </w:r>
                </w:p>
              </w:tc>
              <w:tc>
                <w:tcPr>
                  <w:tcW w:w="943" w:type="pct"/>
                  <w:tcBorders>
                    <w:tl2br w:val="nil"/>
                    <w:tr2bl w:val="nil"/>
                  </w:tcBorders>
                  <w:shd w:val="clear" w:color="auto" w:fill="auto"/>
                  <w:noWrap w:val="0"/>
                  <w:vAlign w:val="center"/>
                </w:tcPr>
                <w:p w14:paraId="63917E77">
                  <w:pPr>
                    <w:pStyle w:val="118"/>
                    <w:bidi w:val="0"/>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颗粒物</w:t>
                  </w:r>
                </w:p>
              </w:tc>
              <w:tc>
                <w:tcPr>
                  <w:tcW w:w="400" w:type="pct"/>
                  <w:tcBorders>
                    <w:tl2br w:val="nil"/>
                    <w:tr2bl w:val="nil"/>
                  </w:tcBorders>
                  <w:shd w:val="clear" w:color="auto" w:fill="auto"/>
                  <w:noWrap w:val="0"/>
                  <w:vAlign w:val="center"/>
                </w:tcPr>
                <w:p w14:paraId="0AF775B4">
                  <w:pPr>
                    <w:pStyle w:val="118"/>
                    <w:bidi w:val="0"/>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连续</w:t>
                  </w:r>
                </w:p>
              </w:tc>
              <w:tc>
                <w:tcPr>
                  <w:tcW w:w="1904" w:type="pct"/>
                  <w:tcBorders>
                    <w:tl2br w:val="nil"/>
                    <w:tr2bl w:val="nil"/>
                  </w:tcBorders>
                  <w:shd w:val="clear" w:color="auto" w:fill="auto"/>
                  <w:noWrap w:val="0"/>
                  <w:vAlign w:val="center"/>
                </w:tcPr>
                <w:p w14:paraId="16401FB9">
                  <w:pPr>
                    <w:pStyle w:val="118"/>
                    <w:bidi w:val="0"/>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集气罩（</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1</w:t>
                  </w:r>
                  <w:r>
                    <w:rPr>
                      <w:rFonts w:hint="default" w:ascii="Times New Roman" w:hAnsi="Times New Roman" w:cs="Times New Roman"/>
                      <w:color w:val="000000" w:themeColor="text1"/>
                      <w:sz w:val="21"/>
                      <w:szCs w:val="21"/>
                      <w:highlight w:val="none"/>
                      <w14:textFill>
                        <w14:solidFill>
                          <w14:schemeClr w14:val="tx1"/>
                        </w14:solidFill>
                      </w14:textFill>
                    </w:rPr>
                    <w:t>套）+</w:t>
                  </w:r>
                  <w:r>
                    <w:rPr>
                      <w:rFonts w:hint="default" w:ascii="Times New Roman" w:hAnsi="Times New Roman" w:cs="Times New Roman"/>
                      <w:color w:val="000000" w:themeColor="text1"/>
                      <w:sz w:val="21"/>
                      <w:szCs w:val="21"/>
                      <w:highlight w:val="none"/>
                      <w:lang w:eastAsia="zh-CN"/>
                      <w14:textFill>
                        <w14:solidFill>
                          <w14:schemeClr w14:val="tx1"/>
                        </w14:solidFill>
                      </w14:textFill>
                    </w:rPr>
                    <w:t>布袋除尘器（覆膜袋式）</w:t>
                  </w:r>
                  <w:r>
                    <w:rPr>
                      <w:rFonts w:hint="default" w:ascii="Times New Roman" w:hAnsi="Times New Roman" w:cs="Times New Roman"/>
                      <w:color w:val="000000" w:themeColor="text1"/>
                      <w:sz w:val="21"/>
                      <w:szCs w:val="21"/>
                      <w:highlight w:val="none"/>
                      <w14:textFill>
                        <w14:solidFill>
                          <w14:schemeClr w14:val="tx1"/>
                        </w14:solidFill>
                      </w14:textFill>
                    </w:rPr>
                    <w:t>（1套）+</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20</w:t>
                  </w:r>
                  <w:r>
                    <w:rPr>
                      <w:rFonts w:hint="default" w:ascii="Times New Roman" w:hAnsi="Times New Roman" w:cs="Times New Roman"/>
                      <w:color w:val="000000" w:themeColor="text1"/>
                      <w:sz w:val="21"/>
                      <w:szCs w:val="21"/>
                      <w:highlight w:val="none"/>
                      <w:lang w:eastAsia="zh-CN"/>
                      <w14:textFill>
                        <w14:solidFill>
                          <w14:schemeClr w14:val="tx1"/>
                        </w14:solidFill>
                      </w14:textFill>
                    </w:rPr>
                    <w:t>m</w:t>
                  </w:r>
                  <w:r>
                    <w:rPr>
                      <w:rFonts w:hint="default" w:ascii="Times New Roman" w:hAnsi="Times New Roman" w:cs="Times New Roman"/>
                      <w:color w:val="000000" w:themeColor="text1"/>
                      <w:sz w:val="24"/>
                      <w:highlight w:val="none"/>
                      <w:lang w:val="en-US" w:eastAsia="zh-CN"/>
                      <w14:textFill>
                        <w14:solidFill>
                          <w14:schemeClr w14:val="tx1"/>
                        </w14:solidFill>
                      </w14:textFill>
                    </w:rPr>
                    <w:t>高</w:t>
                  </w:r>
                  <w:r>
                    <w:rPr>
                      <w:rFonts w:hint="eastAsia" w:cs="Times New Roman"/>
                      <w:color w:val="000000" w:themeColor="text1"/>
                      <w:sz w:val="21"/>
                      <w:szCs w:val="21"/>
                      <w:highlight w:val="none"/>
                      <w:lang w:eastAsia="zh-CN"/>
                      <w14:textFill>
                        <w14:solidFill>
                          <w14:schemeClr w14:val="tx1"/>
                        </w14:solidFill>
                      </w14:textFill>
                    </w:rPr>
                    <w:t>排气</w:t>
                  </w:r>
                  <w:r>
                    <w:rPr>
                      <w:rFonts w:hint="eastAsia" w:cs="Times New Roman"/>
                      <w:color w:val="000000" w:themeColor="text1"/>
                      <w:sz w:val="24"/>
                      <w:szCs w:val="24"/>
                      <w:highlight w:val="none"/>
                      <w:lang w:val="en-US" w:eastAsia="zh-CN"/>
                      <w14:textFill>
                        <w14:solidFill>
                          <w14:schemeClr w14:val="tx1"/>
                        </w14:solidFill>
                      </w14:textFill>
                    </w:rPr>
                    <w:t>口</w:t>
                  </w:r>
                  <w:r>
                    <w:rPr>
                      <w:rFonts w:hint="default" w:ascii="Times New Roman" w:hAnsi="Times New Roman" w:cs="Times New Roman"/>
                      <w:color w:val="000000" w:themeColor="text1"/>
                      <w:sz w:val="21"/>
                      <w:szCs w:val="21"/>
                      <w:highlight w:val="none"/>
                      <w14:textFill>
                        <w14:solidFill>
                          <w14:schemeClr w14:val="tx1"/>
                        </w14:solidFill>
                      </w14:textFill>
                    </w:rPr>
                    <w:t>（DA01</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3</w:t>
                  </w:r>
                  <w:r>
                    <w:rPr>
                      <w:rFonts w:hint="default" w:ascii="Times New Roman" w:hAnsi="Times New Roman" w:cs="Times New Roman"/>
                      <w:color w:val="000000" w:themeColor="text1"/>
                      <w:sz w:val="21"/>
                      <w:szCs w:val="21"/>
                      <w:highlight w:val="none"/>
                      <w14:textFill>
                        <w14:solidFill>
                          <w14:schemeClr w14:val="tx1"/>
                        </w14:solidFill>
                      </w14:textFill>
                    </w:rPr>
                    <w:t>）</w:t>
                  </w:r>
                </w:p>
              </w:tc>
            </w:tr>
            <w:tr w14:paraId="44A58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90" w:type="pct"/>
                  <w:vMerge w:val="restart"/>
                  <w:tcBorders>
                    <w:tl2br w:val="nil"/>
                    <w:tr2bl w:val="nil"/>
                  </w:tcBorders>
                  <w:noWrap w:val="0"/>
                  <w:vAlign w:val="center"/>
                </w:tcPr>
                <w:p w14:paraId="22FC2439">
                  <w:pPr>
                    <w:pStyle w:val="118"/>
                    <w:bidi w:val="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废水</w:t>
                  </w:r>
                </w:p>
              </w:tc>
              <w:tc>
                <w:tcPr>
                  <w:tcW w:w="787" w:type="pct"/>
                  <w:tcBorders>
                    <w:tl2br w:val="nil"/>
                    <w:tr2bl w:val="nil"/>
                  </w:tcBorders>
                  <w:noWrap w:val="0"/>
                  <w:vAlign w:val="center"/>
                </w:tcPr>
                <w:p w14:paraId="18AB92FA">
                  <w:pPr>
                    <w:pStyle w:val="118"/>
                    <w:bidi w:val="0"/>
                    <w:ind w:firstLine="0" w:firstLineChars="0"/>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软水</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制备废水</w:t>
                  </w:r>
                </w:p>
              </w:tc>
              <w:tc>
                <w:tcPr>
                  <w:tcW w:w="575" w:type="pct"/>
                  <w:tcBorders>
                    <w:tl2br w:val="nil"/>
                    <w:tr2bl w:val="nil"/>
                  </w:tcBorders>
                  <w:noWrap w:val="0"/>
                  <w:vAlign w:val="center"/>
                </w:tcPr>
                <w:p w14:paraId="5460C8FE">
                  <w:pPr>
                    <w:pStyle w:val="118"/>
                    <w:bidi w:val="0"/>
                    <w:ind w:firstLine="0" w:firstLineChars="0"/>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W</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1</w:t>
                  </w:r>
                </w:p>
              </w:tc>
              <w:tc>
                <w:tcPr>
                  <w:tcW w:w="943" w:type="pct"/>
                  <w:tcBorders>
                    <w:tl2br w:val="nil"/>
                    <w:tr2bl w:val="nil"/>
                  </w:tcBorders>
                  <w:noWrap w:val="0"/>
                  <w:vAlign w:val="center"/>
                </w:tcPr>
                <w:p w14:paraId="3F169EC7">
                  <w:pPr>
                    <w:pStyle w:val="118"/>
                    <w:bidi w:val="0"/>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TDS、SS</w:t>
                  </w:r>
                </w:p>
              </w:tc>
              <w:tc>
                <w:tcPr>
                  <w:tcW w:w="400" w:type="pct"/>
                  <w:tcBorders>
                    <w:tl2br w:val="nil"/>
                    <w:tr2bl w:val="nil"/>
                  </w:tcBorders>
                  <w:noWrap w:val="0"/>
                  <w:vAlign w:val="center"/>
                </w:tcPr>
                <w:p w14:paraId="64C38397">
                  <w:pPr>
                    <w:pStyle w:val="118"/>
                    <w:bidi w:val="0"/>
                    <w:ind w:firstLine="0" w:firstLineChars="0"/>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间歇</w:t>
                  </w:r>
                </w:p>
              </w:tc>
              <w:tc>
                <w:tcPr>
                  <w:tcW w:w="1904" w:type="pct"/>
                  <w:tcBorders>
                    <w:tl2br w:val="nil"/>
                    <w:tr2bl w:val="nil"/>
                  </w:tcBorders>
                  <w:noWrap w:val="0"/>
                  <w:vAlign w:val="center"/>
                </w:tcPr>
                <w:p w14:paraId="5F825238">
                  <w:pPr>
                    <w:pStyle w:val="118"/>
                    <w:bidi w:val="0"/>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kern w:val="0"/>
                      <w:sz w:val="21"/>
                      <w:szCs w:val="21"/>
                      <w:highlight w:val="none"/>
                      <w:lang w:val="en-US" w:eastAsia="zh-CN" w:bidi="ar"/>
                      <w14:textFill>
                        <w14:solidFill>
                          <w14:schemeClr w14:val="tx1"/>
                        </w14:solidFill>
                      </w14:textFill>
                    </w:rPr>
                    <w:t>通过</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罐车拉运至园区生产废水处理厂处理；</w:t>
                  </w:r>
                </w:p>
              </w:tc>
            </w:tr>
            <w:tr w14:paraId="7D24E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390" w:type="pct"/>
                  <w:vMerge w:val="continue"/>
                  <w:tcBorders>
                    <w:tl2br w:val="nil"/>
                    <w:tr2bl w:val="nil"/>
                  </w:tcBorders>
                  <w:noWrap w:val="0"/>
                  <w:vAlign w:val="center"/>
                </w:tcPr>
                <w:p w14:paraId="35EA725E">
                  <w:pPr>
                    <w:pStyle w:val="118"/>
                    <w:bidi w:val="0"/>
                    <w:rPr>
                      <w:rFonts w:hint="default" w:ascii="Times New Roman" w:hAnsi="Times New Roman" w:cs="Times New Roman"/>
                      <w:color w:val="000000" w:themeColor="text1"/>
                      <w:sz w:val="21"/>
                      <w:szCs w:val="21"/>
                      <w:highlight w:val="none"/>
                      <w14:textFill>
                        <w14:solidFill>
                          <w14:schemeClr w14:val="tx1"/>
                        </w14:solidFill>
                      </w14:textFill>
                    </w:rPr>
                  </w:pPr>
                </w:p>
              </w:tc>
              <w:tc>
                <w:tcPr>
                  <w:tcW w:w="787" w:type="pct"/>
                  <w:tcBorders>
                    <w:tl2br w:val="nil"/>
                    <w:tr2bl w:val="nil"/>
                  </w:tcBorders>
                  <w:noWrap w:val="0"/>
                  <w:vAlign w:val="center"/>
                </w:tcPr>
                <w:p w14:paraId="1289F323">
                  <w:pPr>
                    <w:pStyle w:val="118"/>
                    <w:bidi w:val="0"/>
                    <w:ind w:firstLine="0" w:firstLineChars="0"/>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脱硫废水</w:t>
                  </w:r>
                </w:p>
              </w:tc>
              <w:tc>
                <w:tcPr>
                  <w:tcW w:w="575" w:type="pct"/>
                  <w:tcBorders>
                    <w:tl2br w:val="nil"/>
                    <w:tr2bl w:val="nil"/>
                  </w:tcBorders>
                  <w:noWrap w:val="0"/>
                  <w:vAlign w:val="center"/>
                </w:tcPr>
                <w:p w14:paraId="40ECAE66">
                  <w:pPr>
                    <w:pStyle w:val="118"/>
                    <w:bidi w:val="0"/>
                    <w:ind w:firstLine="0" w:firstLineChars="0"/>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W</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2</w:t>
                  </w:r>
                </w:p>
              </w:tc>
              <w:tc>
                <w:tcPr>
                  <w:tcW w:w="943" w:type="pct"/>
                  <w:tcBorders>
                    <w:tl2br w:val="nil"/>
                    <w:tr2bl w:val="nil"/>
                  </w:tcBorders>
                  <w:noWrap w:val="0"/>
                  <w:vAlign w:val="center"/>
                </w:tcPr>
                <w:p w14:paraId="514F2CDE">
                  <w:pPr>
                    <w:pStyle w:val="118"/>
                    <w:bidi w:val="0"/>
                    <w:ind w:firstLine="0" w:firstLineChars="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lang w:eastAsia="zh-CN"/>
                      <w14:textFill>
                        <w14:solidFill>
                          <w14:schemeClr w14:val="tx1"/>
                        </w14:solidFill>
                      </w14:textFill>
                    </w:rPr>
                    <w:t>COD</w:t>
                  </w:r>
                  <w:r>
                    <w:rPr>
                      <w:rFonts w:hint="default" w:ascii="Times New Roman" w:hAnsi="Times New Roman" w:cs="Times New Roman"/>
                      <w:color w:val="000000" w:themeColor="text1"/>
                      <w:sz w:val="21"/>
                      <w:szCs w:val="21"/>
                      <w:highlight w:val="none"/>
                      <w14:textFill>
                        <w14:solidFill>
                          <w14:schemeClr w14:val="tx1"/>
                        </w14:solidFill>
                      </w14:textFill>
                    </w:rPr>
                    <w:t>、BOD</w:t>
                  </w:r>
                  <w:r>
                    <w:rPr>
                      <w:rFonts w:hint="default" w:ascii="Times New Roman" w:hAnsi="Times New Roman" w:cs="Times New Roman"/>
                      <w:color w:val="000000" w:themeColor="text1"/>
                      <w:sz w:val="21"/>
                      <w:szCs w:val="21"/>
                      <w:highlight w:val="none"/>
                      <w:vertAlign w:val="subscript"/>
                      <w14:textFill>
                        <w14:solidFill>
                          <w14:schemeClr w14:val="tx1"/>
                        </w14:solidFill>
                      </w14:textFill>
                    </w:rPr>
                    <w:t>5</w:t>
                  </w:r>
                  <w:r>
                    <w:rPr>
                      <w:rFonts w:hint="default" w:ascii="Times New Roman" w:hAnsi="Times New Roman" w:cs="Times New Roman"/>
                      <w:color w:val="000000" w:themeColor="text1"/>
                      <w:sz w:val="21"/>
                      <w:szCs w:val="21"/>
                      <w:highlight w:val="none"/>
                      <w14:textFill>
                        <w14:solidFill>
                          <w14:schemeClr w14:val="tx1"/>
                        </w14:solidFill>
                      </w14:textFill>
                    </w:rPr>
                    <w:t>、NH</w:t>
                  </w:r>
                  <w:r>
                    <w:rPr>
                      <w:rFonts w:hint="default" w:ascii="Times New Roman" w:hAnsi="Times New Roman" w:cs="Times New Roman"/>
                      <w:color w:val="000000" w:themeColor="text1"/>
                      <w:sz w:val="21"/>
                      <w:szCs w:val="21"/>
                      <w:highlight w:val="none"/>
                      <w:vertAlign w:val="subscript"/>
                      <w14:textFill>
                        <w14:solidFill>
                          <w14:schemeClr w14:val="tx1"/>
                        </w14:solidFill>
                      </w14:textFill>
                    </w:rPr>
                    <w:t>3</w:t>
                  </w:r>
                  <w:r>
                    <w:rPr>
                      <w:rFonts w:hint="default" w:ascii="Times New Roman" w:hAnsi="Times New Roman" w:cs="Times New Roman"/>
                      <w:color w:val="000000" w:themeColor="text1"/>
                      <w:sz w:val="21"/>
                      <w:szCs w:val="21"/>
                      <w:highlight w:val="none"/>
                      <w14:textFill>
                        <w14:solidFill>
                          <w14:schemeClr w14:val="tx1"/>
                        </w14:solidFill>
                      </w14:textFill>
                    </w:rPr>
                    <w:t>-N、</w:t>
                  </w:r>
                </w:p>
                <w:p w14:paraId="2891B6A5">
                  <w:pPr>
                    <w:pStyle w:val="118"/>
                    <w:bidi w:val="0"/>
                    <w:ind w:firstLine="0" w:firstLineChars="0"/>
                    <w:rPr>
                      <w:rFonts w:hint="default" w:ascii="Times New Roman" w:hAnsi="Times New Roman" w:cs="Times New Roman"/>
                      <w:color w:val="000000" w:themeColor="text1"/>
                      <w:sz w:val="21"/>
                      <w:szCs w:val="21"/>
                      <w:highlight w:val="none"/>
                      <w:lang w:eastAsia="zh-CN"/>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SS</w:t>
                  </w:r>
                  <w:r>
                    <w:rPr>
                      <w:rFonts w:hint="default" w:ascii="Times New Roman" w:hAnsi="Times New Roman" w:cs="Times New Roman"/>
                      <w:color w:val="000000" w:themeColor="text1"/>
                      <w:sz w:val="21"/>
                      <w:szCs w:val="21"/>
                      <w:highlight w:val="none"/>
                      <w:lang w:eastAsia="zh-CN"/>
                      <w14:textFill>
                        <w14:solidFill>
                          <w14:schemeClr w14:val="tx1"/>
                        </w14:solidFill>
                      </w14:textFill>
                    </w:rPr>
                    <w:t>、</w:t>
                  </w:r>
                </w:p>
                <w:p w14:paraId="0E136DD9">
                  <w:pPr>
                    <w:pStyle w:val="118"/>
                    <w:bidi w:val="0"/>
                    <w:ind w:firstLine="0" w:firstLineChars="0"/>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总铅</w:t>
                  </w:r>
                  <w:r>
                    <w:rPr>
                      <w:rFonts w:hint="default" w:ascii="Times New Roman" w:hAnsi="Times New Roman" w:cs="Times New Roman"/>
                      <w:color w:val="000000" w:themeColor="text1"/>
                      <w:highlight w:val="none"/>
                      <w:lang w:eastAsia="zh-CN"/>
                      <w14:textFill>
                        <w14:solidFill>
                          <w14:schemeClr w14:val="tx1"/>
                        </w14:solidFill>
                      </w14:textFill>
                    </w:rPr>
                    <w:t>、</w:t>
                  </w:r>
                  <w:r>
                    <w:rPr>
                      <w:rFonts w:hint="default" w:ascii="Times New Roman" w:hAnsi="Times New Roman" w:cs="Times New Roman"/>
                      <w:color w:val="000000" w:themeColor="text1"/>
                      <w:highlight w:val="none"/>
                      <w:lang w:val="en-US" w:eastAsia="zh-CN"/>
                      <w14:textFill>
                        <w14:solidFill>
                          <w14:schemeClr w14:val="tx1"/>
                        </w14:solidFill>
                      </w14:textFill>
                    </w:rPr>
                    <w:t>总汞</w:t>
                  </w:r>
                  <w:r>
                    <w:rPr>
                      <w:rFonts w:hint="default" w:ascii="Times New Roman" w:hAnsi="Times New Roman" w:cs="Times New Roman"/>
                      <w:color w:val="000000" w:themeColor="text1"/>
                      <w:sz w:val="21"/>
                      <w:szCs w:val="21"/>
                      <w:highlight w:val="none"/>
                      <w14:textFill>
                        <w14:solidFill>
                          <w14:schemeClr w14:val="tx1"/>
                        </w14:solidFill>
                      </w14:textFill>
                    </w:rPr>
                    <w:t>等</w:t>
                  </w:r>
                </w:p>
              </w:tc>
              <w:tc>
                <w:tcPr>
                  <w:tcW w:w="400" w:type="pct"/>
                  <w:tcBorders>
                    <w:tl2br w:val="nil"/>
                    <w:tr2bl w:val="nil"/>
                  </w:tcBorders>
                  <w:noWrap w:val="0"/>
                  <w:vAlign w:val="center"/>
                </w:tcPr>
                <w:p w14:paraId="79ADE204">
                  <w:pPr>
                    <w:pStyle w:val="118"/>
                    <w:bidi w:val="0"/>
                    <w:ind w:firstLine="0" w:firstLineChars="0"/>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间歇</w:t>
                  </w:r>
                </w:p>
              </w:tc>
              <w:tc>
                <w:tcPr>
                  <w:tcW w:w="1904" w:type="pct"/>
                  <w:tcBorders>
                    <w:tl2br w:val="nil"/>
                    <w:tr2bl w:val="nil"/>
                  </w:tcBorders>
                  <w:noWrap w:val="0"/>
                  <w:vAlign w:val="center"/>
                </w:tcPr>
                <w:p w14:paraId="4DACC38F">
                  <w:pPr>
                    <w:pStyle w:val="118"/>
                    <w:bidi w:val="0"/>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经三联箱装置处理后</w:t>
                  </w:r>
                  <w:r>
                    <w:rPr>
                      <w:rFonts w:hint="default" w:ascii="Times New Roman" w:hAnsi="Times New Roman" w:cs="Times New Roman"/>
                      <w:color w:val="000000" w:themeColor="text1"/>
                      <w:kern w:val="0"/>
                      <w:sz w:val="21"/>
                      <w:szCs w:val="21"/>
                      <w:highlight w:val="none"/>
                      <w:lang w:val="en-US" w:eastAsia="zh-CN" w:bidi="ar"/>
                      <w14:textFill>
                        <w14:solidFill>
                          <w14:schemeClr w14:val="tx1"/>
                        </w14:solidFill>
                      </w14:textFill>
                    </w:rPr>
                    <w:t>回用</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w:t>
                  </w:r>
                </w:p>
              </w:tc>
            </w:tr>
            <w:tr w14:paraId="7D426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jc w:val="center"/>
              </w:trPr>
              <w:tc>
                <w:tcPr>
                  <w:tcW w:w="390" w:type="pct"/>
                  <w:vMerge w:val="continue"/>
                  <w:tcBorders>
                    <w:tl2br w:val="nil"/>
                    <w:tr2bl w:val="nil"/>
                  </w:tcBorders>
                  <w:noWrap w:val="0"/>
                  <w:vAlign w:val="center"/>
                </w:tcPr>
                <w:p w14:paraId="16AAB248">
                  <w:pPr>
                    <w:pStyle w:val="118"/>
                    <w:bidi w:val="0"/>
                    <w:rPr>
                      <w:rFonts w:hint="default" w:ascii="Times New Roman" w:hAnsi="Times New Roman" w:cs="Times New Roman"/>
                      <w:color w:val="000000" w:themeColor="text1"/>
                      <w:sz w:val="21"/>
                      <w:szCs w:val="21"/>
                      <w:highlight w:val="none"/>
                      <w14:textFill>
                        <w14:solidFill>
                          <w14:schemeClr w14:val="tx1"/>
                        </w14:solidFill>
                      </w14:textFill>
                    </w:rPr>
                  </w:pPr>
                </w:p>
              </w:tc>
              <w:tc>
                <w:tcPr>
                  <w:tcW w:w="787" w:type="pct"/>
                  <w:tcBorders>
                    <w:tl2br w:val="nil"/>
                    <w:tr2bl w:val="nil"/>
                  </w:tcBorders>
                  <w:noWrap w:val="0"/>
                  <w:vAlign w:val="center"/>
                </w:tcPr>
                <w:p w14:paraId="00F7950C">
                  <w:pPr>
                    <w:pStyle w:val="118"/>
                    <w:bidi w:val="0"/>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余热锅炉</w:t>
                  </w:r>
                </w:p>
                <w:p w14:paraId="2C0B96A6">
                  <w:pPr>
                    <w:pStyle w:val="118"/>
                    <w:bidi w:val="0"/>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排水</w:t>
                  </w:r>
                </w:p>
              </w:tc>
              <w:tc>
                <w:tcPr>
                  <w:tcW w:w="575" w:type="pct"/>
                  <w:tcBorders>
                    <w:tl2br w:val="nil"/>
                    <w:tr2bl w:val="nil"/>
                  </w:tcBorders>
                  <w:noWrap w:val="0"/>
                  <w:vAlign w:val="center"/>
                </w:tcPr>
                <w:p w14:paraId="4A45DAB2">
                  <w:pPr>
                    <w:pStyle w:val="118"/>
                    <w:bidi w:val="0"/>
                    <w:ind w:firstLine="0" w:firstLineChars="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W</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3</w:t>
                  </w:r>
                </w:p>
              </w:tc>
              <w:tc>
                <w:tcPr>
                  <w:tcW w:w="943" w:type="pct"/>
                  <w:tcBorders>
                    <w:tl2br w:val="nil"/>
                    <w:tr2bl w:val="nil"/>
                  </w:tcBorders>
                  <w:noWrap w:val="0"/>
                  <w:vAlign w:val="center"/>
                </w:tcPr>
                <w:p w14:paraId="0606ABC7">
                  <w:pPr>
                    <w:pStyle w:val="118"/>
                    <w:bidi w:val="0"/>
                    <w:ind w:firstLine="0" w:firstLineChars="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lang w:eastAsia="zh-CN"/>
                      <w14:textFill>
                        <w14:solidFill>
                          <w14:schemeClr w14:val="tx1"/>
                        </w14:solidFill>
                      </w14:textFill>
                    </w:rPr>
                    <w:t>COD</w:t>
                  </w:r>
                  <w:r>
                    <w:rPr>
                      <w:rFonts w:hint="default" w:ascii="Times New Roman" w:hAnsi="Times New Roman" w:cs="Times New Roman"/>
                      <w:color w:val="000000" w:themeColor="text1"/>
                      <w:sz w:val="21"/>
                      <w:szCs w:val="21"/>
                      <w:highlight w:val="none"/>
                      <w14:textFill>
                        <w14:solidFill>
                          <w14:schemeClr w14:val="tx1"/>
                        </w14:solidFill>
                      </w14:textFill>
                    </w:rPr>
                    <w:t>、BOD</w:t>
                  </w:r>
                  <w:r>
                    <w:rPr>
                      <w:rFonts w:hint="default" w:ascii="Times New Roman" w:hAnsi="Times New Roman" w:cs="Times New Roman"/>
                      <w:color w:val="000000" w:themeColor="text1"/>
                      <w:sz w:val="21"/>
                      <w:szCs w:val="21"/>
                      <w:highlight w:val="none"/>
                      <w:vertAlign w:val="subscript"/>
                      <w14:textFill>
                        <w14:solidFill>
                          <w14:schemeClr w14:val="tx1"/>
                        </w14:solidFill>
                      </w14:textFill>
                    </w:rPr>
                    <w:t>5</w:t>
                  </w:r>
                  <w:r>
                    <w:rPr>
                      <w:rFonts w:hint="default" w:ascii="Times New Roman" w:hAnsi="Times New Roman" w:cs="Times New Roman"/>
                      <w:color w:val="000000" w:themeColor="text1"/>
                      <w:sz w:val="21"/>
                      <w:szCs w:val="21"/>
                      <w:highlight w:val="none"/>
                      <w14:textFill>
                        <w14:solidFill>
                          <w14:schemeClr w14:val="tx1"/>
                        </w14:solidFill>
                      </w14:textFill>
                    </w:rPr>
                    <w:t>、NH</w:t>
                  </w:r>
                  <w:r>
                    <w:rPr>
                      <w:rFonts w:hint="default" w:ascii="Times New Roman" w:hAnsi="Times New Roman" w:cs="Times New Roman"/>
                      <w:color w:val="000000" w:themeColor="text1"/>
                      <w:sz w:val="21"/>
                      <w:szCs w:val="21"/>
                      <w:highlight w:val="none"/>
                      <w:vertAlign w:val="subscript"/>
                      <w14:textFill>
                        <w14:solidFill>
                          <w14:schemeClr w14:val="tx1"/>
                        </w14:solidFill>
                      </w14:textFill>
                    </w:rPr>
                    <w:t>3</w:t>
                  </w:r>
                  <w:r>
                    <w:rPr>
                      <w:rFonts w:hint="default" w:ascii="Times New Roman" w:hAnsi="Times New Roman" w:cs="Times New Roman"/>
                      <w:color w:val="000000" w:themeColor="text1"/>
                      <w:sz w:val="21"/>
                      <w:szCs w:val="21"/>
                      <w:highlight w:val="none"/>
                      <w14:textFill>
                        <w14:solidFill>
                          <w14:schemeClr w14:val="tx1"/>
                        </w14:solidFill>
                      </w14:textFill>
                    </w:rPr>
                    <w:t>-N、</w:t>
                  </w:r>
                </w:p>
                <w:p w14:paraId="7D2756D0">
                  <w:pPr>
                    <w:pStyle w:val="118"/>
                    <w:bidi w:val="0"/>
                    <w:ind w:firstLine="0" w:firstLineChars="0"/>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SS等</w:t>
                  </w:r>
                </w:p>
              </w:tc>
              <w:tc>
                <w:tcPr>
                  <w:tcW w:w="400" w:type="pct"/>
                  <w:tcBorders>
                    <w:tl2br w:val="nil"/>
                    <w:tr2bl w:val="nil"/>
                  </w:tcBorders>
                  <w:noWrap w:val="0"/>
                  <w:vAlign w:val="center"/>
                </w:tcPr>
                <w:p w14:paraId="0D135C28">
                  <w:pPr>
                    <w:pStyle w:val="118"/>
                    <w:bidi w:val="0"/>
                    <w:ind w:firstLine="0" w:firstLineChars="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间歇</w:t>
                  </w:r>
                </w:p>
              </w:tc>
              <w:tc>
                <w:tcPr>
                  <w:tcW w:w="1904" w:type="pct"/>
                  <w:tcBorders>
                    <w:tl2br w:val="nil"/>
                    <w:tr2bl w:val="nil"/>
                  </w:tcBorders>
                  <w:noWrap w:val="0"/>
                  <w:vAlign w:val="center"/>
                </w:tcPr>
                <w:p w14:paraId="1F6107E2">
                  <w:pPr>
                    <w:pStyle w:val="118"/>
                    <w:bidi w:val="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kern w:val="0"/>
                      <w:sz w:val="21"/>
                      <w:szCs w:val="21"/>
                      <w:highlight w:val="none"/>
                      <w:lang w:val="en-US" w:eastAsia="zh-CN" w:bidi="ar"/>
                      <w14:textFill>
                        <w14:solidFill>
                          <w14:schemeClr w14:val="tx1"/>
                        </w14:solidFill>
                      </w14:textFill>
                    </w:rPr>
                    <w:t>通过</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罐车拉运至园区生产废水处理厂处理；</w:t>
                  </w:r>
                </w:p>
              </w:tc>
            </w:tr>
            <w:tr w14:paraId="7937B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390" w:type="pct"/>
                  <w:vMerge w:val="continue"/>
                  <w:tcBorders>
                    <w:tl2br w:val="nil"/>
                    <w:tr2bl w:val="nil"/>
                  </w:tcBorders>
                  <w:noWrap w:val="0"/>
                  <w:vAlign w:val="center"/>
                </w:tcPr>
                <w:p w14:paraId="22C5A03E">
                  <w:pPr>
                    <w:pStyle w:val="118"/>
                    <w:bidi w:val="0"/>
                    <w:rPr>
                      <w:rFonts w:hint="default" w:ascii="Times New Roman" w:hAnsi="Times New Roman" w:cs="Times New Roman"/>
                      <w:color w:val="000000" w:themeColor="text1"/>
                      <w:sz w:val="21"/>
                      <w:szCs w:val="21"/>
                      <w:highlight w:val="none"/>
                      <w14:textFill>
                        <w14:solidFill>
                          <w14:schemeClr w14:val="tx1"/>
                        </w14:solidFill>
                      </w14:textFill>
                    </w:rPr>
                  </w:pPr>
                </w:p>
              </w:tc>
              <w:tc>
                <w:tcPr>
                  <w:tcW w:w="787" w:type="pct"/>
                  <w:tcBorders>
                    <w:tl2br w:val="nil"/>
                    <w:tr2bl w:val="nil"/>
                  </w:tcBorders>
                  <w:noWrap w:val="0"/>
                  <w:vAlign w:val="center"/>
                </w:tcPr>
                <w:p w14:paraId="1AA8A302">
                  <w:pPr>
                    <w:pStyle w:val="118"/>
                    <w:bidi w:val="0"/>
                    <w:ind w:firstLine="0" w:firstLineChars="0"/>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循环冷却水</w:t>
                  </w:r>
                </w:p>
                <w:p w14:paraId="45598D81">
                  <w:pPr>
                    <w:pStyle w:val="118"/>
                    <w:bidi w:val="0"/>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系统</w:t>
                  </w:r>
                </w:p>
              </w:tc>
              <w:tc>
                <w:tcPr>
                  <w:tcW w:w="575" w:type="pct"/>
                  <w:tcBorders>
                    <w:tl2br w:val="nil"/>
                    <w:tr2bl w:val="nil"/>
                  </w:tcBorders>
                  <w:noWrap w:val="0"/>
                  <w:vAlign w:val="center"/>
                </w:tcPr>
                <w:p w14:paraId="7B5D39C7">
                  <w:pPr>
                    <w:pStyle w:val="118"/>
                    <w:bidi w:val="0"/>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W</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4</w:t>
                  </w:r>
                </w:p>
              </w:tc>
              <w:tc>
                <w:tcPr>
                  <w:tcW w:w="943" w:type="pct"/>
                  <w:tcBorders>
                    <w:tl2br w:val="nil"/>
                    <w:tr2bl w:val="nil"/>
                  </w:tcBorders>
                  <w:noWrap w:val="0"/>
                  <w:vAlign w:val="center"/>
                </w:tcPr>
                <w:p w14:paraId="5FC1AF53">
                  <w:pPr>
                    <w:pStyle w:val="118"/>
                    <w:bidi w:val="0"/>
                    <w:ind w:firstLine="0" w:firstLineChars="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lang w:eastAsia="zh-CN"/>
                      <w14:textFill>
                        <w14:solidFill>
                          <w14:schemeClr w14:val="tx1"/>
                        </w14:solidFill>
                      </w14:textFill>
                    </w:rPr>
                    <w:t>COD</w:t>
                  </w:r>
                  <w:r>
                    <w:rPr>
                      <w:rFonts w:hint="default" w:ascii="Times New Roman" w:hAnsi="Times New Roman" w:cs="Times New Roman"/>
                      <w:color w:val="000000" w:themeColor="text1"/>
                      <w:sz w:val="21"/>
                      <w:szCs w:val="21"/>
                      <w:highlight w:val="none"/>
                      <w14:textFill>
                        <w14:solidFill>
                          <w14:schemeClr w14:val="tx1"/>
                        </w14:solidFill>
                      </w14:textFill>
                    </w:rPr>
                    <w:t>、BOD</w:t>
                  </w:r>
                  <w:r>
                    <w:rPr>
                      <w:rFonts w:hint="default" w:ascii="Times New Roman" w:hAnsi="Times New Roman" w:cs="Times New Roman"/>
                      <w:color w:val="000000" w:themeColor="text1"/>
                      <w:sz w:val="21"/>
                      <w:szCs w:val="21"/>
                      <w:highlight w:val="none"/>
                      <w:vertAlign w:val="subscript"/>
                      <w14:textFill>
                        <w14:solidFill>
                          <w14:schemeClr w14:val="tx1"/>
                        </w14:solidFill>
                      </w14:textFill>
                    </w:rPr>
                    <w:t>5</w:t>
                  </w:r>
                  <w:r>
                    <w:rPr>
                      <w:rFonts w:hint="default" w:ascii="Times New Roman" w:hAnsi="Times New Roman" w:cs="Times New Roman"/>
                      <w:color w:val="000000" w:themeColor="text1"/>
                      <w:sz w:val="21"/>
                      <w:szCs w:val="21"/>
                      <w:highlight w:val="none"/>
                      <w14:textFill>
                        <w14:solidFill>
                          <w14:schemeClr w14:val="tx1"/>
                        </w14:solidFill>
                      </w14:textFill>
                    </w:rPr>
                    <w:t>、NH</w:t>
                  </w:r>
                  <w:r>
                    <w:rPr>
                      <w:rFonts w:hint="default" w:ascii="Times New Roman" w:hAnsi="Times New Roman" w:cs="Times New Roman"/>
                      <w:color w:val="000000" w:themeColor="text1"/>
                      <w:sz w:val="21"/>
                      <w:szCs w:val="21"/>
                      <w:highlight w:val="none"/>
                      <w:vertAlign w:val="subscript"/>
                      <w14:textFill>
                        <w14:solidFill>
                          <w14:schemeClr w14:val="tx1"/>
                        </w14:solidFill>
                      </w14:textFill>
                    </w:rPr>
                    <w:t>3</w:t>
                  </w:r>
                  <w:r>
                    <w:rPr>
                      <w:rFonts w:hint="default" w:ascii="Times New Roman" w:hAnsi="Times New Roman" w:cs="Times New Roman"/>
                      <w:color w:val="000000" w:themeColor="text1"/>
                      <w:sz w:val="21"/>
                      <w:szCs w:val="21"/>
                      <w:highlight w:val="none"/>
                      <w14:textFill>
                        <w14:solidFill>
                          <w14:schemeClr w14:val="tx1"/>
                        </w14:solidFill>
                      </w14:textFill>
                    </w:rPr>
                    <w:t>-N、</w:t>
                  </w:r>
                </w:p>
                <w:p w14:paraId="12D634C5">
                  <w:pPr>
                    <w:pStyle w:val="118"/>
                    <w:bidi w:val="0"/>
                    <w:ind w:firstLine="0" w:firstLineChars="0"/>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SS等</w:t>
                  </w:r>
                </w:p>
              </w:tc>
              <w:tc>
                <w:tcPr>
                  <w:tcW w:w="400" w:type="pct"/>
                  <w:tcBorders>
                    <w:tl2br w:val="nil"/>
                    <w:tr2bl w:val="nil"/>
                  </w:tcBorders>
                  <w:noWrap w:val="0"/>
                  <w:vAlign w:val="center"/>
                </w:tcPr>
                <w:p w14:paraId="0CE54FC8">
                  <w:pPr>
                    <w:pStyle w:val="118"/>
                    <w:bidi w:val="0"/>
                    <w:ind w:firstLine="0" w:firstLineChars="0"/>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间歇</w:t>
                  </w:r>
                </w:p>
              </w:tc>
              <w:tc>
                <w:tcPr>
                  <w:tcW w:w="1904" w:type="pct"/>
                  <w:tcBorders>
                    <w:tl2br w:val="nil"/>
                    <w:tr2bl w:val="nil"/>
                  </w:tcBorders>
                  <w:noWrap w:val="0"/>
                  <w:vAlign w:val="center"/>
                </w:tcPr>
                <w:p w14:paraId="26EE2FA9">
                  <w:pPr>
                    <w:pStyle w:val="118"/>
                    <w:bidi w:val="0"/>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通过罐车拉运至园区污水处理厂处理</w:t>
                  </w:r>
                </w:p>
              </w:tc>
            </w:tr>
            <w:tr w14:paraId="56F0B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390" w:type="pct"/>
                  <w:vMerge w:val="continue"/>
                  <w:tcBorders>
                    <w:tl2br w:val="nil"/>
                    <w:tr2bl w:val="nil"/>
                  </w:tcBorders>
                  <w:noWrap w:val="0"/>
                  <w:vAlign w:val="center"/>
                </w:tcPr>
                <w:p w14:paraId="11F46E6A">
                  <w:pPr>
                    <w:pStyle w:val="118"/>
                    <w:bidi w:val="0"/>
                    <w:rPr>
                      <w:rFonts w:hint="default" w:ascii="Times New Roman" w:hAnsi="Times New Roman" w:cs="Times New Roman"/>
                      <w:color w:val="000000" w:themeColor="text1"/>
                      <w:sz w:val="21"/>
                      <w:szCs w:val="21"/>
                      <w:highlight w:val="none"/>
                      <w14:textFill>
                        <w14:solidFill>
                          <w14:schemeClr w14:val="tx1"/>
                        </w14:solidFill>
                      </w14:textFill>
                    </w:rPr>
                  </w:pPr>
                </w:p>
              </w:tc>
              <w:tc>
                <w:tcPr>
                  <w:tcW w:w="787" w:type="pct"/>
                  <w:tcBorders>
                    <w:tl2br w:val="nil"/>
                    <w:tr2bl w:val="nil"/>
                  </w:tcBorders>
                  <w:noWrap w:val="0"/>
                  <w:vAlign w:val="center"/>
                </w:tcPr>
                <w:p w14:paraId="66B30098">
                  <w:pPr>
                    <w:pStyle w:val="118"/>
                    <w:bidi w:val="0"/>
                    <w:ind w:firstLine="0" w:firstLineChars="0"/>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职工生活</w:t>
                  </w:r>
                </w:p>
              </w:tc>
              <w:tc>
                <w:tcPr>
                  <w:tcW w:w="575" w:type="pct"/>
                  <w:tcBorders>
                    <w:tl2br w:val="nil"/>
                    <w:tr2bl w:val="nil"/>
                  </w:tcBorders>
                  <w:noWrap w:val="0"/>
                  <w:vAlign w:val="center"/>
                </w:tcPr>
                <w:p w14:paraId="2F6AEE93">
                  <w:pPr>
                    <w:pStyle w:val="118"/>
                    <w:bidi w:val="0"/>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W</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5</w:t>
                  </w:r>
                </w:p>
              </w:tc>
              <w:tc>
                <w:tcPr>
                  <w:tcW w:w="943" w:type="pct"/>
                  <w:tcBorders>
                    <w:tl2br w:val="nil"/>
                    <w:tr2bl w:val="nil"/>
                  </w:tcBorders>
                  <w:noWrap w:val="0"/>
                  <w:vAlign w:val="center"/>
                </w:tcPr>
                <w:p w14:paraId="153F12B2">
                  <w:pPr>
                    <w:pStyle w:val="118"/>
                    <w:bidi w:val="0"/>
                    <w:ind w:firstLine="0" w:firstLineChars="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lang w:eastAsia="zh-CN"/>
                      <w14:textFill>
                        <w14:solidFill>
                          <w14:schemeClr w14:val="tx1"/>
                        </w14:solidFill>
                      </w14:textFill>
                    </w:rPr>
                    <w:t>COD</w:t>
                  </w:r>
                  <w:r>
                    <w:rPr>
                      <w:rFonts w:hint="default" w:ascii="Times New Roman" w:hAnsi="Times New Roman" w:cs="Times New Roman"/>
                      <w:color w:val="000000" w:themeColor="text1"/>
                      <w:sz w:val="21"/>
                      <w:szCs w:val="21"/>
                      <w:highlight w:val="none"/>
                      <w14:textFill>
                        <w14:solidFill>
                          <w14:schemeClr w14:val="tx1"/>
                        </w14:solidFill>
                      </w14:textFill>
                    </w:rPr>
                    <w:t>、BOD</w:t>
                  </w:r>
                  <w:r>
                    <w:rPr>
                      <w:rFonts w:hint="default" w:ascii="Times New Roman" w:hAnsi="Times New Roman" w:cs="Times New Roman"/>
                      <w:color w:val="000000" w:themeColor="text1"/>
                      <w:sz w:val="21"/>
                      <w:szCs w:val="21"/>
                      <w:highlight w:val="none"/>
                      <w:vertAlign w:val="subscript"/>
                      <w14:textFill>
                        <w14:solidFill>
                          <w14:schemeClr w14:val="tx1"/>
                        </w14:solidFill>
                      </w14:textFill>
                    </w:rPr>
                    <w:t>5</w:t>
                  </w:r>
                  <w:r>
                    <w:rPr>
                      <w:rFonts w:hint="default" w:ascii="Times New Roman" w:hAnsi="Times New Roman" w:cs="Times New Roman"/>
                      <w:color w:val="000000" w:themeColor="text1"/>
                      <w:sz w:val="21"/>
                      <w:szCs w:val="21"/>
                      <w:highlight w:val="none"/>
                      <w14:textFill>
                        <w14:solidFill>
                          <w14:schemeClr w14:val="tx1"/>
                        </w14:solidFill>
                      </w14:textFill>
                    </w:rPr>
                    <w:t>、NH</w:t>
                  </w:r>
                  <w:r>
                    <w:rPr>
                      <w:rFonts w:hint="default" w:ascii="Times New Roman" w:hAnsi="Times New Roman" w:cs="Times New Roman"/>
                      <w:color w:val="000000" w:themeColor="text1"/>
                      <w:sz w:val="21"/>
                      <w:szCs w:val="21"/>
                      <w:highlight w:val="none"/>
                      <w:vertAlign w:val="subscript"/>
                      <w14:textFill>
                        <w14:solidFill>
                          <w14:schemeClr w14:val="tx1"/>
                        </w14:solidFill>
                      </w14:textFill>
                    </w:rPr>
                    <w:t>3</w:t>
                  </w:r>
                  <w:r>
                    <w:rPr>
                      <w:rFonts w:hint="default" w:ascii="Times New Roman" w:hAnsi="Times New Roman" w:cs="Times New Roman"/>
                      <w:color w:val="000000" w:themeColor="text1"/>
                      <w:sz w:val="21"/>
                      <w:szCs w:val="21"/>
                      <w:highlight w:val="none"/>
                      <w14:textFill>
                        <w14:solidFill>
                          <w14:schemeClr w14:val="tx1"/>
                        </w14:solidFill>
                      </w14:textFill>
                    </w:rPr>
                    <w:t>-N、</w:t>
                  </w:r>
                </w:p>
                <w:p w14:paraId="4FC7AB5E">
                  <w:pPr>
                    <w:pStyle w:val="118"/>
                    <w:bidi w:val="0"/>
                    <w:ind w:firstLine="0" w:firstLineChars="0"/>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SS等</w:t>
                  </w:r>
                </w:p>
              </w:tc>
              <w:tc>
                <w:tcPr>
                  <w:tcW w:w="400" w:type="pct"/>
                  <w:tcBorders>
                    <w:tl2br w:val="nil"/>
                    <w:tr2bl w:val="nil"/>
                  </w:tcBorders>
                  <w:noWrap w:val="0"/>
                  <w:vAlign w:val="center"/>
                </w:tcPr>
                <w:p w14:paraId="4A8E948D">
                  <w:pPr>
                    <w:pStyle w:val="118"/>
                    <w:bidi w:val="0"/>
                    <w:ind w:firstLine="0" w:firstLineChars="0"/>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连续</w:t>
                  </w:r>
                </w:p>
              </w:tc>
              <w:tc>
                <w:tcPr>
                  <w:tcW w:w="1904" w:type="pct"/>
                  <w:tcBorders>
                    <w:tl2br w:val="nil"/>
                    <w:tr2bl w:val="nil"/>
                  </w:tcBorders>
                  <w:noWrap w:val="0"/>
                  <w:vAlign w:val="center"/>
                </w:tcPr>
                <w:p w14:paraId="7F957228">
                  <w:pPr>
                    <w:pStyle w:val="118"/>
                    <w:bidi w:val="0"/>
                    <w:ind w:firstLine="0" w:firstLineChars="0"/>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生活污水经</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防渗</w:t>
                  </w:r>
                  <w:r>
                    <w:rPr>
                      <w:rFonts w:hint="default" w:ascii="Times New Roman" w:hAnsi="Times New Roman" w:cs="Times New Roman"/>
                      <w:color w:val="000000" w:themeColor="text1"/>
                      <w:sz w:val="21"/>
                      <w:szCs w:val="21"/>
                      <w:highlight w:val="none"/>
                      <w14:textFill>
                        <w14:solidFill>
                          <w14:schemeClr w14:val="tx1"/>
                        </w14:solidFill>
                      </w14:textFill>
                    </w:rPr>
                    <w:t>化粪池处理后由</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罐车拉运至园区</w:t>
                  </w:r>
                  <w:r>
                    <w:rPr>
                      <w:rFonts w:hint="default" w:ascii="Times New Roman" w:hAnsi="Times New Roman" w:cs="Times New Roman"/>
                      <w:color w:val="000000" w:themeColor="text1"/>
                      <w:sz w:val="21"/>
                      <w:szCs w:val="21"/>
                      <w:highlight w:val="none"/>
                      <w:lang w:eastAsia="zh-CN"/>
                      <w14:textFill>
                        <w14:solidFill>
                          <w14:schemeClr w14:val="tx1"/>
                        </w14:solidFill>
                      </w14:textFill>
                    </w:rPr>
                    <w:t>污水处理厂</w:t>
                  </w:r>
                </w:p>
              </w:tc>
            </w:tr>
            <w:tr w14:paraId="38EFE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noWrap w:val="0"/>
                  <w:vAlign w:val="center"/>
                </w:tcPr>
                <w:p w14:paraId="57266ED5">
                  <w:pPr>
                    <w:pStyle w:val="118"/>
                    <w:bidi w:val="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噪声</w:t>
                  </w:r>
                </w:p>
              </w:tc>
              <w:tc>
                <w:tcPr>
                  <w:tcW w:w="787" w:type="pct"/>
                  <w:tcBorders>
                    <w:tl2br w:val="nil"/>
                    <w:tr2bl w:val="nil"/>
                  </w:tcBorders>
                  <w:noWrap w:val="0"/>
                  <w:vAlign w:val="center"/>
                </w:tcPr>
                <w:p w14:paraId="587E34CF">
                  <w:pPr>
                    <w:pStyle w:val="118"/>
                    <w:bidi w:val="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机械噪声</w:t>
                  </w:r>
                </w:p>
              </w:tc>
              <w:tc>
                <w:tcPr>
                  <w:tcW w:w="575" w:type="pct"/>
                  <w:tcBorders>
                    <w:tl2br w:val="nil"/>
                    <w:tr2bl w:val="nil"/>
                  </w:tcBorders>
                  <w:noWrap w:val="0"/>
                  <w:vAlign w:val="center"/>
                </w:tcPr>
                <w:p w14:paraId="1135625E">
                  <w:pPr>
                    <w:pStyle w:val="118"/>
                    <w:bidi w:val="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N</w:t>
                  </w:r>
                </w:p>
              </w:tc>
              <w:tc>
                <w:tcPr>
                  <w:tcW w:w="943" w:type="pct"/>
                  <w:tcBorders>
                    <w:tl2br w:val="nil"/>
                    <w:tr2bl w:val="nil"/>
                  </w:tcBorders>
                  <w:noWrap w:val="0"/>
                  <w:vAlign w:val="center"/>
                </w:tcPr>
                <w:p w14:paraId="0C251657">
                  <w:pPr>
                    <w:pStyle w:val="118"/>
                    <w:bidi w:val="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LeqA</w:t>
                  </w:r>
                </w:p>
              </w:tc>
              <w:tc>
                <w:tcPr>
                  <w:tcW w:w="400" w:type="pct"/>
                  <w:tcBorders>
                    <w:tl2br w:val="nil"/>
                    <w:tr2bl w:val="nil"/>
                  </w:tcBorders>
                  <w:noWrap w:val="0"/>
                  <w:vAlign w:val="center"/>
                </w:tcPr>
                <w:p w14:paraId="10D3A808">
                  <w:pPr>
                    <w:pStyle w:val="118"/>
                    <w:bidi w:val="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间歇</w:t>
                  </w:r>
                </w:p>
              </w:tc>
              <w:tc>
                <w:tcPr>
                  <w:tcW w:w="1904" w:type="pct"/>
                  <w:tcBorders>
                    <w:tl2br w:val="nil"/>
                    <w:tr2bl w:val="nil"/>
                  </w:tcBorders>
                  <w:noWrap w:val="0"/>
                  <w:vAlign w:val="center"/>
                </w:tcPr>
                <w:p w14:paraId="4D576687">
                  <w:pPr>
                    <w:pStyle w:val="118"/>
                    <w:bidi w:val="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隔声、减振</w:t>
                  </w:r>
                </w:p>
              </w:tc>
            </w:tr>
            <w:tr w14:paraId="75E11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390" w:type="pct"/>
                  <w:vMerge w:val="restart"/>
                  <w:tcBorders>
                    <w:tl2br w:val="nil"/>
                    <w:tr2bl w:val="nil"/>
                  </w:tcBorders>
                  <w:noWrap w:val="0"/>
                  <w:vAlign w:val="center"/>
                </w:tcPr>
                <w:p w14:paraId="4A8D07B1">
                  <w:pPr>
                    <w:pStyle w:val="118"/>
                    <w:bidi w:val="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固体</w:t>
                  </w:r>
                </w:p>
                <w:p w14:paraId="4A8445C6">
                  <w:pPr>
                    <w:pStyle w:val="118"/>
                    <w:bidi w:val="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废物</w:t>
                  </w:r>
                </w:p>
              </w:tc>
              <w:tc>
                <w:tcPr>
                  <w:tcW w:w="787" w:type="pct"/>
                  <w:vMerge w:val="restart"/>
                  <w:tcBorders>
                    <w:tl2br w:val="nil"/>
                    <w:tr2bl w:val="nil"/>
                  </w:tcBorders>
                  <w:noWrap w:val="0"/>
                  <w:vAlign w:val="center"/>
                </w:tcPr>
                <w:p w14:paraId="3F07A9E1">
                  <w:pPr>
                    <w:pStyle w:val="118"/>
                    <w:bidi w:val="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一般固废</w:t>
                  </w:r>
                </w:p>
              </w:tc>
              <w:tc>
                <w:tcPr>
                  <w:tcW w:w="575" w:type="pct"/>
                  <w:tcBorders>
                    <w:tl2br w:val="nil"/>
                    <w:tr2bl w:val="nil"/>
                  </w:tcBorders>
                  <w:noWrap w:val="0"/>
                  <w:vAlign w:val="center"/>
                </w:tcPr>
                <w:p w14:paraId="4BF9B438">
                  <w:pPr>
                    <w:pStyle w:val="118"/>
                    <w:bidi w:val="0"/>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S</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1</w:t>
                  </w:r>
                </w:p>
              </w:tc>
              <w:tc>
                <w:tcPr>
                  <w:tcW w:w="943" w:type="pct"/>
                  <w:tcBorders>
                    <w:tl2br w:val="nil"/>
                    <w:tr2bl w:val="nil"/>
                  </w:tcBorders>
                  <w:noWrap w:val="0"/>
                  <w:vAlign w:val="center"/>
                </w:tcPr>
                <w:p w14:paraId="4987A2E4">
                  <w:pPr>
                    <w:pStyle w:val="118"/>
                    <w:bidi w:val="0"/>
                    <w:ind w:firstLine="0" w:firstLineChars="0"/>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除尘灰</w:t>
                  </w:r>
                </w:p>
              </w:tc>
              <w:tc>
                <w:tcPr>
                  <w:tcW w:w="400" w:type="pct"/>
                  <w:tcBorders>
                    <w:tl2br w:val="nil"/>
                    <w:tr2bl w:val="nil"/>
                  </w:tcBorders>
                  <w:noWrap w:val="0"/>
                  <w:vAlign w:val="center"/>
                </w:tcPr>
                <w:p w14:paraId="061C2E32">
                  <w:pPr>
                    <w:pStyle w:val="118"/>
                    <w:bidi w:val="0"/>
                    <w:ind w:firstLine="0" w:firstLineChars="0"/>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连续</w:t>
                  </w:r>
                </w:p>
              </w:tc>
              <w:tc>
                <w:tcPr>
                  <w:tcW w:w="1904" w:type="pct"/>
                  <w:tcBorders>
                    <w:tl2br w:val="nil"/>
                    <w:tr2bl w:val="nil"/>
                  </w:tcBorders>
                  <w:noWrap w:val="0"/>
                  <w:vAlign w:val="center"/>
                </w:tcPr>
                <w:p w14:paraId="03F2B301">
                  <w:pPr>
                    <w:pStyle w:val="118"/>
                    <w:bidi w:val="0"/>
                    <w:ind w:firstLine="0" w:firstLineChars="0"/>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集中收集于全封闭原料库内的废弃料存放区域后</w:t>
                  </w:r>
                </w:p>
              </w:tc>
            </w:tr>
            <w:tr w14:paraId="465E6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390" w:type="pct"/>
                  <w:vMerge w:val="continue"/>
                  <w:tcBorders>
                    <w:tl2br w:val="nil"/>
                    <w:tr2bl w:val="nil"/>
                  </w:tcBorders>
                  <w:noWrap w:val="0"/>
                  <w:vAlign w:val="center"/>
                </w:tcPr>
                <w:p w14:paraId="70EA0688">
                  <w:pPr>
                    <w:pStyle w:val="118"/>
                    <w:bidi w:val="0"/>
                    <w:rPr>
                      <w:rFonts w:hint="default" w:ascii="Times New Roman" w:hAnsi="Times New Roman" w:cs="Times New Roman"/>
                      <w:color w:val="000000" w:themeColor="text1"/>
                      <w:sz w:val="21"/>
                      <w:szCs w:val="21"/>
                      <w:highlight w:val="none"/>
                      <w14:textFill>
                        <w14:solidFill>
                          <w14:schemeClr w14:val="tx1"/>
                        </w14:solidFill>
                      </w14:textFill>
                    </w:rPr>
                  </w:pPr>
                </w:p>
              </w:tc>
              <w:tc>
                <w:tcPr>
                  <w:tcW w:w="787" w:type="pct"/>
                  <w:vMerge w:val="continue"/>
                  <w:tcBorders>
                    <w:tl2br w:val="nil"/>
                    <w:tr2bl w:val="nil"/>
                  </w:tcBorders>
                  <w:noWrap w:val="0"/>
                  <w:vAlign w:val="center"/>
                </w:tcPr>
                <w:p w14:paraId="5FA2F84C">
                  <w:pPr>
                    <w:pStyle w:val="118"/>
                    <w:bidi w:val="0"/>
                    <w:rPr>
                      <w:rFonts w:hint="default" w:ascii="Times New Roman" w:hAnsi="Times New Roman" w:cs="Times New Roman"/>
                      <w:color w:val="000000" w:themeColor="text1"/>
                      <w:sz w:val="21"/>
                      <w:szCs w:val="21"/>
                      <w:highlight w:val="none"/>
                      <w14:textFill>
                        <w14:solidFill>
                          <w14:schemeClr w14:val="tx1"/>
                        </w14:solidFill>
                      </w14:textFill>
                    </w:rPr>
                  </w:pPr>
                </w:p>
              </w:tc>
              <w:tc>
                <w:tcPr>
                  <w:tcW w:w="575" w:type="pct"/>
                  <w:tcBorders>
                    <w:tl2br w:val="nil"/>
                    <w:tr2bl w:val="nil"/>
                  </w:tcBorders>
                  <w:noWrap w:val="0"/>
                  <w:vAlign w:val="center"/>
                </w:tcPr>
                <w:p w14:paraId="7CBA8E1E">
                  <w:pPr>
                    <w:pStyle w:val="118"/>
                    <w:bidi w:val="0"/>
                    <w:ind w:firstLine="0" w:firstLineChars="0"/>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S</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2</w:t>
                  </w:r>
                </w:p>
              </w:tc>
              <w:tc>
                <w:tcPr>
                  <w:tcW w:w="943" w:type="pct"/>
                  <w:tcBorders>
                    <w:tl2br w:val="nil"/>
                    <w:tr2bl w:val="nil"/>
                  </w:tcBorders>
                  <w:noWrap w:val="0"/>
                  <w:vAlign w:val="center"/>
                </w:tcPr>
                <w:p w14:paraId="6F0541BC">
                  <w:pPr>
                    <w:pStyle w:val="118"/>
                    <w:bidi w:val="0"/>
                    <w:ind w:firstLine="0" w:firstLineChars="0"/>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脱硫石膏</w:t>
                  </w:r>
                </w:p>
              </w:tc>
              <w:tc>
                <w:tcPr>
                  <w:tcW w:w="400" w:type="pct"/>
                  <w:tcBorders>
                    <w:tl2br w:val="nil"/>
                    <w:tr2bl w:val="nil"/>
                  </w:tcBorders>
                  <w:noWrap w:val="0"/>
                  <w:vAlign w:val="center"/>
                </w:tcPr>
                <w:p w14:paraId="6E6A9110">
                  <w:pPr>
                    <w:pStyle w:val="118"/>
                    <w:bidi w:val="0"/>
                    <w:ind w:firstLine="0" w:firstLineChars="0"/>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间歇</w:t>
                  </w:r>
                </w:p>
              </w:tc>
              <w:tc>
                <w:tcPr>
                  <w:tcW w:w="1904" w:type="pct"/>
                  <w:tcBorders>
                    <w:tl2br w:val="nil"/>
                    <w:tr2bl w:val="nil"/>
                  </w:tcBorders>
                  <w:noWrap w:val="0"/>
                  <w:vAlign w:val="center"/>
                </w:tcPr>
                <w:p w14:paraId="5AA2DAAE">
                  <w:pPr>
                    <w:pStyle w:val="118"/>
                    <w:bidi w:val="0"/>
                    <w:ind w:firstLine="0" w:firstLineChars="0"/>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暂存，外售综合利用</w:t>
                  </w:r>
                </w:p>
              </w:tc>
            </w:tr>
            <w:tr w14:paraId="7E03E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 w:hRule="atLeast"/>
                <w:jc w:val="center"/>
              </w:trPr>
              <w:tc>
                <w:tcPr>
                  <w:tcW w:w="390" w:type="pct"/>
                  <w:vMerge w:val="continue"/>
                  <w:tcBorders>
                    <w:tl2br w:val="nil"/>
                    <w:tr2bl w:val="nil"/>
                  </w:tcBorders>
                  <w:noWrap w:val="0"/>
                  <w:vAlign w:val="center"/>
                </w:tcPr>
                <w:p w14:paraId="4B567566">
                  <w:pPr>
                    <w:pStyle w:val="118"/>
                    <w:bidi w:val="0"/>
                    <w:rPr>
                      <w:rFonts w:hint="default" w:ascii="Times New Roman" w:hAnsi="Times New Roman" w:cs="Times New Roman"/>
                      <w:color w:val="000000" w:themeColor="text1"/>
                      <w:sz w:val="21"/>
                      <w:szCs w:val="21"/>
                      <w:highlight w:val="none"/>
                      <w14:textFill>
                        <w14:solidFill>
                          <w14:schemeClr w14:val="tx1"/>
                        </w14:solidFill>
                      </w14:textFill>
                    </w:rPr>
                  </w:pPr>
                </w:p>
              </w:tc>
              <w:tc>
                <w:tcPr>
                  <w:tcW w:w="787" w:type="pct"/>
                  <w:vMerge w:val="continue"/>
                  <w:tcBorders>
                    <w:tl2br w:val="nil"/>
                    <w:tr2bl w:val="nil"/>
                  </w:tcBorders>
                  <w:noWrap w:val="0"/>
                  <w:vAlign w:val="center"/>
                </w:tcPr>
                <w:p w14:paraId="27E512B6">
                  <w:pPr>
                    <w:pStyle w:val="118"/>
                    <w:bidi w:val="0"/>
                    <w:rPr>
                      <w:rFonts w:hint="default" w:ascii="Times New Roman" w:hAnsi="Times New Roman" w:cs="Times New Roman"/>
                      <w:color w:val="000000" w:themeColor="text1"/>
                      <w:sz w:val="21"/>
                      <w:szCs w:val="21"/>
                      <w:highlight w:val="none"/>
                      <w14:textFill>
                        <w14:solidFill>
                          <w14:schemeClr w14:val="tx1"/>
                        </w14:solidFill>
                      </w14:textFill>
                    </w:rPr>
                  </w:pPr>
                </w:p>
              </w:tc>
              <w:tc>
                <w:tcPr>
                  <w:tcW w:w="575" w:type="pct"/>
                  <w:tcBorders>
                    <w:tl2br w:val="nil"/>
                    <w:tr2bl w:val="nil"/>
                  </w:tcBorders>
                  <w:noWrap w:val="0"/>
                  <w:vAlign w:val="center"/>
                </w:tcPr>
                <w:p w14:paraId="2DDCDA4D">
                  <w:pPr>
                    <w:pStyle w:val="118"/>
                    <w:bidi w:val="0"/>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S</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4</w:t>
                  </w:r>
                </w:p>
              </w:tc>
              <w:tc>
                <w:tcPr>
                  <w:tcW w:w="943" w:type="pct"/>
                  <w:tcBorders>
                    <w:tl2br w:val="nil"/>
                    <w:tr2bl w:val="nil"/>
                  </w:tcBorders>
                  <w:noWrap w:val="0"/>
                  <w:vAlign w:val="center"/>
                </w:tcPr>
                <w:p w14:paraId="51D4042B">
                  <w:pPr>
                    <w:pStyle w:val="118"/>
                    <w:bidi w:val="0"/>
                    <w:ind w:firstLine="0" w:firstLineChars="0"/>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t>不合格品</w:t>
                  </w:r>
                </w:p>
                <w:p w14:paraId="52FCA693">
                  <w:pPr>
                    <w:pStyle w:val="118"/>
                    <w:bidi w:val="0"/>
                    <w:ind w:firstLine="0" w:firstLineChars="0"/>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t>（黄料）</w:t>
                  </w:r>
                </w:p>
              </w:tc>
              <w:tc>
                <w:tcPr>
                  <w:tcW w:w="400" w:type="pct"/>
                  <w:tcBorders>
                    <w:tl2br w:val="nil"/>
                    <w:tr2bl w:val="nil"/>
                  </w:tcBorders>
                  <w:noWrap w:val="0"/>
                  <w:vAlign w:val="center"/>
                </w:tcPr>
                <w:p w14:paraId="7EF30ABB">
                  <w:pPr>
                    <w:pStyle w:val="118"/>
                    <w:bidi w:val="0"/>
                    <w:ind w:firstLine="0" w:firstLineChars="0"/>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t>间断</w:t>
                  </w:r>
                </w:p>
              </w:tc>
              <w:tc>
                <w:tcPr>
                  <w:tcW w:w="1904" w:type="pct"/>
                  <w:tcBorders>
                    <w:tl2br w:val="nil"/>
                    <w:tr2bl w:val="nil"/>
                  </w:tcBorders>
                  <w:noWrap w:val="0"/>
                  <w:vAlign w:val="center"/>
                </w:tcPr>
                <w:p w14:paraId="34027A1C">
                  <w:pPr>
                    <w:pStyle w:val="118"/>
                    <w:bidi w:val="0"/>
                    <w:ind w:firstLine="0" w:firstLineChars="0"/>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t>气力输送至黄料仓暂存，定期外售综合利用</w:t>
                  </w:r>
                </w:p>
              </w:tc>
            </w:tr>
            <w:tr w14:paraId="119BB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 w:hRule="atLeast"/>
                <w:jc w:val="center"/>
              </w:trPr>
              <w:tc>
                <w:tcPr>
                  <w:tcW w:w="390" w:type="pct"/>
                  <w:vMerge w:val="continue"/>
                  <w:tcBorders>
                    <w:tl2br w:val="nil"/>
                    <w:tr2bl w:val="nil"/>
                  </w:tcBorders>
                  <w:noWrap w:val="0"/>
                  <w:vAlign w:val="center"/>
                </w:tcPr>
                <w:p w14:paraId="1BA5A62C">
                  <w:pPr>
                    <w:pStyle w:val="118"/>
                    <w:bidi w:val="0"/>
                    <w:rPr>
                      <w:rFonts w:hint="default" w:ascii="Times New Roman" w:hAnsi="Times New Roman" w:cs="Times New Roman"/>
                      <w:color w:val="000000" w:themeColor="text1"/>
                      <w:sz w:val="21"/>
                      <w:szCs w:val="21"/>
                      <w:highlight w:val="none"/>
                      <w14:textFill>
                        <w14:solidFill>
                          <w14:schemeClr w14:val="tx1"/>
                        </w14:solidFill>
                      </w14:textFill>
                    </w:rPr>
                  </w:pPr>
                </w:p>
              </w:tc>
              <w:tc>
                <w:tcPr>
                  <w:tcW w:w="787" w:type="pct"/>
                  <w:vMerge w:val="continue"/>
                  <w:tcBorders>
                    <w:tl2br w:val="nil"/>
                    <w:tr2bl w:val="nil"/>
                  </w:tcBorders>
                  <w:noWrap w:val="0"/>
                  <w:vAlign w:val="center"/>
                </w:tcPr>
                <w:p w14:paraId="61923576">
                  <w:pPr>
                    <w:pStyle w:val="118"/>
                    <w:bidi w:val="0"/>
                    <w:rPr>
                      <w:rFonts w:hint="default" w:ascii="Times New Roman" w:hAnsi="Times New Roman" w:cs="Times New Roman"/>
                      <w:color w:val="000000" w:themeColor="text1"/>
                      <w:sz w:val="21"/>
                      <w:szCs w:val="21"/>
                      <w:highlight w:val="none"/>
                      <w14:textFill>
                        <w14:solidFill>
                          <w14:schemeClr w14:val="tx1"/>
                        </w14:solidFill>
                      </w14:textFill>
                    </w:rPr>
                  </w:pPr>
                </w:p>
              </w:tc>
              <w:tc>
                <w:tcPr>
                  <w:tcW w:w="575" w:type="pct"/>
                  <w:tcBorders>
                    <w:tl2br w:val="nil"/>
                    <w:tr2bl w:val="nil"/>
                  </w:tcBorders>
                  <w:noWrap w:val="0"/>
                  <w:vAlign w:val="center"/>
                </w:tcPr>
                <w:p w14:paraId="0DDCD0AB">
                  <w:pPr>
                    <w:pStyle w:val="118"/>
                    <w:bidi w:val="0"/>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S</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5</w:t>
                  </w:r>
                </w:p>
              </w:tc>
              <w:tc>
                <w:tcPr>
                  <w:tcW w:w="943" w:type="pct"/>
                  <w:tcBorders>
                    <w:tl2br w:val="nil"/>
                    <w:tr2bl w:val="nil"/>
                  </w:tcBorders>
                  <w:noWrap w:val="0"/>
                  <w:vAlign w:val="center"/>
                </w:tcPr>
                <w:p w14:paraId="3288A018">
                  <w:pPr>
                    <w:pStyle w:val="118"/>
                    <w:bidi w:val="0"/>
                    <w:ind w:firstLine="0" w:firstLineChars="0"/>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t>软水制备废滤芯</w:t>
                  </w:r>
                </w:p>
              </w:tc>
              <w:tc>
                <w:tcPr>
                  <w:tcW w:w="400" w:type="pct"/>
                  <w:tcBorders>
                    <w:tl2br w:val="nil"/>
                    <w:tr2bl w:val="nil"/>
                  </w:tcBorders>
                  <w:noWrap w:val="0"/>
                  <w:vAlign w:val="center"/>
                </w:tcPr>
                <w:p w14:paraId="479769E6">
                  <w:pPr>
                    <w:pStyle w:val="118"/>
                    <w:bidi w:val="0"/>
                    <w:ind w:firstLine="0" w:firstLineChars="0"/>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t>间断</w:t>
                  </w:r>
                </w:p>
              </w:tc>
              <w:tc>
                <w:tcPr>
                  <w:tcW w:w="1904" w:type="pct"/>
                  <w:tcBorders>
                    <w:tl2br w:val="nil"/>
                    <w:tr2bl w:val="nil"/>
                  </w:tcBorders>
                  <w:noWrap w:val="0"/>
                  <w:vAlign w:val="center"/>
                </w:tcPr>
                <w:p w14:paraId="60C485BF">
                  <w:pPr>
                    <w:pStyle w:val="118"/>
                    <w:bidi w:val="0"/>
                    <w:ind w:firstLine="0" w:firstLineChars="0"/>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kern w:val="0"/>
                      <w:szCs w:val="21"/>
                      <w:highlight w:val="none"/>
                      <w:lang w:val="en-US" w:eastAsia="zh-CN"/>
                      <w14:textFill>
                        <w14:solidFill>
                          <w14:schemeClr w14:val="tx1"/>
                        </w14:solidFill>
                      </w14:textFill>
                    </w:rPr>
                    <w:t>一般固废库暂存，定期送综合利用</w:t>
                  </w:r>
                </w:p>
              </w:tc>
            </w:tr>
            <w:tr w14:paraId="03637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 w:hRule="atLeast"/>
                <w:jc w:val="center"/>
              </w:trPr>
              <w:tc>
                <w:tcPr>
                  <w:tcW w:w="390" w:type="pct"/>
                  <w:vMerge w:val="continue"/>
                  <w:tcBorders>
                    <w:tl2br w:val="nil"/>
                    <w:tr2bl w:val="nil"/>
                  </w:tcBorders>
                  <w:noWrap w:val="0"/>
                  <w:vAlign w:val="center"/>
                </w:tcPr>
                <w:p w14:paraId="26AC61E8">
                  <w:pPr>
                    <w:pStyle w:val="118"/>
                    <w:bidi w:val="0"/>
                    <w:rPr>
                      <w:rFonts w:hint="default" w:ascii="Times New Roman" w:hAnsi="Times New Roman" w:cs="Times New Roman"/>
                      <w:color w:val="000000" w:themeColor="text1"/>
                      <w:sz w:val="21"/>
                      <w:szCs w:val="21"/>
                      <w:highlight w:val="none"/>
                      <w14:textFill>
                        <w14:solidFill>
                          <w14:schemeClr w14:val="tx1"/>
                        </w14:solidFill>
                      </w14:textFill>
                    </w:rPr>
                  </w:pPr>
                </w:p>
              </w:tc>
              <w:tc>
                <w:tcPr>
                  <w:tcW w:w="787" w:type="pct"/>
                  <w:vMerge w:val="continue"/>
                  <w:tcBorders>
                    <w:tl2br w:val="nil"/>
                    <w:tr2bl w:val="nil"/>
                  </w:tcBorders>
                  <w:noWrap w:val="0"/>
                  <w:vAlign w:val="center"/>
                </w:tcPr>
                <w:p w14:paraId="1CA18133">
                  <w:pPr>
                    <w:pStyle w:val="118"/>
                    <w:bidi w:val="0"/>
                    <w:rPr>
                      <w:rFonts w:hint="default" w:ascii="Times New Roman" w:hAnsi="Times New Roman" w:cs="Times New Roman"/>
                      <w:color w:val="000000" w:themeColor="text1"/>
                      <w:sz w:val="21"/>
                      <w:szCs w:val="21"/>
                      <w:highlight w:val="none"/>
                      <w14:textFill>
                        <w14:solidFill>
                          <w14:schemeClr w14:val="tx1"/>
                        </w14:solidFill>
                      </w14:textFill>
                    </w:rPr>
                  </w:pPr>
                </w:p>
              </w:tc>
              <w:tc>
                <w:tcPr>
                  <w:tcW w:w="575" w:type="pct"/>
                  <w:tcBorders>
                    <w:tl2br w:val="nil"/>
                    <w:tr2bl w:val="nil"/>
                  </w:tcBorders>
                  <w:noWrap w:val="0"/>
                  <w:vAlign w:val="center"/>
                </w:tcPr>
                <w:p w14:paraId="1CA3B2D8">
                  <w:pPr>
                    <w:pStyle w:val="118"/>
                    <w:bidi w:val="0"/>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S</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6</w:t>
                  </w:r>
                </w:p>
              </w:tc>
              <w:tc>
                <w:tcPr>
                  <w:tcW w:w="943" w:type="pct"/>
                  <w:tcBorders>
                    <w:tl2br w:val="nil"/>
                    <w:tr2bl w:val="nil"/>
                  </w:tcBorders>
                  <w:noWrap w:val="0"/>
                  <w:vAlign w:val="center"/>
                </w:tcPr>
                <w:p w14:paraId="4551C0F3">
                  <w:pPr>
                    <w:pStyle w:val="118"/>
                    <w:bidi w:val="0"/>
                    <w:ind w:firstLine="0" w:firstLineChars="0"/>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空压站废过滤器</w:t>
                  </w:r>
                </w:p>
              </w:tc>
              <w:tc>
                <w:tcPr>
                  <w:tcW w:w="400" w:type="pct"/>
                  <w:tcBorders>
                    <w:tl2br w:val="nil"/>
                    <w:tr2bl w:val="nil"/>
                  </w:tcBorders>
                  <w:noWrap w:val="0"/>
                  <w:vAlign w:val="center"/>
                </w:tcPr>
                <w:p w14:paraId="380D6726">
                  <w:pPr>
                    <w:pStyle w:val="118"/>
                    <w:bidi w:val="0"/>
                    <w:ind w:firstLine="0" w:firstLineChars="0"/>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间歇</w:t>
                  </w:r>
                </w:p>
              </w:tc>
              <w:tc>
                <w:tcPr>
                  <w:tcW w:w="1904" w:type="pct"/>
                  <w:tcBorders>
                    <w:tl2br w:val="nil"/>
                    <w:tr2bl w:val="nil"/>
                  </w:tcBorders>
                  <w:noWrap w:val="0"/>
                  <w:vAlign w:val="center"/>
                </w:tcPr>
                <w:p w14:paraId="01E487F2">
                  <w:pPr>
                    <w:pStyle w:val="118"/>
                    <w:bidi w:val="0"/>
                    <w:ind w:firstLine="0" w:firstLineChars="0"/>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kern w:val="0"/>
                      <w:szCs w:val="21"/>
                      <w:highlight w:val="none"/>
                      <w:lang w:val="en-US" w:eastAsia="zh-CN"/>
                      <w14:textFill>
                        <w14:solidFill>
                          <w14:schemeClr w14:val="tx1"/>
                        </w14:solidFill>
                      </w14:textFill>
                    </w:rPr>
                    <w:t>一般固废库暂存，定期送综合利用</w:t>
                  </w:r>
                </w:p>
              </w:tc>
            </w:tr>
            <w:tr w14:paraId="1E902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 w:hRule="atLeast"/>
                <w:jc w:val="center"/>
              </w:trPr>
              <w:tc>
                <w:tcPr>
                  <w:tcW w:w="390" w:type="pct"/>
                  <w:vMerge w:val="continue"/>
                  <w:tcBorders>
                    <w:tl2br w:val="nil"/>
                    <w:tr2bl w:val="nil"/>
                  </w:tcBorders>
                  <w:noWrap w:val="0"/>
                  <w:vAlign w:val="center"/>
                </w:tcPr>
                <w:p w14:paraId="7ED4AED4">
                  <w:pPr>
                    <w:pStyle w:val="118"/>
                    <w:bidi w:val="0"/>
                    <w:rPr>
                      <w:rFonts w:hint="default" w:ascii="Times New Roman" w:hAnsi="Times New Roman" w:cs="Times New Roman"/>
                      <w:color w:val="000000" w:themeColor="text1"/>
                      <w:sz w:val="21"/>
                      <w:szCs w:val="21"/>
                      <w:highlight w:val="none"/>
                      <w14:textFill>
                        <w14:solidFill>
                          <w14:schemeClr w14:val="tx1"/>
                        </w14:solidFill>
                      </w14:textFill>
                    </w:rPr>
                  </w:pPr>
                </w:p>
              </w:tc>
              <w:tc>
                <w:tcPr>
                  <w:tcW w:w="787" w:type="pct"/>
                  <w:vMerge w:val="restart"/>
                  <w:tcBorders>
                    <w:tl2br w:val="nil"/>
                    <w:tr2bl w:val="nil"/>
                  </w:tcBorders>
                  <w:noWrap w:val="0"/>
                  <w:vAlign w:val="center"/>
                </w:tcPr>
                <w:p w14:paraId="1F7B6E12">
                  <w:pPr>
                    <w:pStyle w:val="118"/>
                    <w:bidi w:val="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危废废物</w:t>
                  </w:r>
                </w:p>
              </w:tc>
              <w:tc>
                <w:tcPr>
                  <w:tcW w:w="575" w:type="pct"/>
                  <w:tcBorders>
                    <w:tl2br w:val="nil"/>
                    <w:tr2bl w:val="nil"/>
                  </w:tcBorders>
                  <w:noWrap w:val="0"/>
                  <w:vAlign w:val="center"/>
                </w:tcPr>
                <w:p w14:paraId="008AA7EE">
                  <w:pPr>
                    <w:pStyle w:val="118"/>
                    <w:bidi w:val="0"/>
                    <w:ind w:firstLine="0" w:firstLineChars="0"/>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S</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7</w:t>
                  </w:r>
                </w:p>
              </w:tc>
              <w:tc>
                <w:tcPr>
                  <w:tcW w:w="943" w:type="pct"/>
                  <w:tcBorders>
                    <w:tl2br w:val="nil"/>
                    <w:tr2bl w:val="nil"/>
                  </w:tcBorders>
                  <w:noWrap w:val="0"/>
                  <w:vAlign w:val="center"/>
                </w:tcPr>
                <w:p w14:paraId="64460E64">
                  <w:pPr>
                    <w:pStyle w:val="118"/>
                    <w:bidi w:val="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废油、废油桶</w:t>
                  </w:r>
                </w:p>
              </w:tc>
              <w:tc>
                <w:tcPr>
                  <w:tcW w:w="400" w:type="pct"/>
                  <w:tcBorders>
                    <w:tl2br w:val="nil"/>
                    <w:tr2bl w:val="nil"/>
                  </w:tcBorders>
                  <w:noWrap w:val="0"/>
                  <w:vAlign w:val="center"/>
                </w:tcPr>
                <w:p w14:paraId="3CCA9381">
                  <w:pPr>
                    <w:pStyle w:val="118"/>
                    <w:bidi w:val="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间歇</w:t>
                  </w:r>
                </w:p>
              </w:tc>
              <w:tc>
                <w:tcPr>
                  <w:tcW w:w="1904" w:type="pct"/>
                  <w:tcBorders>
                    <w:tl2br w:val="nil"/>
                    <w:tr2bl w:val="nil"/>
                  </w:tcBorders>
                  <w:noWrap w:val="0"/>
                  <w:vAlign w:val="center"/>
                </w:tcPr>
                <w:p w14:paraId="406750AF">
                  <w:pPr>
                    <w:pStyle w:val="118"/>
                    <w:bidi w:val="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暂存危废暂存间后定期委托有资质单位处理</w:t>
                  </w:r>
                </w:p>
              </w:tc>
            </w:tr>
            <w:tr w14:paraId="2E958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 w:hRule="atLeast"/>
                <w:jc w:val="center"/>
              </w:trPr>
              <w:tc>
                <w:tcPr>
                  <w:tcW w:w="390" w:type="pct"/>
                  <w:vMerge w:val="continue"/>
                  <w:tcBorders>
                    <w:tl2br w:val="nil"/>
                    <w:tr2bl w:val="nil"/>
                  </w:tcBorders>
                  <w:noWrap w:val="0"/>
                  <w:vAlign w:val="center"/>
                </w:tcPr>
                <w:p w14:paraId="75080E56">
                  <w:pPr>
                    <w:pStyle w:val="118"/>
                    <w:bidi w:val="0"/>
                    <w:rPr>
                      <w:rFonts w:hint="default" w:ascii="Times New Roman" w:hAnsi="Times New Roman" w:cs="Times New Roman"/>
                      <w:color w:val="000000" w:themeColor="text1"/>
                      <w:sz w:val="21"/>
                      <w:szCs w:val="21"/>
                      <w:highlight w:val="none"/>
                      <w14:textFill>
                        <w14:solidFill>
                          <w14:schemeClr w14:val="tx1"/>
                        </w14:solidFill>
                      </w14:textFill>
                    </w:rPr>
                  </w:pPr>
                </w:p>
              </w:tc>
              <w:tc>
                <w:tcPr>
                  <w:tcW w:w="787" w:type="pct"/>
                  <w:vMerge w:val="continue"/>
                  <w:tcBorders>
                    <w:tl2br w:val="nil"/>
                    <w:tr2bl w:val="nil"/>
                  </w:tcBorders>
                  <w:noWrap w:val="0"/>
                  <w:vAlign w:val="center"/>
                </w:tcPr>
                <w:p w14:paraId="7780C68A">
                  <w:pPr>
                    <w:pStyle w:val="118"/>
                    <w:bidi w:val="0"/>
                    <w:rPr>
                      <w:rFonts w:hint="default" w:ascii="Times New Roman" w:hAnsi="Times New Roman" w:cs="Times New Roman"/>
                      <w:color w:val="000000" w:themeColor="text1"/>
                      <w:sz w:val="21"/>
                      <w:szCs w:val="21"/>
                      <w:highlight w:val="none"/>
                      <w14:textFill>
                        <w14:solidFill>
                          <w14:schemeClr w14:val="tx1"/>
                        </w14:solidFill>
                      </w14:textFill>
                    </w:rPr>
                  </w:pPr>
                </w:p>
              </w:tc>
              <w:tc>
                <w:tcPr>
                  <w:tcW w:w="575" w:type="pct"/>
                  <w:tcBorders>
                    <w:tl2br w:val="nil"/>
                    <w:tr2bl w:val="nil"/>
                  </w:tcBorders>
                  <w:noWrap w:val="0"/>
                  <w:vAlign w:val="center"/>
                </w:tcPr>
                <w:p w14:paraId="5ECEB022">
                  <w:pPr>
                    <w:pStyle w:val="118"/>
                    <w:bidi w:val="0"/>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S</w:t>
                  </w:r>
                  <w:r>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t>3</w:t>
                  </w:r>
                </w:p>
              </w:tc>
              <w:tc>
                <w:tcPr>
                  <w:tcW w:w="943" w:type="pct"/>
                  <w:tcBorders>
                    <w:tl2br w:val="nil"/>
                    <w:tr2bl w:val="nil"/>
                  </w:tcBorders>
                  <w:noWrap w:val="0"/>
                  <w:vAlign w:val="center"/>
                </w:tcPr>
                <w:p w14:paraId="5C4FE2E5">
                  <w:pPr>
                    <w:pStyle w:val="118"/>
                    <w:bidi w:val="0"/>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脱硫废水处理产生的污泥</w:t>
                  </w:r>
                </w:p>
              </w:tc>
              <w:tc>
                <w:tcPr>
                  <w:tcW w:w="400" w:type="pct"/>
                  <w:tcBorders>
                    <w:tl2br w:val="nil"/>
                    <w:tr2bl w:val="nil"/>
                  </w:tcBorders>
                  <w:noWrap w:val="0"/>
                  <w:vAlign w:val="center"/>
                </w:tcPr>
                <w:p w14:paraId="03DC83E2">
                  <w:pPr>
                    <w:pStyle w:val="118"/>
                    <w:bidi w:val="0"/>
                    <w:ind w:firstLine="0" w:firstLineChars="0"/>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间歇</w:t>
                  </w:r>
                </w:p>
              </w:tc>
              <w:tc>
                <w:tcPr>
                  <w:tcW w:w="1904" w:type="pct"/>
                  <w:tcBorders>
                    <w:tl2br w:val="nil"/>
                    <w:tr2bl w:val="nil"/>
                  </w:tcBorders>
                  <w:noWrap w:val="0"/>
                  <w:vAlign w:val="center"/>
                </w:tcPr>
                <w:p w14:paraId="4AFCECC6">
                  <w:pPr>
                    <w:pStyle w:val="118"/>
                    <w:bidi w:val="0"/>
                    <w:ind w:firstLine="0" w:firstLineChars="0"/>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暂存危废暂存间</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highlight w:val="none"/>
                      <w14:textFill>
                        <w14:solidFill>
                          <w14:schemeClr w14:val="tx1"/>
                        </w14:solidFill>
                      </w14:textFill>
                    </w:rPr>
                    <w:t>暂时按照危废进行管理，鉴别为一般固废的，按照一般固废管理并处理</w:t>
                  </w:r>
                </w:p>
              </w:tc>
            </w:tr>
            <w:tr w14:paraId="77DCE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 w:hRule="atLeast"/>
                <w:jc w:val="center"/>
              </w:trPr>
              <w:tc>
                <w:tcPr>
                  <w:tcW w:w="390" w:type="pct"/>
                  <w:tcBorders>
                    <w:tl2br w:val="nil"/>
                    <w:tr2bl w:val="nil"/>
                  </w:tcBorders>
                  <w:noWrap w:val="0"/>
                  <w:vAlign w:val="center"/>
                </w:tcPr>
                <w:p w14:paraId="25595371">
                  <w:pPr>
                    <w:pStyle w:val="118"/>
                    <w:bidi w:val="0"/>
                    <w:rPr>
                      <w:rFonts w:hint="default" w:ascii="Times New Roman" w:hAnsi="Times New Roman" w:cs="Times New Roman"/>
                      <w:color w:val="000000" w:themeColor="text1"/>
                      <w:sz w:val="21"/>
                      <w:szCs w:val="21"/>
                      <w:highlight w:val="none"/>
                      <w14:textFill>
                        <w14:solidFill>
                          <w14:schemeClr w14:val="tx1"/>
                        </w14:solidFill>
                      </w14:textFill>
                    </w:rPr>
                  </w:pPr>
                </w:p>
              </w:tc>
              <w:tc>
                <w:tcPr>
                  <w:tcW w:w="787" w:type="pct"/>
                  <w:tcBorders>
                    <w:tl2br w:val="nil"/>
                    <w:tr2bl w:val="nil"/>
                  </w:tcBorders>
                  <w:noWrap w:val="0"/>
                  <w:vAlign w:val="center"/>
                </w:tcPr>
                <w:p w14:paraId="7371BB93">
                  <w:pPr>
                    <w:pStyle w:val="118"/>
                    <w:bidi w:val="0"/>
                    <w:ind w:firstLine="0" w:firstLineChars="0"/>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职工生活</w:t>
                  </w:r>
                </w:p>
              </w:tc>
              <w:tc>
                <w:tcPr>
                  <w:tcW w:w="575" w:type="pct"/>
                  <w:tcBorders>
                    <w:tl2br w:val="nil"/>
                    <w:tr2bl w:val="nil"/>
                  </w:tcBorders>
                  <w:noWrap w:val="0"/>
                  <w:vAlign w:val="center"/>
                </w:tcPr>
                <w:p w14:paraId="0635E0D8">
                  <w:pPr>
                    <w:pStyle w:val="118"/>
                    <w:bidi w:val="0"/>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S</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8</w:t>
                  </w:r>
                </w:p>
              </w:tc>
              <w:tc>
                <w:tcPr>
                  <w:tcW w:w="943" w:type="pct"/>
                  <w:tcBorders>
                    <w:tl2br w:val="nil"/>
                    <w:tr2bl w:val="nil"/>
                  </w:tcBorders>
                  <w:noWrap w:val="0"/>
                  <w:vAlign w:val="center"/>
                </w:tcPr>
                <w:p w14:paraId="12D918E7">
                  <w:pPr>
                    <w:pStyle w:val="118"/>
                    <w:bidi w:val="0"/>
                    <w:ind w:firstLine="0" w:firstLineChars="0"/>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生活垃圾</w:t>
                  </w:r>
                </w:p>
              </w:tc>
              <w:tc>
                <w:tcPr>
                  <w:tcW w:w="400" w:type="pct"/>
                  <w:tcBorders>
                    <w:tl2br w:val="nil"/>
                    <w:tr2bl w:val="nil"/>
                  </w:tcBorders>
                  <w:noWrap w:val="0"/>
                  <w:vAlign w:val="center"/>
                </w:tcPr>
                <w:p w14:paraId="33D385B2">
                  <w:pPr>
                    <w:pStyle w:val="118"/>
                    <w:bidi w:val="0"/>
                    <w:ind w:firstLine="0" w:firstLineChars="0"/>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间歇</w:t>
                  </w:r>
                </w:p>
              </w:tc>
              <w:tc>
                <w:tcPr>
                  <w:tcW w:w="1904" w:type="pct"/>
                  <w:tcBorders>
                    <w:tl2br w:val="nil"/>
                    <w:tr2bl w:val="nil"/>
                  </w:tcBorders>
                  <w:noWrap w:val="0"/>
                  <w:vAlign w:val="center"/>
                </w:tcPr>
                <w:p w14:paraId="558E2E36">
                  <w:pPr>
                    <w:pStyle w:val="118"/>
                    <w:bidi w:val="0"/>
                    <w:ind w:firstLine="0" w:firstLineChars="0"/>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生活垃圾分类收集，定期交由环卫部门统一处置。</w:t>
                  </w:r>
                </w:p>
              </w:tc>
            </w:tr>
          </w:tbl>
          <w:p w14:paraId="673760AA">
            <w:pPr>
              <w:pStyle w:val="9"/>
              <w:rPr>
                <w:rFonts w:hint="default" w:ascii="Times New Roman" w:hAnsi="Times New Roman" w:cs="Times New Roman"/>
                <w:color w:val="000000" w:themeColor="text1"/>
                <w:highlight w:val="none"/>
                <w14:textFill>
                  <w14:solidFill>
                    <w14:schemeClr w14:val="tx1"/>
                  </w14:solidFill>
                </w14:textFill>
              </w:rPr>
            </w:pPr>
          </w:p>
        </w:tc>
      </w:tr>
      <w:tr w14:paraId="4E5098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18" w:hRule="atLeast"/>
          <w:jc w:val="center"/>
        </w:trPr>
        <w:tc>
          <w:tcPr>
            <w:tcW w:w="251" w:type="pct"/>
            <w:noWrap w:val="0"/>
            <w:vAlign w:val="center"/>
          </w:tcPr>
          <w:p w14:paraId="2889ED56">
            <w:pPr>
              <w:pStyle w:val="20"/>
              <w:adjustRightInd w:val="0"/>
              <w:snapToGrid w:val="0"/>
              <w:spacing w:before="0" w:beforeAutospacing="0" w:after="0" w:afterAutospacing="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b/>
                <w:color w:val="000000" w:themeColor="text1"/>
                <w:kern w:val="2"/>
                <w:szCs w:val="24"/>
                <w:highlight w:val="none"/>
                <w14:textFill>
                  <w14:solidFill>
                    <w14:schemeClr w14:val="tx1"/>
                  </w14:solidFill>
                </w14:textFill>
              </w:rPr>
              <w:t>与项目有关的原有环境污染问题</w:t>
            </w:r>
          </w:p>
        </w:tc>
        <w:tc>
          <w:tcPr>
            <w:tcW w:w="4748" w:type="pct"/>
            <w:noWrap w:val="0"/>
            <w:vAlign w:val="center"/>
          </w:tcPr>
          <w:p w14:paraId="308CA36B">
            <w:pPr>
              <w:pStyle w:val="14"/>
              <w:spacing w:line="360" w:lineRule="auto"/>
              <w:ind w:firstLine="480" w:firstLineChars="200"/>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lang w:eastAsia="zh-CN"/>
                <w14:textFill>
                  <w14:solidFill>
                    <w14:schemeClr w14:val="tx1"/>
                  </w14:solidFill>
                </w14:textFill>
              </w:rPr>
              <w:t>内蒙古伊东东晟新材料有限公司</w:t>
            </w:r>
            <w:r>
              <w:rPr>
                <w:rFonts w:hint="default" w:ascii="Times New Roman" w:hAnsi="Times New Roman" w:eastAsia="宋体" w:cs="Times New Roman"/>
                <w:color w:val="000000" w:themeColor="text1"/>
                <w:sz w:val="24"/>
                <w:highlight w:val="none"/>
                <w14:textFill>
                  <w14:solidFill>
                    <w14:schemeClr w14:val="tx1"/>
                  </w14:solidFill>
                </w14:textFill>
              </w:rPr>
              <w:t>建设地点位于</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内蒙古鄂尔多斯</w:t>
            </w:r>
            <w:r>
              <w:rPr>
                <w:rFonts w:hint="eastAsia" w:cs="Times New Roman"/>
                <w:color w:val="000000" w:themeColor="text1"/>
                <w:sz w:val="24"/>
                <w:highlight w:val="none"/>
                <w:lang w:val="en-US" w:eastAsia="zh-CN"/>
                <w14:textFill>
                  <w14:solidFill>
                    <w14:schemeClr w14:val="tx1"/>
                  </w14:solidFill>
                </w14:textFill>
              </w:rPr>
              <w:t>市</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准格尔经济开发区准格尔产业园</w:t>
            </w:r>
            <w:r>
              <w:rPr>
                <w:rFonts w:hint="default" w:ascii="Times New Roman" w:hAnsi="Times New Roman" w:eastAsia="宋体" w:cs="Times New Roman"/>
                <w:color w:val="000000" w:themeColor="text1"/>
                <w:sz w:val="24"/>
                <w:highlight w:val="none"/>
                <w14:textFill>
                  <w14:solidFill>
                    <w14:schemeClr w14:val="tx1"/>
                  </w14:solidFill>
                </w14:textFill>
              </w:rPr>
              <w:t>，项目占地</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为空地</w:t>
            </w:r>
            <w:r>
              <w:rPr>
                <w:rFonts w:hint="default" w:ascii="Times New Roman" w:hAnsi="Times New Roman" w:eastAsia="宋体" w:cs="Times New Roman"/>
                <w:color w:val="000000" w:themeColor="text1"/>
                <w:sz w:val="24"/>
                <w:highlight w:val="none"/>
                <w14:textFill>
                  <w14:solidFill>
                    <w14:schemeClr w14:val="tx1"/>
                  </w14:solidFill>
                </w14:textFill>
              </w:rPr>
              <w:t>，</w:t>
            </w:r>
            <w:r>
              <w:rPr>
                <w:rFonts w:hint="default" w:ascii="Times New Roman" w:hAnsi="Times New Roman" w:cs="Times New Roman"/>
                <w:color w:val="000000" w:themeColor="text1"/>
                <w:sz w:val="24"/>
                <w:highlight w:val="none"/>
                <w:lang w:val="en-US" w:eastAsia="zh-CN"/>
                <w14:textFill>
                  <w14:solidFill>
                    <w14:schemeClr w14:val="tx1"/>
                  </w14:solidFill>
                </w14:textFill>
              </w:rPr>
              <w:t>取得用地手续，</w:t>
            </w:r>
            <w:r>
              <w:rPr>
                <w:rFonts w:hint="default" w:ascii="Times New Roman" w:hAnsi="Times New Roman" w:eastAsia="宋体" w:cs="Times New Roman"/>
                <w:color w:val="000000" w:themeColor="text1"/>
                <w:sz w:val="24"/>
                <w:highlight w:val="none"/>
                <w14:textFill>
                  <w14:solidFill>
                    <w14:schemeClr w14:val="tx1"/>
                  </w14:solidFill>
                </w14:textFill>
              </w:rPr>
              <w:t>占地类型为</w:t>
            </w:r>
            <w:r>
              <w:rPr>
                <w:rFonts w:hint="default" w:ascii="Times New Roman" w:hAnsi="Times New Roman" w:cs="Times New Roman"/>
                <w:color w:val="000000" w:themeColor="text1"/>
                <w:sz w:val="24"/>
                <w:highlight w:val="none"/>
                <w:lang w:val="en-US" w:eastAsia="zh-CN"/>
                <w14:textFill>
                  <w14:solidFill>
                    <w14:schemeClr w14:val="tx1"/>
                  </w14:solidFill>
                </w14:textFill>
              </w:rPr>
              <w:t>工业</w:t>
            </w:r>
            <w:r>
              <w:rPr>
                <w:rFonts w:hint="default" w:ascii="Times New Roman" w:hAnsi="Times New Roman" w:eastAsia="宋体" w:cs="Times New Roman"/>
                <w:color w:val="000000" w:themeColor="text1"/>
                <w:sz w:val="24"/>
                <w:highlight w:val="none"/>
                <w14:textFill>
                  <w14:solidFill>
                    <w14:schemeClr w14:val="tx1"/>
                  </w14:solidFill>
                </w14:textFill>
              </w:rPr>
              <w:t>用地，</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土壤环境未受到污染影响，</w:t>
            </w:r>
            <w:r>
              <w:rPr>
                <w:rFonts w:hint="default" w:ascii="Times New Roman" w:hAnsi="Times New Roman" w:cs="Times New Roman"/>
                <w:color w:val="000000" w:themeColor="text1"/>
                <w:sz w:val="24"/>
                <w:highlight w:val="none"/>
                <w14:textFill>
                  <w14:solidFill>
                    <w14:schemeClr w14:val="tx1"/>
                  </w14:solidFill>
                </w14:textFill>
              </w:rPr>
              <w:t>在此基础上新建其他构筑物。项目厂区无与本项目有关的原有污染情况。</w:t>
            </w:r>
          </w:p>
          <w:p w14:paraId="4E253B2C">
            <w:pPr>
              <w:pStyle w:val="14"/>
              <w:spacing w:line="360" w:lineRule="auto"/>
              <w:ind w:firstLine="480" w:firstLineChars="200"/>
              <w:jc w:val="center"/>
              <w:rPr>
                <w:rFonts w:hint="default" w:ascii="Times New Roman" w:hAnsi="Times New Roman" w:eastAsia="宋体" w:cs="Times New Roman"/>
                <w:color w:val="000000" w:themeColor="text1"/>
                <w:sz w:val="24"/>
                <w:highlight w:val="none"/>
                <w:lang w:eastAsia="zh-CN"/>
                <w14:textFill>
                  <w14:solidFill>
                    <w14:schemeClr w14:val="tx1"/>
                  </w14:solidFill>
                </w14:textFill>
              </w:rPr>
            </w:pPr>
            <w:r>
              <w:rPr>
                <w:rFonts w:hint="default" w:ascii="Times New Roman" w:hAnsi="Times New Roman" w:eastAsia="宋体" w:cs="Times New Roman"/>
                <w:color w:val="000000" w:themeColor="text1"/>
                <w:sz w:val="24"/>
                <w:highlight w:val="none"/>
                <w:lang w:eastAsia="zh-CN"/>
                <w14:textFill>
                  <w14:solidFill>
                    <w14:schemeClr w14:val="tx1"/>
                  </w14:solidFill>
                </w14:textFill>
              </w:rPr>
              <w:drawing>
                <wp:inline distT="0" distB="0" distL="114300" distR="114300">
                  <wp:extent cx="3837940" cy="2123440"/>
                  <wp:effectExtent l="0" t="0" r="0" b="0"/>
                  <wp:docPr id="48" name="图片 10" descr="841833b54b5a5951543110c66c3624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10" descr="841833b54b5a5951543110c66c3624bd"/>
                          <pic:cNvPicPr>
                            <a:picLocks noChangeAspect="1"/>
                          </pic:cNvPicPr>
                        </pic:nvPicPr>
                        <pic:blipFill>
                          <a:blip r:embed="rId21"/>
                          <a:srcRect r="83" b="26262"/>
                          <a:stretch>
                            <a:fillRect/>
                          </a:stretch>
                        </pic:blipFill>
                        <pic:spPr>
                          <a:xfrm>
                            <a:off x="0" y="0"/>
                            <a:ext cx="3837940" cy="2123440"/>
                          </a:xfrm>
                          <a:prstGeom prst="rect">
                            <a:avLst/>
                          </a:prstGeom>
                          <a:noFill/>
                          <a:ln>
                            <a:noFill/>
                          </a:ln>
                        </pic:spPr>
                      </pic:pic>
                    </a:graphicData>
                  </a:graphic>
                </wp:inline>
              </w:drawing>
            </w:r>
          </w:p>
          <w:p w14:paraId="5A061CEA">
            <w:pPr>
              <w:pStyle w:val="14"/>
              <w:spacing w:line="360" w:lineRule="auto"/>
              <w:ind w:firstLine="482" w:firstLineChars="200"/>
              <w:jc w:val="cente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t>项目现场情况图</w:t>
            </w:r>
          </w:p>
        </w:tc>
      </w:tr>
    </w:tbl>
    <w:p w14:paraId="1D813903">
      <w:pPr>
        <w:pStyle w:val="20"/>
        <w:rPr>
          <w:rFonts w:ascii="Times New Roman" w:hAnsi="Times New Roman" w:eastAsia="黑体"/>
          <w:snapToGrid w:val="0"/>
          <w:color w:val="000000" w:themeColor="text1"/>
          <w:sz w:val="36"/>
          <w:szCs w:val="36"/>
          <w:highlight w:val="none"/>
          <w14:textFill>
            <w14:solidFill>
              <w14:schemeClr w14:val="tx1"/>
            </w14:solidFill>
          </w14:textFill>
        </w:rPr>
        <w:sectPr>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p w14:paraId="2B085737">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0" w:firstLineChars="0"/>
        <w:jc w:val="center"/>
        <w:textAlignment w:val="auto"/>
        <w:outlineLvl w:val="0"/>
        <w:rPr>
          <w:rFonts w:ascii="Times New Roman" w:hAnsi="Times New Roman" w:eastAsia="黑体" w:cs="Times New Roman"/>
          <w:snapToGrid w:val="0"/>
          <w:color w:val="000000" w:themeColor="text1"/>
          <w:sz w:val="30"/>
          <w:szCs w:val="30"/>
          <w:highlight w:val="none"/>
          <w14:textFill>
            <w14:solidFill>
              <w14:schemeClr w14:val="tx1"/>
            </w14:solidFill>
          </w14:textFill>
        </w:rPr>
      </w:pPr>
      <w:r>
        <w:rPr>
          <w:rFonts w:ascii="Times New Roman" w:hAnsi="Times New Roman" w:eastAsia="黑体" w:cs="Times New Roman"/>
          <w:snapToGrid w:val="0"/>
          <w:color w:val="000000" w:themeColor="text1"/>
          <w:sz w:val="30"/>
          <w:szCs w:val="30"/>
          <w:highlight w:val="none"/>
          <w14:textFill>
            <w14:solidFill>
              <w14:schemeClr w14:val="tx1"/>
            </w14:solidFill>
          </w14:textFill>
        </w:rPr>
        <w:t>三、区域环境质量现状、环境保护目标及评价标准</w:t>
      </w:r>
    </w:p>
    <w:tbl>
      <w:tblPr>
        <w:tblStyle w:val="2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00"/>
        <w:gridCol w:w="8190"/>
      </w:tblGrid>
      <w:tr w14:paraId="30D2FF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0" w:type="dxa"/>
            <w:noWrap w:val="0"/>
            <w:vAlign w:val="center"/>
          </w:tcPr>
          <w:p w14:paraId="54B03AC3">
            <w:pPr>
              <w:adjustRightInd w:val="0"/>
              <w:snapToGrid w:val="0"/>
              <w:jc w:val="center"/>
              <w:rPr>
                <w:rFonts w:hint="default" w:ascii="Times New Roman" w:hAnsi="Times New Roman" w:eastAsia="宋体" w:cs="Times New Roman"/>
                <w:b/>
                <w:bCs/>
                <w:color w:val="000000" w:themeColor="text1"/>
                <w:kern w:val="0"/>
                <w:sz w:val="24"/>
                <w:highlight w:val="none"/>
                <w14:textFill>
                  <w14:solidFill>
                    <w14:schemeClr w14:val="tx1"/>
                  </w14:solidFill>
                </w14:textFill>
              </w:rPr>
            </w:pPr>
            <w:r>
              <w:rPr>
                <w:rFonts w:hint="default" w:ascii="Times New Roman" w:hAnsi="Times New Roman" w:eastAsia="宋体" w:cs="Times New Roman"/>
                <w:b/>
                <w:bCs/>
                <w:color w:val="000000" w:themeColor="text1"/>
                <w:kern w:val="0"/>
                <w:sz w:val="24"/>
                <w:highlight w:val="none"/>
                <w14:textFill>
                  <w14:solidFill>
                    <w14:schemeClr w14:val="tx1"/>
                  </w14:solidFill>
                </w14:textFill>
              </w:rPr>
              <w:t>区</w:t>
            </w:r>
          </w:p>
          <w:p w14:paraId="0849BD91">
            <w:pPr>
              <w:adjustRightInd w:val="0"/>
              <w:snapToGrid w:val="0"/>
              <w:jc w:val="center"/>
              <w:rPr>
                <w:rFonts w:hint="default" w:ascii="Times New Roman" w:hAnsi="Times New Roman" w:eastAsia="宋体" w:cs="Times New Roman"/>
                <w:b/>
                <w:bCs/>
                <w:color w:val="000000" w:themeColor="text1"/>
                <w:kern w:val="0"/>
                <w:sz w:val="24"/>
                <w:highlight w:val="none"/>
                <w14:textFill>
                  <w14:solidFill>
                    <w14:schemeClr w14:val="tx1"/>
                  </w14:solidFill>
                </w14:textFill>
              </w:rPr>
            </w:pPr>
            <w:r>
              <w:rPr>
                <w:rFonts w:hint="default" w:ascii="Times New Roman" w:hAnsi="Times New Roman" w:eastAsia="宋体" w:cs="Times New Roman"/>
                <w:b/>
                <w:bCs/>
                <w:color w:val="000000" w:themeColor="text1"/>
                <w:kern w:val="0"/>
                <w:sz w:val="24"/>
                <w:highlight w:val="none"/>
                <w14:textFill>
                  <w14:solidFill>
                    <w14:schemeClr w14:val="tx1"/>
                  </w14:solidFill>
                </w14:textFill>
              </w:rPr>
              <w:t>域</w:t>
            </w:r>
          </w:p>
          <w:p w14:paraId="5B365F83">
            <w:pPr>
              <w:adjustRightInd w:val="0"/>
              <w:snapToGrid w:val="0"/>
              <w:jc w:val="center"/>
              <w:rPr>
                <w:rFonts w:hint="default" w:ascii="Times New Roman" w:hAnsi="Times New Roman" w:eastAsia="宋体" w:cs="Times New Roman"/>
                <w:b/>
                <w:bCs/>
                <w:color w:val="000000" w:themeColor="text1"/>
                <w:kern w:val="0"/>
                <w:sz w:val="24"/>
                <w:highlight w:val="none"/>
                <w14:textFill>
                  <w14:solidFill>
                    <w14:schemeClr w14:val="tx1"/>
                  </w14:solidFill>
                </w14:textFill>
              </w:rPr>
            </w:pPr>
            <w:r>
              <w:rPr>
                <w:rFonts w:hint="default" w:ascii="Times New Roman" w:hAnsi="Times New Roman" w:eastAsia="宋体" w:cs="Times New Roman"/>
                <w:b/>
                <w:bCs/>
                <w:color w:val="000000" w:themeColor="text1"/>
                <w:kern w:val="0"/>
                <w:sz w:val="24"/>
                <w:highlight w:val="none"/>
                <w14:textFill>
                  <w14:solidFill>
                    <w14:schemeClr w14:val="tx1"/>
                  </w14:solidFill>
                </w14:textFill>
              </w:rPr>
              <w:t>环</w:t>
            </w:r>
          </w:p>
          <w:p w14:paraId="7FC235C8">
            <w:pPr>
              <w:adjustRightInd w:val="0"/>
              <w:snapToGrid w:val="0"/>
              <w:jc w:val="center"/>
              <w:rPr>
                <w:rFonts w:hint="default" w:ascii="Times New Roman" w:hAnsi="Times New Roman" w:eastAsia="宋体" w:cs="Times New Roman"/>
                <w:b/>
                <w:bCs/>
                <w:color w:val="000000" w:themeColor="text1"/>
                <w:kern w:val="0"/>
                <w:sz w:val="24"/>
                <w:highlight w:val="none"/>
                <w14:textFill>
                  <w14:solidFill>
                    <w14:schemeClr w14:val="tx1"/>
                  </w14:solidFill>
                </w14:textFill>
              </w:rPr>
            </w:pPr>
            <w:r>
              <w:rPr>
                <w:rFonts w:hint="default" w:ascii="Times New Roman" w:hAnsi="Times New Roman" w:eastAsia="宋体" w:cs="Times New Roman"/>
                <w:b/>
                <w:bCs/>
                <w:color w:val="000000" w:themeColor="text1"/>
                <w:kern w:val="0"/>
                <w:sz w:val="24"/>
                <w:highlight w:val="none"/>
                <w14:textFill>
                  <w14:solidFill>
                    <w14:schemeClr w14:val="tx1"/>
                  </w14:solidFill>
                </w14:textFill>
              </w:rPr>
              <w:t>境</w:t>
            </w:r>
          </w:p>
          <w:p w14:paraId="1B8D8E6C">
            <w:pPr>
              <w:adjustRightInd w:val="0"/>
              <w:snapToGrid w:val="0"/>
              <w:jc w:val="center"/>
              <w:rPr>
                <w:rFonts w:hint="default" w:ascii="Times New Roman" w:hAnsi="Times New Roman" w:eastAsia="宋体" w:cs="Times New Roman"/>
                <w:b/>
                <w:bCs/>
                <w:color w:val="000000" w:themeColor="text1"/>
                <w:kern w:val="0"/>
                <w:sz w:val="24"/>
                <w:highlight w:val="none"/>
                <w14:textFill>
                  <w14:solidFill>
                    <w14:schemeClr w14:val="tx1"/>
                  </w14:solidFill>
                </w14:textFill>
              </w:rPr>
            </w:pPr>
            <w:r>
              <w:rPr>
                <w:rFonts w:hint="default" w:ascii="Times New Roman" w:hAnsi="Times New Roman" w:eastAsia="宋体" w:cs="Times New Roman"/>
                <w:b/>
                <w:bCs/>
                <w:color w:val="000000" w:themeColor="text1"/>
                <w:kern w:val="0"/>
                <w:sz w:val="24"/>
                <w:highlight w:val="none"/>
                <w14:textFill>
                  <w14:solidFill>
                    <w14:schemeClr w14:val="tx1"/>
                  </w14:solidFill>
                </w14:textFill>
              </w:rPr>
              <w:t>质</w:t>
            </w:r>
          </w:p>
          <w:p w14:paraId="78D06BB3">
            <w:pPr>
              <w:adjustRightInd w:val="0"/>
              <w:snapToGrid w:val="0"/>
              <w:jc w:val="center"/>
              <w:rPr>
                <w:rFonts w:hint="default" w:ascii="Times New Roman" w:hAnsi="Times New Roman" w:eastAsia="宋体" w:cs="Times New Roman"/>
                <w:b/>
                <w:bCs/>
                <w:color w:val="000000" w:themeColor="text1"/>
                <w:kern w:val="0"/>
                <w:szCs w:val="21"/>
                <w:highlight w:val="none"/>
                <w14:textFill>
                  <w14:solidFill>
                    <w14:schemeClr w14:val="tx1"/>
                  </w14:solidFill>
                </w14:textFill>
              </w:rPr>
            </w:pPr>
            <w:r>
              <w:rPr>
                <w:rFonts w:hint="default" w:ascii="Times New Roman" w:hAnsi="Times New Roman" w:eastAsia="宋体" w:cs="Times New Roman"/>
                <w:b/>
                <w:bCs/>
                <w:color w:val="000000" w:themeColor="text1"/>
                <w:kern w:val="0"/>
                <w:sz w:val="24"/>
                <w:highlight w:val="none"/>
                <w14:textFill>
                  <w14:solidFill>
                    <w14:schemeClr w14:val="tx1"/>
                  </w14:solidFill>
                </w14:textFill>
              </w:rPr>
              <w:t>量</w:t>
            </w:r>
          </w:p>
          <w:p w14:paraId="28276DBB">
            <w:pPr>
              <w:adjustRightInd w:val="0"/>
              <w:snapToGrid w:val="0"/>
              <w:jc w:val="center"/>
              <w:rPr>
                <w:rFonts w:hint="default" w:ascii="Times New Roman" w:hAnsi="Times New Roman" w:eastAsia="宋体" w:cs="Times New Roman"/>
                <w:b/>
                <w:bCs/>
                <w:color w:val="000000" w:themeColor="text1"/>
                <w:kern w:val="0"/>
                <w:sz w:val="24"/>
                <w:highlight w:val="none"/>
                <w14:textFill>
                  <w14:solidFill>
                    <w14:schemeClr w14:val="tx1"/>
                  </w14:solidFill>
                </w14:textFill>
              </w:rPr>
            </w:pPr>
            <w:r>
              <w:rPr>
                <w:rFonts w:hint="default" w:ascii="Times New Roman" w:hAnsi="Times New Roman" w:eastAsia="宋体" w:cs="Times New Roman"/>
                <w:b/>
                <w:bCs/>
                <w:color w:val="000000" w:themeColor="text1"/>
                <w:kern w:val="0"/>
                <w:sz w:val="24"/>
                <w:highlight w:val="none"/>
                <w14:textFill>
                  <w14:solidFill>
                    <w14:schemeClr w14:val="tx1"/>
                  </w14:solidFill>
                </w14:textFill>
              </w:rPr>
              <w:t>现</w:t>
            </w:r>
          </w:p>
          <w:p w14:paraId="099B2EA5">
            <w:pPr>
              <w:adjustRightInd w:val="0"/>
              <w:snapToGrid w:val="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r>
              <w:rPr>
                <w:rFonts w:hint="default" w:ascii="Times New Roman" w:hAnsi="Times New Roman" w:eastAsia="宋体" w:cs="Times New Roman"/>
                <w:b/>
                <w:bCs/>
                <w:color w:val="000000" w:themeColor="text1"/>
                <w:kern w:val="0"/>
                <w:sz w:val="24"/>
                <w:highlight w:val="none"/>
                <w14:textFill>
                  <w14:solidFill>
                    <w14:schemeClr w14:val="tx1"/>
                  </w14:solidFill>
                </w14:textFill>
              </w:rPr>
              <w:t>状</w:t>
            </w:r>
          </w:p>
        </w:tc>
        <w:tc>
          <w:tcPr>
            <w:tcW w:w="8190" w:type="dxa"/>
            <w:noWrap w:val="0"/>
            <w:vAlign w:val="center"/>
          </w:tcPr>
          <w:p w14:paraId="1529386A">
            <w:pPr>
              <w:keepNext w:val="0"/>
              <w:keepLines w:val="0"/>
              <w:pageBreakBefore w:val="0"/>
              <w:widowControl w:val="0"/>
              <w:tabs>
                <w:tab w:val="left" w:pos="434"/>
              </w:tabs>
              <w:kinsoku/>
              <w:wordWrap/>
              <w:overflowPunct/>
              <w:topLinePunct w:val="0"/>
              <w:autoSpaceDE/>
              <w:autoSpaceDN/>
              <w:bidi w:val="0"/>
              <w:adjustRightInd w:val="0"/>
              <w:snapToGrid w:val="0"/>
              <w:spacing w:line="360" w:lineRule="auto"/>
              <w:ind w:firstLine="482" w:firstLineChars="200"/>
              <w:jc w:val="both"/>
              <w:textAlignment w:val="auto"/>
              <w:rPr>
                <w:rFonts w:hint="default" w:ascii="Times New Roman" w:hAnsi="Times New Roman" w:eastAsia="宋体" w:cs="Times New Roman"/>
                <w:b/>
                <w:bCs/>
                <w:color w:val="000000" w:themeColor="text1"/>
                <w:sz w:val="24"/>
                <w:szCs w:val="24"/>
                <w:highlight w:val="none"/>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lang w:eastAsia="zh-CN"/>
                <w14:textFill>
                  <w14:solidFill>
                    <w14:schemeClr w14:val="tx1"/>
                  </w14:solidFill>
                </w14:textFill>
              </w:rPr>
              <w:t>1.</w:t>
            </w:r>
            <w:r>
              <w:rPr>
                <w:rFonts w:hint="default" w:ascii="Times New Roman" w:hAnsi="Times New Roman" w:eastAsia="宋体" w:cs="Times New Roman"/>
                <w:b/>
                <w:bCs/>
                <w:color w:val="000000" w:themeColor="text1"/>
                <w:sz w:val="24"/>
                <w:szCs w:val="24"/>
                <w:highlight w:val="none"/>
                <w14:textFill>
                  <w14:solidFill>
                    <w14:schemeClr w14:val="tx1"/>
                  </w14:solidFill>
                </w14:textFill>
              </w:rPr>
              <w:t>环境空气质量</w:t>
            </w:r>
          </w:p>
          <w:p w14:paraId="741823C7">
            <w:pPr>
              <w:pStyle w:val="9"/>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82" w:firstLineChars="200"/>
              <w:jc w:val="both"/>
              <w:textAlignment w:val="auto"/>
              <w:outlineLvl w:val="2"/>
              <w:rPr>
                <w:rFonts w:hint="default" w:ascii="Times New Roman" w:hAnsi="Times New Roman" w:eastAsia="宋体" w:cs="Times New Roman"/>
                <w:b/>
                <w:bCs/>
                <w:color w:val="000000" w:themeColor="text1"/>
                <w:sz w:val="24"/>
                <w:szCs w:val="24"/>
                <w:highlight w:val="none"/>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14:textFill>
                  <w14:solidFill>
                    <w14:schemeClr w14:val="tx1"/>
                  </w14:solidFill>
                </w14:textFill>
              </w:rPr>
              <w:t>1.1达标区判定</w:t>
            </w:r>
          </w:p>
          <w:p w14:paraId="09DA3084">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eastAsia" w:ascii="Times New Roman" w:hAnsi="Times New Roman" w:eastAsia="宋体" w:cs="Times New Roman"/>
                <w:color w:val="000000" w:themeColor="text1"/>
                <w:kern w:val="0"/>
                <w:sz w:val="24"/>
                <w:szCs w:val="24"/>
                <w:highlight w:val="none"/>
                <w:lang w:eastAsia="zh-CN"/>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14:textFill>
                  <w14:solidFill>
                    <w14:schemeClr w14:val="tx1"/>
                  </w14:solidFill>
                </w14:textFill>
              </w:rPr>
              <w:t>根据《环境影响评价技术导则大气环境》</w:t>
            </w:r>
            <w:r>
              <w:rPr>
                <w:rFonts w:hint="default" w:ascii="Times New Roman" w:hAnsi="Times New Roman" w:eastAsia="宋体" w:cs="Times New Roman"/>
                <w:color w:val="000000" w:themeColor="text1"/>
                <w:kern w:val="0"/>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14:textFill>
                  <w14:solidFill>
                    <w14:schemeClr w14:val="tx1"/>
                  </w14:solidFill>
                </w14:textFill>
              </w:rPr>
              <w:t>HJ2.2-2018</w:t>
            </w:r>
            <w:r>
              <w:rPr>
                <w:rFonts w:hint="default" w:ascii="Times New Roman" w:hAnsi="Times New Roman" w:eastAsia="宋体" w:cs="Times New Roman"/>
                <w:color w:val="000000" w:themeColor="text1"/>
                <w:kern w:val="0"/>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14:textFill>
                  <w14:solidFill>
                    <w14:schemeClr w14:val="tx1"/>
                  </w14:solidFill>
                </w14:textFill>
              </w:rPr>
              <w:t>，基本污染物环境质量现状数据采用评价范围内国家或地方环境质量监测网中评价基准年连续1年的监测数据</w:t>
            </w:r>
            <w:r>
              <w:rPr>
                <w:rFonts w:hint="default" w:ascii="Times New Roman" w:hAnsi="Times New Roman" w:eastAsia="宋体" w:cs="Times New Roman"/>
                <w:color w:val="000000" w:themeColor="text1"/>
                <w:kern w:val="0"/>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14:textFill>
                  <w14:solidFill>
                    <w14:schemeClr w14:val="tx1"/>
                  </w14:solidFill>
                </w14:textFill>
              </w:rPr>
              <w:t>评价范围内没有环境空气质量监测网或公开发布的环境空气质量数据的，可选择符合HJ664规定，并且与评价范围地理位置</w:t>
            </w:r>
            <w:r>
              <w:rPr>
                <w:rFonts w:hint="eastAsia" w:cs="Times New Roman"/>
                <w:color w:val="000000" w:themeColor="text1"/>
                <w:kern w:val="0"/>
                <w:sz w:val="24"/>
                <w:szCs w:val="24"/>
                <w:highlight w:val="none"/>
                <w:lang w:eastAsia="zh-CN"/>
                <w14:textFill>
                  <w14:solidFill>
                    <w14:schemeClr w14:val="tx1"/>
                  </w14:solidFill>
                </w14:textFill>
              </w:rPr>
              <w:t>邻近</w:t>
            </w:r>
            <w:r>
              <w:rPr>
                <w:rFonts w:hint="default" w:ascii="Times New Roman" w:hAnsi="Times New Roman" w:eastAsia="宋体" w:cs="Times New Roman"/>
                <w:color w:val="000000" w:themeColor="text1"/>
                <w:kern w:val="0"/>
                <w:sz w:val="24"/>
                <w:szCs w:val="24"/>
                <w:highlight w:val="none"/>
                <w14:textFill>
                  <w14:solidFill>
                    <w14:schemeClr w14:val="tx1"/>
                  </w14:solidFill>
                </w14:textFill>
              </w:rPr>
              <w:t>，地形、气候条件相近的环境空气质量城市点或区域点监测数据</w:t>
            </w:r>
            <w:r>
              <w:rPr>
                <w:rFonts w:hint="eastAsia" w:cs="Times New Roman"/>
                <w:color w:val="000000" w:themeColor="text1"/>
                <w:kern w:val="0"/>
                <w:sz w:val="24"/>
                <w:szCs w:val="24"/>
                <w:highlight w:val="none"/>
                <w:lang w:eastAsia="zh-CN"/>
                <w14:textFill>
                  <w14:solidFill>
                    <w14:schemeClr w14:val="tx1"/>
                  </w14:solidFill>
                </w14:textFill>
              </w:rPr>
              <w:t>。</w:t>
            </w:r>
          </w:p>
          <w:p w14:paraId="0104EA68">
            <w:pPr>
              <w:keepNext w:val="0"/>
              <w:keepLines w:val="0"/>
              <w:pageBreakBefore w:val="0"/>
              <w:widowControl w:val="0"/>
              <w:kinsoku/>
              <w:wordWrap/>
              <w:overflowPunct/>
              <w:topLinePunct w:val="0"/>
              <w:autoSpaceDE/>
              <w:autoSpaceDN/>
              <w:bidi w:val="0"/>
              <w:adjustRightInd/>
              <w:spacing w:line="360" w:lineRule="auto"/>
              <w:ind w:firstLine="480" w:firstLineChars="200"/>
              <w:jc w:val="both"/>
              <w:textAlignment w:val="auto"/>
              <w:rPr>
                <w:rFonts w:hint="default" w:ascii="Times New Roman" w:hAnsi="Times New Roman" w:eastAsia="宋体" w:cs="Times New Roman"/>
                <w:color w:val="000000" w:themeColor="text1"/>
                <w:kern w:val="0"/>
                <w:sz w:val="24"/>
                <w:szCs w:val="24"/>
                <w:highlight w:val="none"/>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14:textFill>
                  <w14:solidFill>
                    <w14:schemeClr w14:val="tx1"/>
                  </w14:solidFill>
                </w14:textFill>
              </w:rPr>
              <w:t>本项目位于鄂尔多斯市准格尔旗，本次采用202</w:t>
            </w:r>
            <w:r>
              <w:rPr>
                <w:rFonts w:hint="eastAsia" w:cs="Times New Roman"/>
                <w:color w:val="000000" w:themeColor="text1"/>
                <w:kern w:val="0"/>
                <w:sz w:val="24"/>
                <w:szCs w:val="24"/>
                <w:highlight w:val="none"/>
                <w:lang w:val="en-US" w:eastAsia="zh-CN"/>
                <w14:textFill>
                  <w14:solidFill>
                    <w14:schemeClr w14:val="tx1"/>
                  </w14:solidFill>
                </w14:textFill>
              </w:rPr>
              <w:t>6</w:t>
            </w:r>
            <w:r>
              <w:rPr>
                <w:rFonts w:hint="default" w:ascii="Times New Roman" w:hAnsi="Times New Roman" w:eastAsia="宋体" w:cs="Times New Roman"/>
                <w:color w:val="000000" w:themeColor="text1"/>
                <w:kern w:val="0"/>
                <w:sz w:val="24"/>
                <w:szCs w:val="24"/>
                <w:highlight w:val="none"/>
                <w14:textFill>
                  <w14:solidFill>
                    <w14:schemeClr w14:val="tx1"/>
                  </w14:solidFill>
                </w14:textFill>
              </w:rPr>
              <w:t>年6月</w:t>
            </w:r>
            <w:r>
              <w:rPr>
                <w:rFonts w:hint="eastAsia" w:cs="Times New Roman"/>
                <w:color w:val="000000" w:themeColor="text1"/>
                <w:kern w:val="0"/>
                <w:sz w:val="24"/>
                <w:szCs w:val="24"/>
                <w:highlight w:val="none"/>
                <w:lang w:val="en-US" w:eastAsia="zh-CN"/>
                <w14:textFill>
                  <w14:solidFill>
                    <w14:schemeClr w14:val="tx1"/>
                  </w14:solidFill>
                </w14:textFill>
              </w:rPr>
              <w:t>4</w:t>
            </w:r>
            <w:r>
              <w:rPr>
                <w:rFonts w:hint="default" w:ascii="Times New Roman" w:hAnsi="Times New Roman" w:eastAsia="宋体" w:cs="Times New Roman"/>
                <w:color w:val="000000" w:themeColor="text1"/>
                <w:kern w:val="0"/>
                <w:sz w:val="24"/>
                <w:szCs w:val="24"/>
                <w:highlight w:val="none"/>
                <w14:textFill>
                  <w14:solidFill>
                    <w14:schemeClr w14:val="tx1"/>
                  </w14:solidFill>
                </w14:textFill>
              </w:rPr>
              <w:t>日发布的《202</w:t>
            </w:r>
            <w:r>
              <w:rPr>
                <w:rFonts w:hint="eastAsia" w:cs="Times New Roman"/>
                <w:color w:val="000000" w:themeColor="text1"/>
                <w:kern w:val="0"/>
                <w:sz w:val="24"/>
                <w:szCs w:val="24"/>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kern w:val="0"/>
                <w:sz w:val="24"/>
                <w:szCs w:val="24"/>
                <w:highlight w:val="none"/>
                <w14:textFill>
                  <w14:solidFill>
                    <w14:schemeClr w14:val="tx1"/>
                  </w14:solidFill>
                </w14:textFill>
              </w:rPr>
              <w:t>内蒙古自治区生态环境状况公报》中数据。202</w:t>
            </w:r>
            <w:r>
              <w:rPr>
                <w:rFonts w:hint="eastAsia" w:cs="Times New Roman"/>
                <w:color w:val="000000" w:themeColor="text1"/>
                <w:kern w:val="0"/>
                <w:sz w:val="24"/>
                <w:szCs w:val="24"/>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kern w:val="0"/>
                <w:sz w:val="24"/>
                <w:szCs w:val="24"/>
                <w:highlight w:val="none"/>
                <w14:textFill>
                  <w14:solidFill>
                    <w14:schemeClr w14:val="tx1"/>
                  </w14:solidFill>
                </w14:textFill>
              </w:rPr>
              <w:t>年，全区环境空气六项污染物年均浓度均达标。</w:t>
            </w:r>
            <w:r>
              <w:rPr>
                <w:rFonts w:hint="eastAsia" w:cs="Times New Roman"/>
                <w:color w:val="000000" w:themeColor="text1"/>
                <w:kern w:val="0"/>
                <w:sz w:val="24"/>
                <w:szCs w:val="24"/>
                <w:highlight w:val="none"/>
                <w:lang w:val="en-US" w:eastAsia="zh-CN"/>
                <w14:textFill>
                  <w14:solidFill>
                    <w14:schemeClr w14:val="tx1"/>
                  </w14:solidFill>
                </w14:textFill>
              </w:rPr>
              <w:t xml:space="preserve"> </w:t>
            </w:r>
            <w:r>
              <w:rPr>
                <w:rFonts w:hint="default" w:ascii="Times New Roman" w:hAnsi="Times New Roman" w:eastAsia="宋体" w:cs="Times New Roman"/>
                <w:color w:val="000000" w:themeColor="text1"/>
                <w:kern w:val="0"/>
                <w:sz w:val="24"/>
                <w:szCs w:val="24"/>
                <w:highlight w:val="none"/>
                <w14:textFill>
                  <w14:solidFill>
                    <w14:schemeClr w14:val="tx1"/>
                  </w14:solidFill>
                </w14:textFill>
              </w:rPr>
              <w:t>鄂尔多斯市六项基本污染物年平均浓度</w:t>
            </w:r>
            <w:r>
              <w:rPr>
                <w:rFonts w:hint="eastAsia" w:cs="Times New Roman"/>
                <w:color w:val="000000" w:themeColor="text1"/>
                <w:kern w:val="0"/>
                <w:sz w:val="24"/>
                <w:szCs w:val="24"/>
                <w:highlight w:val="none"/>
                <w:lang w:val="en-US" w:eastAsia="zh-CN"/>
                <w14:textFill>
                  <w14:solidFill>
                    <w14:schemeClr w14:val="tx1"/>
                  </w14:solidFill>
                </w14:textFill>
              </w:rPr>
              <w:t>满足《环境空气质量标准》（GB3095-2026）过渡阶段二类浓度限值</w:t>
            </w:r>
            <w:r>
              <w:rPr>
                <w:rFonts w:hint="default" w:ascii="Times New Roman" w:hAnsi="Times New Roman" w:eastAsia="宋体" w:cs="Times New Roman"/>
                <w:color w:val="000000" w:themeColor="text1"/>
                <w:kern w:val="0"/>
                <w:sz w:val="24"/>
                <w:szCs w:val="24"/>
                <w:highlight w:val="none"/>
                <w14:textFill>
                  <w14:solidFill>
                    <w14:schemeClr w14:val="tx1"/>
                  </w14:solidFill>
                </w14:textFill>
              </w:rPr>
              <w:t>。因此，本项目区域为环境空气质量达标区。</w:t>
            </w:r>
          </w:p>
          <w:p w14:paraId="0326314D">
            <w:pPr>
              <w:keepNext w:val="0"/>
              <w:keepLines w:val="0"/>
              <w:pageBreakBefore w:val="0"/>
              <w:widowControl w:val="0"/>
              <w:kinsoku/>
              <w:wordWrap/>
              <w:overflowPunct/>
              <w:topLinePunct w:val="0"/>
              <w:autoSpaceDE/>
              <w:autoSpaceDN/>
              <w:bidi w:val="0"/>
              <w:adjustRightInd/>
              <w:spacing w:line="360" w:lineRule="auto"/>
              <w:ind w:firstLine="482"/>
              <w:jc w:val="both"/>
              <w:textAlignment w:val="auto"/>
              <w:outlineLvl w:val="2"/>
              <w:rPr>
                <w:rFonts w:hint="default" w:ascii="Times New Roman" w:hAnsi="Times New Roman" w:eastAsia="宋体" w:cs="Times New Roman"/>
                <w:b/>
                <w:bCs/>
                <w:color w:val="000000" w:themeColor="text1"/>
                <w:sz w:val="24"/>
                <w:szCs w:val="24"/>
                <w:highlight w:val="none"/>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14:textFill>
                  <w14:solidFill>
                    <w14:schemeClr w14:val="tx1"/>
                  </w14:solidFill>
                </w14:textFill>
              </w:rPr>
              <w:t>1.2特征污染物</w:t>
            </w:r>
          </w:p>
          <w:p w14:paraId="16BE645F">
            <w:pPr>
              <w:keepNext w:val="0"/>
              <w:keepLines w:val="0"/>
              <w:pageBreakBefore w:val="0"/>
              <w:widowControl w:val="0"/>
              <w:kinsoku/>
              <w:wordWrap/>
              <w:overflowPunct/>
              <w:topLinePunct w:val="0"/>
              <w:autoSpaceDE/>
              <w:autoSpaceDN/>
              <w:bidi w:val="0"/>
              <w:adjustRightInd/>
              <w:spacing w:line="360" w:lineRule="auto"/>
              <w:ind w:firstLine="480" w:firstLineChars="200"/>
              <w:jc w:val="both"/>
              <w:textAlignment w:val="auto"/>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pPr>
            <w:r>
              <w:rPr>
                <w:rFonts w:ascii="宋体" w:hAnsi="宋体" w:eastAsia="宋体" w:cs="宋体"/>
                <w:color w:val="000000" w:themeColor="text1"/>
                <w:sz w:val="24"/>
                <w:szCs w:val="24"/>
                <w:highlight w:val="none"/>
                <w14:textFill>
                  <w14:solidFill>
                    <w14:schemeClr w14:val="tx1"/>
                  </w14:solidFill>
                </w14:textFill>
              </w:rPr>
              <w:t>根据《建设项目环境影响报告表编制技术指南（污染影响类）（试行）》，排放有标准限值要求的</w:t>
            </w:r>
            <w:r>
              <w:rPr>
                <w:rFonts w:hint="default" w:ascii="Times New Roman" w:hAnsi="Times New Roman" w:eastAsia="宋体" w:cs="Times New Roman"/>
                <w:color w:val="000000" w:themeColor="text1"/>
                <w:kern w:val="0"/>
                <w:sz w:val="24"/>
                <w:szCs w:val="24"/>
                <w:highlight w:val="none"/>
                <w14:textFill>
                  <w14:solidFill>
                    <w14:schemeClr w14:val="tx1"/>
                  </w14:solidFill>
                </w14:textFill>
              </w:rPr>
              <w:t>特征污染物时，应引用周边</w:t>
            </w:r>
            <w:r>
              <w:rPr>
                <w:rFonts w:hint="eastAsia" w:cs="Times New Roman"/>
                <w:color w:val="000000" w:themeColor="text1"/>
                <w:kern w:val="0"/>
                <w:sz w:val="24"/>
                <w:szCs w:val="24"/>
                <w:highlight w:val="none"/>
                <w:lang w:eastAsia="zh-CN"/>
                <w14:textFill>
                  <w14:solidFill>
                    <w14:schemeClr w14:val="tx1"/>
                  </w14:solidFill>
                </w14:textFill>
              </w:rPr>
              <w:t>5000m</w:t>
            </w:r>
            <w:r>
              <w:rPr>
                <w:rFonts w:hint="default" w:ascii="Times New Roman" w:hAnsi="Times New Roman" w:eastAsia="宋体" w:cs="Times New Roman"/>
                <w:color w:val="000000" w:themeColor="text1"/>
                <w:kern w:val="0"/>
                <w:sz w:val="24"/>
                <w:szCs w:val="24"/>
                <w:highlight w:val="none"/>
                <w14:textFill>
                  <w14:solidFill>
                    <w14:schemeClr w14:val="tx1"/>
                  </w14:solidFill>
                </w14:textFill>
              </w:rPr>
              <w:t>范围内近3年的监测数据。</w:t>
            </w:r>
          </w:p>
          <w:p w14:paraId="78914A84">
            <w:pPr>
              <w:keepNext w:val="0"/>
              <w:keepLines w:val="0"/>
              <w:pageBreakBefore w:val="0"/>
              <w:widowControl w:val="0"/>
              <w:kinsoku/>
              <w:wordWrap/>
              <w:overflowPunct/>
              <w:topLinePunct w:val="0"/>
              <w:autoSpaceDE/>
              <w:autoSpaceDN/>
              <w:bidi w:val="0"/>
              <w:adjustRightInd/>
              <w:spacing w:line="360" w:lineRule="auto"/>
              <w:ind w:firstLine="480" w:firstLineChars="200"/>
              <w:jc w:val="both"/>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本项目其他污染物</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为TSP，本次大气现状监测引用由鄂尔多斯市清蓝环保有限公司于2024</w:t>
            </w:r>
            <w:r>
              <w:rPr>
                <w:rFonts w:hint="eastAsia" w:cs="Times New Roman"/>
                <w:color w:val="000000" w:themeColor="text1"/>
                <w:sz w:val="24"/>
                <w:szCs w:val="24"/>
                <w:highlight w:val="none"/>
                <w:lang w:val="en-US" w:eastAsia="zh-CN"/>
                <w14:textFill>
                  <w14:solidFill>
                    <w14:schemeClr w14:val="tx1"/>
                  </w14:solidFill>
                </w14:textFill>
              </w:rPr>
              <w:t>年8月1</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4</w:t>
            </w:r>
            <w:r>
              <w:rPr>
                <w:rFonts w:hint="eastAsia" w:cs="Times New Roman"/>
                <w:color w:val="000000" w:themeColor="text1"/>
                <w:sz w:val="24"/>
                <w:szCs w:val="24"/>
                <w:highlight w:val="none"/>
                <w:lang w:val="en-US" w:eastAsia="zh-CN"/>
                <w14:textFill>
                  <w14:solidFill>
                    <w14:schemeClr w14:val="tx1"/>
                  </w14:solidFill>
                </w14:textFill>
              </w:rPr>
              <w:t>日—</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2024</w:t>
            </w:r>
            <w:r>
              <w:rPr>
                <w:rFonts w:hint="eastAsia" w:cs="Times New Roman"/>
                <w:color w:val="000000" w:themeColor="text1"/>
                <w:sz w:val="24"/>
                <w:szCs w:val="24"/>
                <w:highlight w:val="none"/>
                <w:lang w:val="en-US" w:eastAsia="zh-CN"/>
                <w14:textFill>
                  <w14:solidFill>
                    <w14:schemeClr w14:val="tx1"/>
                  </w14:solidFill>
                </w14:textFill>
              </w:rPr>
              <w:t>年8月19日</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为《内蒙古励泰生物能源有限责任公司年产60万吨兰炭型焦配套储棚建设项目环境影响报告表》对特征因子进行现状监测的大气监测数据，该监测数据位于厂址北侧200m以内，监测数据符合《建设项目环境影响报告表编制技术指南（污染影响类）（试行）》近3年有效期，且距离在五公里的有效数据。</w:t>
            </w:r>
          </w:p>
          <w:p w14:paraId="0574824E">
            <w:pPr>
              <w:widowControl/>
              <w:snapToGrid w:val="0"/>
              <w:spacing w:line="360" w:lineRule="auto"/>
              <w:ind w:firstLine="480"/>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本项目氨气现状引用《内蒙古玉晶科技有限公司2×1200t/d光伏压延玻璃生产线及配套深加工项目检测报告》中由北京华成星科检测服务有限公司于2023年12月18日</w:t>
            </w:r>
            <w:r>
              <w:rPr>
                <w:rFonts w:hint="eastAsia" w:cs="Times New Roman"/>
                <w:color w:val="000000" w:themeColor="text1"/>
                <w:sz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12月24日对位于本项目地东侧距离</w:t>
            </w:r>
            <w:r>
              <w:rPr>
                <w:rFonts w:hint="eastAsia" w:cs="Times New Roman"/>
                <w:color w:val="000000" w:themeColor="text1"/>
                <w:sz w:val="24"/>
                <w:highlight w:val="none"/>
                <w:lang w:val="en-US" w:eastAsia="zh-CN"/>
                <w14:textFill>
                  <w14:solidFill>
                    <w14:schemeClr w14:val="tx1"/>
                  </w14:solidFill>
                </w14:textFill>
              </w:rPr>
              <w:t>2.888</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km的内蒙古玉晶科技有限公司进行空气质量监测结果可知，监测数据满足《环境影响评价技术导则大气环境》（HJ2.2—2018）附录D</w:t>
            </w:r>
            <w:r>
              <w:rPr>
                <w:rFonts w:hint="eastAsia" w:cs="Times New Roman"/>
                <w:color w:val="000000" w:themeColor="text1"/>
                <w:sz w:val="24"/>
                <w:highlight w:val="none"/>
                <w:lang w:val="en-US" w:eastAsia="zh-CN"/>
                <w14:textFill>
                  <w14:solidFill>
                    <w14:schemeClr w14:val="tx1"/>
                  </w14:solidFill>
                </w14:textFill>
              </w:rPr>
              <w:t>其他</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污染物空气质量浓度参考限值要求。</w:t>
            </w:r>
          </w:p>
          <w:p w14:paraId="141204C1">
            <w:pPr>
              <w:wordWrap w:val="0"/>
              <w:spacing w:line="360" w:lineRule="auto"/>
              <w:ind w:firstLine="482"/>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①监测项目及监测点位</w:t>
            </w:r>
          </w:p>
          <w:p w14:paraId="12FCF552">
            <w:pPr>
              <w:wordWrap w:val="0"/>
              <w:spacing w:line="360" w:lineRule="auto"/>
              <w:ind w:firstLine="482"/>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本项目引用监测布点信息见</w:t>
            </w:r>
            <w:r>
              <w:rPr>
                <w:rFonts w:hint="eastAsia" w:cs="Times New Roman"/>
                <w:color w:val="000000" w:themeColor="text1"/>
                <w:sz w:val="24"/>
                <w:highlight w:val="none"/>
                <w:lang w:val="en-US" w:eastAsia="zh-CN"/>
                <w14:textFill>
                  <w14:solidFill>
                    <w14:schemeClr w14:val="tx1"/>
                  </w14:solidFill>
                </w14:textFill>
              </w:rPr>
              <w:t>下</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表，其位置见图3-1</w:t>
            </w:r>
            <w:r>
              <w:rPr>
                <w:rFonts w:hint="eastAsia" w:cs="Times New Roman"/>
                <w:color w:val="000000" w:themeColor="text1"/>
                <w:sz w:val="24"/>
                <w:highlight w:val="none"/>
                <w:lang w:val="en-US" w:eastAsia="zh-CN"/>
                <w14:textFill>
                  <w14:solidFill>
                    <w14:schemeClr w14:val="tx1"/>
                  </w14:solidFill>
                </w14:textFill>
              </w:rPr>
              <w:t>、图</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3-</w:t>
            </w:r>
            <w:r>
              <w:rPr>
                <w:rFonts w:hint="eastAsia" w:cs="Times New Roman"/>
                <w:color w:val="000000" w:themeColor="text1"/>
                <w:sz w:val="24"/>
                <w:highlight w:val="none"/>
                <w:lang w:val="en-US" w:eastAsia="zh-CN"/>
                <w14:textFill>
                  <w14:solidFill>
                    <w14:schemeClr w14:val="tx1"/>
                  </w14:solidFill>
                </w14:textFill>
              </w:rPr>
              <w:t>2</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w:t>
            </w:r>
          </w:p>
          <w:p w14:paraId="4ABCECEB">
            <w:pPr>
              <w:jc w:val="center"/>
              <w:rPr>
                <w:rFonts w:hint="default" w:ascii="Times New Roman" w:hAnsi="Times New Roman" w:eastAsia="宋体" w:cs="Times New Roman"/>
                <w:b/>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b/>
                <w:color w:val="000000" w:themeColor="text1"/>
                <w:sz w:val="24"/>
                <w:highlight w:val="none"/>
                <w:lang w:val="en-US" w:eastAsia="zh-CN"/>
                <w14:textFill>
                  <w14:solidFill>
                    <w14:schemeClr w14:val="tx1"/>
                  </w14:solidFill>
                </w14:textFill>
              </w:rPr>
              <w:t>表</w:t>
            </w:r>
            <w:r>
              <w:rPr>
                <w:rFonts w:hint="eastAsia" w:ascii="Times New Roman" w:hAnsi="Times New Roman" w:eastAsia="宋体" w:cs="Times New Roman"/>
                <w:b/>
                <w:color w:val="000000" w:themeColor="text1"/>
                <w:sz w:val="24"/>
                <w:highlight w:val="none"/>
                <w:lang w:val="en-US" w:eastAsia="zh-CN"/>
                <w14:textFill>
                  <w14:solidFill>
                    <w14:schemeClr w14:val="tx1"/>
                  </w14:solidFill>
                </w14:textFill>
              </w:rPr>
              <w:t>3-</w:t>
            </w:r>
            <w:r>
              <w:rPr>
                <w:rFonts w:hint="eastAsia" w:cs="Times New Roman"/>
                <w:b/>
                <w:color w:val="000000" w:themeColor="text1"/>
                <w:sz w:val="24"/>
                <w:highlight w:val="none"/>
                <w:lang w:val="en-US" w:eastAsia="zh-CN"/>
                <w14:textFill>
                  <w14:solidFill>
                    <w14:schemeClr w14:val="tx1"/>
                  </w14:solidFill>
                </w14:textFill>
              </w:rPr>
              <w:t>1引用环境空气质量</w:t>
            </w:r>
            <w:r>
              <w:rPr>
                <w:rFonts w:hint="default" w:ascii="Times New Roman" w:hAnsi="Times New Roman" w:eastAsia="宋体" w:cs="Times New Roman"/>
                <w:b/>
                <w:color w:val="000000" w:themeColor="text1"/>
                <w:sz w:val="24"/>
                <w:highlight w:val="none"/>
                <w:lang w:val="en-US" w:eastAsia="zh-CN"/>
                <w14:textFill>
                  <w14:solidFill>
                    <w14:schemeClr w14:val="tx1"/>
                  </w14:solidFill>
                </w14:textFill>
              </w:rPr>
              <w:t>监测</w:t>
            </w:r>
            <w:r>
              <w:rPr>
                <w:rFonts w:hint="eastAsia" w:cs="Times New Roman"/>
                <w:b/>
                <w:color w:val="000000" w:themeColor="text1"/>
                <w:sz w:val="24"/>
                <w:highlight w:val="none"/>
                <w:lang w:val="en-US" w:eastAsia="zh-CN"/>
                <w14:textFill>
                  <w14:solidFill>
                    <w14:schemeClr w14:val="tx1"/>
                  </w14:solidFill>
                </w14:textFill>
              </w:rPr>
              <w:t>点位</w:t>
            </w:r>
            <w:r>
              <w:rPr>
                <w:rFonts w:hint="default" w:ascii="Times New Roman" w:hAnsi="Times New Roman" w:eastAsia="宋体" w:cs="Times New Roman"/>
                <w:b/>
                <w:color w:val="000000" w:themeColor="text1"/>
                <w:sz w:val="24"/>
                <w:highlight w:val="none"/>
                <w:lang w:val="en-US" w:eastAsia="zh-CN"/>
                <w14:textFill>
                  <w14:solidFill>
                    <w14:schemeClr w14:val="tx1"/>
                  </w14:solidFill>
                </w14:textFill>
              </w:rPr>
              <w:t>及监测因子情况</w:t>
            </w:r>
          </w:p>
          <w:tbl>
            <w:tblPr>
              <w:tblStyle w:val="2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
              <w:gridCol w:w="2462"/>
              <w:gridCol w:w="1391"/>
              <w:gridCol w:w="3281"/>
            </w:tblGrid>
            <w:tr w14:paraId="176B5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521" w:type="pct"/>
                  <w:tcBorders>
                    <w:tl2br w:val="nil"/>
                    <w:tr2bl w:val="nil"/>
                  </w:tcBorders>
                  <w:noWrap w:val="0"/>
                  <w:vAlign w:val="center"/>
                </w:tcPr>
                <w:p w14:paraId="0D603F69">
                  <w:pPr>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序号</w:t>
                  </w:r>
                </w:p>
              </w:tc>
              <w:tc>
                <w:tcPr>
                  <w:tcW w:w="1545" w:type="pct"/>
                  <w:tcBorders>
                    <w:tl2br w:val="nil"/>
                    <w:tr2bl w:val="nil"/>
                  </w:tcBorders>
                  <w:noWrap w:val="0"/>
                  <w:vAlign w:val="center"/>
                </w:tcPr>
                <w:p w14:paraId="771C4853">
                  <w:pPr>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监测点名称</w:t>
                  </w:r>
                </w:p>
              </w:tc>
              <w:tc>
                <w:tcPr>
                  <w:tcW w:w="873" w:type="pct"/>
                  <w:tcBorders>
                    <w:tl2br w:val="nil"/>
                    <w:tr2bl w:val="nil"/>
                  </w:tcBorders>
                  <w:noWrap w:val="0"/>
                  <w:vAlign w:val="center"/>
                </w:tcPr>
                <w:p w14:paraId="2495E79D">
                  <w:pPr>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监测项目</w:t>
                  </w:r>
                </w:p>
              </w:tc>
              <w:tc>
                <w:tcPr>
                  <w:tcW w:w="2059" w:type="pct"/>
                  <w:tcBorders>
                    <w:tl2br w:val="nil"/>
                    <w:tr2bl w:val="nil"/>
                  </w:tcBorders>
                  <w:noWrap w:val="0"/>
                  <w:vAlign w:val="center"/>
                </w:tcPr>
                <w:p w14:paraId="049D6B00">
                  <w:pPr>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坐标</w:t>
                  </w:r>
                </w:p>
              </w:tc>
            </w:tr>
            <w:tr w14:paraId="75E16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521" w:type="pct"/>
                  <w:tcBorders>
                    <w:tl2br w:val="nil"/>
                    <w:tr2bl w:val="nil"/>
                  </w:tcBorders>
                  <w:noWrap w:val="0"/>
                  <w:vAlign w:val="center"/>
                </w:tcPr>
                <w:p w14:paraId="04CFD3A1">
                  <w:pPr>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G1</w:t>
                  </w:r>
                </w:p>
              </w:tc>
              <w:tc>
                <w:tcPr>
                  <w:tcW w:w="1545" w:type="pct"/>
                  <w:tcBorders>
                    <w:tl2br w:val="nil"/>
                    <w:tr2bl w:val="nil"/>
                  </w:tcBorders>
                  <w:noWrap w:val="0"/>
                  <w:vAlign w:val="center"/>
                </w:tcPr>
                <w:p w14:paraId="173F5D8E">
                  <w:pPr>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玉晶科技厂区</w:t>
                  </w:r>
                </w:p>
              </w:tc>
              <w:tc>
                <w:tcPr>
                  <w:tcW w:w="873" w:type="pct"/>
                  <w:tcBorders>
                    <w:tl2br w:val="nil"/>
                    <w:tr2bl w:val="nil"/>
                  </w:tcBorders>
                  <w:noWrap w:val="0"/>
                  <w:vAlign w:val="center"/>
                </w:tcPr>
                <w:p w14:paraId="21B96786">
                  <w:pPr>
                    <w:jc w:val="center"/>
                    <w:rPr>
                      <w:rFonts w:hint="default" w:ascii="Times New Roman" w:hAnsi="Times New Roman" w:eastAsia="宋体" w:cs="Times New Roman"/>
                      <w:color w:val="000000" w:themeColor="text1"/>
                      <w:sz w:val="21"/>
                      <w:szCs w:val="21"/>
                      <w:highlight w:val="none"/>
                      <w:vertAlign w:val="subscript"/>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氨气</w:t>
                  </w:r>
                </w:p>
              </w:tc>
              <w:tc>
                <w:tcPr>
                  <w:tcW w:w="2059" w:type="pct"/>
                  <w:tcBorders>
                    <w:tl2br w:val="nil"/>
                    <w:tr2bl w:val="nil"/>
                  </w:tcBorders>
                  <w:noWrap w:val="0"/>
                  <w:vAlign w:val="center"/>
                </w:tcPr>
                <w:p w14:paraId="02A858F9">
                  <w:pPr>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E110°53′58.44″</w:t>
                  </w:r>
                  <w:r>
                    <w:rPr>
                      <w:rFonts w:hint="eastAsia" w:cs="Times New Roman"/>
                      <w:color w:val="000000" w:themeColor="text1"/>
                      <w:sz w:val="21"/>
                      <w:szCs w:val="21"/>
                      <w:highlight w:val="none"/>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N39°42′59.26″</w:t>
                  </w:r>
                </w:p>
              </w:tc>
            </w:tr>
          </w:tbl>
          <w:p w14:paraId="29353CA3">
            <w:pPr>
              <w:snapToGrid w:val="0"/>
              <w:ind w:firstLine="482" w:firstLineChars="200"/>
              <w:jc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eastAsia="宋体" w:cs="Times New Roman"/>
                <w:b/>
                <w:bCs/>
                <w:color w:val="000000" w:themeColor="text1"/>
                <w:kern w:val="0"/>
                <w:sz w:val="24"/>
                <w:highlight w:val="none"/>
                <w14:textFill>
                  <w14:solidFill>
                    <w14:schemeClr w14:val="tx1"/>
                  </w14:solidFill>
                </w14:textFill>
              </w:rPr>
              <w:t>表</w:t>
            </w:r>
            <w:r>
              <w:rPr>
                <w:rFonts w:hint="default" w:ascii="Times New Roman" w:hAnsi="Times New Roman" w:eastAsia="宋体" w:cs="Times New Roman"/>
                <w:b/>
                <w:bCs/>
                <w:color w:val="000000" w:themeColor="text1"/>
                <w:kern w:val="0"/>
                <w:sz w:val="24"/>
                <w:highlight w:val="none"/>
                <w:lang w:val="en-US" w:eastAsia="zh-CN"/>
                <w14:textFill>
                  <w14:solidFill>
                    <w14:schemeClr w14:val="tx1"/>
                  </w14:solidFill>
                </w14:textFill>
              </w:rPr>
              <w:t>3-</w:t>
            </w:r>
            <w:r>
              <w:rPr>
                <w:rFonts w:hint="eastAsia" w:cs="Times New Roman"/>
                <w:b/>
                <w:bCs/>
                <w:color w:val="000000" w:themeColor="text1"/>
                <w:kern w:val="0"/>
                <w:sz w:val="24"/>
                <w:highlight w:val="none"/>
                <w:lang w:val="en-US" w:eastAsia="zh-CN"/>
                <w14:textFill>
                  <w14:solidFill>
                    <w14:schemeClr w14:val="tx1"/>
                  </w14:solidFill>
                </w14:textFill>
              </w:rPr>
              <w:t>2</w:t>
            </w:r>
            <w:r>
              <w:rPr>
                <w:rFonts w:hint="eastAsia" w:cs="Times New Roman"/>
                <w:b/>
                <w:color w:val="000000" w:themeColor="text1"/>
                <w:sz w:val="24"/>
                <w:highlight w:val="none"/>
                <w:lang w:val="en-US" w:eastAsia="zh-CN"/>
                <w14:textFill>
                  <w14:solidFill>
                    <w14:schemeClr w14:val="tx1"/>
                  </w14:solidFill>
                </w14:textFill>
              </w:rPr>
              <w:t>引用环境空气质量</w:t>
            </w:r>
            <w:r>
              <w:rPr>
                <w:rFonts w:hint="default" w:ascii="Times New Roman" w:hAnsi="Times New Roman" w:eastAsia="宋体" w:cs="Times New Roman"/>
                <w:b/>
                <w:color w:val="000000" w:themeColor="text1"/>
                <w:sz w:val="24"/>
                <w:highlight w:val="none"/>
                <w:lang w:val="en-US" w:eastAsia="zh-CN"/>
                <w14:textFill>
                  <w14:solidFill>
                    <w14:schemeClr w14:val="tx1"/>
                  </w14:solidFill>
                </w14:textFill>
              </w:rPr>
              <w:t>监测</w:t>
            </w:r>
            <w:r>
              <w:rPr>
                <w:rFonts w:hint="eastAsia" w:cs="Times New Roman"/>
                <w:b/>
                <w:color w:val="000000" w:themeColor="text1"/>
                <w:sz w:val="24"/>
                <w:highlight w:val="none"/>
                <w:lang w:val="en-US" w:eastAsia="zh-CN"/>
                <w14:textFill>
                  <w14:solidFill>
                    <w14:schemeClr w14:val="tx1"/>
                  </w14:solidFill>
                </w14:textFill>
              </w:rPr>
              <w:t>点位</w:t>
            </w:r>
            <w:r>
              <w:rPr>
                <w:rFonts w:hint="default" w:ascii="Times New Roman" w:hAnsi="Times New Roman" w:eastAsia="宋体" w:cs="Times New Roman"/>
                <w:b/>
                <w:color w:val="000000" w:themeColor="text1"/>
                <w:sz w:val="24"/>
                <w:highlight w:val="none"/>
                <w:lang w:val="en-US" w:eastAsia="zh-CN"/>
                <w14:textFill>
                  <w14:solidFill>
                    <w14:schemeClr w14:val="tx1"/>
                  </w14:solidFill>
                </w14:textFill>
              </w:rPr>
              <w:t>及监测因子</w:t>
            </w:r>
            <w:r>
              <w:rPr>
                <w:rFonts w:hint="default" w:ascii="Times New Roman" w:hAnsi="Times New Roman" w:eastAsia="宋体" w:cs="Times New Roman"/>
                <w:b/>
                <w:bCs/>
                <w:color w:val="000000" w:themeColor="text1"/>
                <w:kern w:val="0"/>
                <w:sz w:val="24"/>
                <w:szCs w:val="24"/>
                <w:highlight w:val="none"/>
                <w:lang w:val="en-US" w:eastAsia="zh-CN" w:bidi="ar"/>
                <w14:textFill>
                  <w14:solidFill>
                    <w14:schemeClr w14:val="tx1"/>
                  </w14:solidFill>
                </w14:textFill>
              </w:rPr>
              <w:t>一览表</w:t>
            </w:r>
          </w:p>
          <w:tbl>
            <w:tblPr>
              <w:tblStyle w:val="2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7"/>
              <w:gridCol w:w="941"/>
              <w:gridCol w:w="2541"/>
              <w:gridCol w:w="2009"/>
              <w:gridCol w:w="1593"/>
            </w:tblGrid>
            <w:tr w14:paraId="642FC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1" w:type="pct"/>
                  <w:noWrap w:val="0"/>
                  <w:vAlign w:val="top"/>
                </w:tcPr>
                <w:p w14:paraId="51E0AD45">
                  <w:pPr>
                    <w:snapToGrid w:val="0"/>
                    <w:jc w:val="cente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编号</w:t>
                  </w:r>
                </w:p>
              </w:tc>
              <w:tc>
                <w:tcPr>
                  <w:tcW w:w="591" w:type="pct"/>
                  <w:noWrap w:val="0"/>
                  <w:vAlign w:val="top"/>
                </w:tcPr>
                <w:p w14:paraId="45CBE129">
                  <w:pPr>
                    <w:snapToGrid w:val="0"/>
                    <w:jc w:val="cente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点位</w:t>
                  </w:r>
                </w:p>
              </w:tc>
              <w:tc>
                <w:tcPr>
                  <w:tcW w:w="1595" w:type="pct"/>
                  <w:noWrap w:val="0"/>
                  <w:vAlign w:val="top"/>
                </w:tcPr>
                <w:p w14:paraId="2A03FE66">
                  <w:pPr>
                    <w:keepNext w:val="0"/>
                    <w:keepLines w:val="0"/>
                    <w:widowControl/>
                    <w:suppressLineNumbers w:val="0"/>
                    <w:jc w:val="left"/>
                    <w:rPr>
                      <w:rFonts w:hint="default" w:ascii="Times New Roman" w:hAnsi="Times New Roman" w:eastAsia="宋体" w:cs="Times New Roman"/>
                      <w:b w:val="0"/>
                      <w:bCs w:val="0"/>
                      <w:color w:val="000000" w:themeColor="text1"/>
                      <w:kern w:val="0"/>
                      <w:sz w:val="21"/>
                      <w:szCs w:val="21"/>
                      <w:highlight w:val="none"/>
                      <w:vertAlign w:val="baseline"/>
                      <w14:textFill>
                        <w14:solidFill>
                          <w14:schemeClr w14:val="tx1"/>
                        </w14:solidFill>
                      </w14:textFill>
                    </w:rPr>
                  </w:pPr>
                  <w:r>
                    <w:rPr>
                      <w:rFonts w:hint="default" w:ascii="Times New Roman" w:hAnsi="Times New Roman" w:eastAsia="宋体" w:cs="Times New Roman"/>
                      <w:color w:val="000000" w:themeColor="text1"/>
                      <w:kern w:val="0"/>
                      <w:sz w:val="20"/>
                      <w:szCs w:val="20"/>
                      <w:highlight w:val="none"/>
                      <w:lang w:val="en-US" w:eastAsia="zh-CN" w:bidi="ar"/>
                      <w14:textFill>
                        <w14:solidFill>
                          <w14:schemeClr w14:val="tx1"/>
                        </w14:solidFill>
                      </w14:textFill>
                    </w:rPr>
                    <w:t>引用项目相对本项目方位</w:t>
                  </w:r>
                </w:p>
              </w:tc>
              <w:tc>
                <w:tcPr>
                  <w:tcW w:w="1261" w:type="pct"/>
                  <w:noWrap w:val="0"/>
                  <w:vAlign w:val="top"/>
                </w:tcPr>
                <w:p w14:paraId="76F8ADEC">
                  <w:pPr>
                    <w:keepNext w:val="0"/>
                    <w:keepLines w:val="0"/>
                    <w:widowControl/>
                    <w:suppressLineNumbers w:val="0"/>
                    <w:jc w:val="left"/>
                    <w:rPr>
                      <w:rFonts w:hint="default" w:ascii="Times New Roman" w:hAnsi="Times New Roman" w:eastAsia="宋体" w:cs="Times New Roman"/>
                      <w:b w:val="0"/>
                      <w:bCs w:val="0"/>
                      <w:color w:val="000000" w:themeColor="text1"/>
                      <w:kern w:val="0"/>
                      <w:sz w:val="21"/>
                      <w:szCs w:val="21"/>
                      <w:highlight w:val="none"/>
                      <w:vertAlign w:val="baseline"/>
                      <w14:textFill>
                        <w14:solidFill>
                          <w14:schemeClr w14:val="tx1"/>
                        </w14:solidFill>
                      </w14:textFill>
                    </w:rPr>
                  </w:pPr>
                  <w:r>
                    <w:rPr>
                      <w:rFonts w:hint="default" w:ascii="Times New Roman" w:hAnsi="Times New Roman" w:eastAsia="宋体" w:cs="Times New Roman"/>
                      <w:color w:val="000000" w:themeColor="text1"/>
                      <w:kern w:val="0"/>
                      <w:sz w:val="20"/>
                      <w:szCs w:val="20"/>
                      <w:highlight w:val="none"/>
                      <w:lang w:val="en-US" w:eastAsia="zh-CN" w:bidi="ar"/>
                      <w14:textFill>
                        <w14:solidFill>
                          <w14:schemeClr w14:val="tx1"/>
                        </w14:solidFill>
                      </w14:textFill>
                    </w:rPr>
                    <w:t>相对本项目距离（m）</w:t>
                  </w:r>
                </w:p>
              </w:tc>
              <w:tc>
                <w:tcPr>
                  <w:tcW w:w="1000" w:type="pct"/>
                  <w:noWrap w:val="0"/>
                  <w:vAlign w:val="top"/>
                </w:tcPr>
                <w:p w14:paraId="7B27A1F8">
                  <w:pPr>
                    <w:snapToGrid w:val="0"/>
                    <w:jc w:val="cente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监测项目</w:t>
                  </w:r>
                </w:p>
              </w:tc>
            </w:tr>
            <w:tr w14:paraId="4806F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1" w:type="pct"/>
                  <w:noWrap w:val="0"/>
                  <w:vAlign w:val="top"/>
                </w:tcPr>
                <w:p w14:paraId="2866B59F">
                  <w:pPr>
                    <w:snapToGrid w:val="0"/>
                    <w:jc w:val="cente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1</w:t>
                  </w:r>
                </w:p>
              </w:tc>
              <w:tc>
                <w:tcPr>
                  <w:tcW w:w="591" w:type="pct"/>
                  <w:noWrap w:val="0"/>
                  <w:vAlign w:val="top"/>
                </w:tcPr>
                <w:p w14:paraId="32E6DECC">
                  <w:pPr>
                    <w:snapToGrid w:val="0"/>
                    <w:jc w:val="cente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厂区</w:t>
                  </w:r>
                </w:p>
              </w:tc>
              <w:tc>
                <w:tcPr>
                  <w:tcW w:w="1595" w:type="pct"/>
                  <w:noWrap w:val="0"/>
                  <w:vAlign w:val="top"/>
                </w:tcPr>
                <w:p w14:paraId="1A7F29DE">
                  <w:pPr>
                    <w:snapToGrid w:val="0"/>
                    <w:jc w:val="cente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北侧上风向</w:t>
                  </w:r>
                </w:p>
              </w:tc>
              <w:tc>
                <w:tcPr>
                  <w:tcW w:w="1261" w:type="pct"/>
                  <w:noWrap w:val="0"/>
                  <w:vAlign w:val="top"/>
                </w:tcPr>
                <w:p w14:paraId="77B969FE">
                  <w:pPr>
                    <w:snapToGrid w:val="0"/>
                    <w:jc w:val="cente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200</w:t>
                  </w:r>
                </w:p>
              </w:tc>
              <w:tc>
                <w:tcPr>
                  <w:tcW w:w="1000" w:type="pct"/>
                  <w:noWrap w:val="0"/>
                  <w:vAlign w:val="top"/>
                </w:tcPr>
                <w:p w14:paraId="2D1FBA72">
                  <w:pPr>
                    <w:snapToGrid w:val="0"/>
                    <w:jc w:val="cente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TSP</w:t>
                  </w:r>
                </w:p>
              </w:tc>
            </w:tr>
          </w:tbl>
          <w:p w14:paraId="5BA3FAE0">
            <w:pPr>
              <w:snapToGrid w:val="0"/>
              <w:jc w:val="center"/>
              <w:rPr>
                <w:rFonts w:hint="default" w:ascii="Times New Roman" w:hAnsi="Times New Roman" w:eastAsia="宋体" w:cs="Times New Roman"/>
                <w:b/>
                <w:bCs/>
                <w:color w:val="000000" w:themeColor="text1"/>
                <w:kern w:val="0"/>
                <w:sz w:val="24"/>
                <w:szCs w:val="24"/>
                <w:highlight w:val="none"/>
                <w:lang w:val="en-US" w:eastAsia="zh-CN" w:bidi="ar"/>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mc:AlternateContent>
                <mc:Choice Requires="wps">
                  <w:drawing>
                    <wp:anchor distT="0" distB="0" distL="114300" distR="114300" simplePos="0" relativeHeight="251666432" behindDoc="0" locked="0" layoutInCell="1" allowOverlap="1">
                      <wp:simplePos x="0" y="0"/>
                      <wp:positionH relativeFrom="column">
                        <wp:posOffset>978535</wp:posOffset>
                      </wp:positionH>
                      <wp:positionV relativeFrom="paragraph">
                        <wp:posOffset>1784350</wp:posOffset>
                      </wp:positionV>
                      <wp:extent cx="307340" cy="168910"/>
                      <wp:effectExtent l="9525" t="9525" r="26035" b="12065"/>
                      <wp:wrapNone/>
                      <wp:docPr id="8" name="矩形 150"/>
                      <wp:cNvGraphicFramePr/>
                      <a:graphic xmlns:a="http://schemas.openxmlformats.org/drawingml/2006/main">
                        <a:graphicData uri="http://schemas.microsoft.com/office/word/2010/wordprocessingShape">
                          <wps:wsp>
                            <wps:cNvSpPr/>
                            <wps:spPr>
                              <a:xfrm>
                                <a:off x="0" y="0"/>
                                <a:ext cx="307340" cy="168910"/>
                              </a:xfrm>
                              <a:prstGeom prst="rect">
                                <a:avLst/>
                              </a:prstGeom>
                              <a:noFill/>
                              <a:ln w="19050" cap="flat" cmpd="sng">
                                <a:solidFill>
                                  <a:srgbClr val="C00000"/>
                                </a:solidFill>
                                <a:prstDash val="solid"/>
                                <a:miter/>
                                <a:headEnd type="none" w="med" len="med"/>
                                <a:tailEnd type="none" w="med" len="med"/>
                              </a:ln>
                            </wps:spPr>
                            <wps:bodyPr upright="1"/>
                          </wps:wsp>
                        </a:graphicData>
                      </a:graphic>
                    </wp:anchor>
                  </w:drawing>
                </mc:Choice>
                <mc:Fallback>
                  <w:pict>
                    <v:rect id="矩形 150" o:spid="_x0000_s1026" o:spt="1" style="position:absolute;left:0pt;margin-left:77.05pt;margin-top:140.5pt;height:13.3pt;width:24.2pt;z-index:251666432;mso-width-relative:page;mso-height-relative:page;" filled="f" stroked="t" coordsize="21600,21600" o:gfxdata="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C4zudf2QAAAAsBAAAPAAAAAAAAAAEAIAAAACIAAABkcnMvZG93bnJldi54&#10;bWxQSwECFAAUAAAACACHTuJACBLCaPkBAAD3AwAADgAAAAAAAAABACAAAAAoAQAAZHJzL2Uyb0Rv&#10;Yy54bWxQSwUGAAAAAAYABgBZAQAAkwUAAAAA&#10;">
                      <v:fill on="f" focussize="0,0"/>
                      <v:stroke weight="1.5pt" color="#C00000" joinstyle="miter"/>
                      <v:imagedata o:title=""/>
                      <o:lock v:ext="edit" aspectratio="f"/>
                    </v:rect>
                  </w:pict>
                </mc:Fallback>
              </mc:AlternateContent>
            </w:r>
            <w:r>
              <w:rPr>
                <w:rFonts w:hint="default" w:ascii="Times New Roman" w:hAnsi="Times New Roman" w:cs="Times New Roman"/>
                <w:color w:val="000000" w:themeColor="text1"/>
                <w:sz w:val="24"/>
                <w:highlight w:val="none"/>
                <w14:textFill>
                  <w14:solidFill>
                    <w14:schemeClr w14:val="tx1"/>
                  </w14:solidFill>
                </w14:textFill>
              </w:rPr>
              <mc:AlternateContent>
                <mc:Choice Requires="wps">
                  <w:drawing>
                    <wp:anchor distT="0" distB="0" distL="114300" distR="114300" simplePos="0" relativeHeight="251665408" behindDoc="0" locked="0" layoutInCell="1" allowOverlap="1">
                      <wp:simplePos x="0" y="0"/>
                      <wp:positionH relativeFrom="column">
                        <wp:posOffset>186690</wp:posOffset>
                      </wp:positionH>
                      <wp:positionV relativeFrom="paragraph">
                        <wp:posOffset>1464310</wp:posOffset>
                      </wp:positionV>
                      <wp:extent cx="1113155" cy="1104265"/>
                      <wp:effectExtent l="4445" t="4445" r="6350" b="15240"/>
                      <wp:wrapNone/>
                      <wp:docPr id="7" name="文本框 149"/>
                      <wp:cNvGraphicFramePr/>
                      <a:graphic xmlns:a="http://schemas.openxmlformats.org/drawingml/2006/main">
                        <a:graphicData uri="http://schemas.microsoft.com/office/word/2010/wordprocessingShape">
                          <wps:wsp>
                            <wps:cNvSpPr txBox="1"/>
                            <wps:spPr>
                              <a:xfrm>
                                <a:off x="0" y="0"/>
                                <a:ext cx="1113155" cy="1104265"/>
                              </a:xfrm>
                              <a:prstGeom prst="rect">
                                <a:avLst/>
                              </a:prstGeom>
                              <a:noFill/>
                              <a:ln w="9525" cap="flat" cmpd="sng">
                                <a:solidFill>
                                  <a:srgbClr val="000000"/>
                                </a:solidFill>
                                <a:prstDash val="solid"/>
                                <a:miter/>
                                <a:headEnd type="none" w="med" len="med"/>
                                <a:tailEnd type="none" w="med" len="med"/>
                              </a:ln>
                            </wps:spPr>
                            <wps:txbx>
                              <w:txbxContent>
                                <w:p w14:paraId="364BBE41">
                                  <w:pPr>
                                    <w:spacing w:line="360" w:lineRule="auto"/>
                                    <w:ind w:firstLine="211" w:firstLineChars="100"/>
                                    <w:rPr>
                                      <w:rFonts w:hint="eastAsia"/>
                                      <w:b/>
                                      <w:bCs/>
                                      <w:color w:val="FFFFFF"/>
                                      <w:lang w:val="en-US" w:eastAsia="zh-CN"/>
                                    </w:rPr>
                                  </w:pPr>
                                  <w:r>
                                    <w:rPr>
                                      <w:rFonts w:hint="eastAsia"/>
                                      <w:b/>
                                      <w:bCs/>
                                      <w:color w:val="FFFFFF"/>
                                      <w:lang w:val="en-US" w:eastAsia="zh-CN"/>
                                    </w:rPr>
                                    <w:t>图例</w:t>
                                  </w:r>
                                </w:p>
                                <w:p w14:paraId="48A3EE12">
                                  <w:pPr>
                                    <w:spacing w:line="360" w:lineRule="auto"/>
                                    <w:rPr>
                                      <w:rFonts w:hint="eastAsia"/>
                                      <w:b/>
                                      <w:bCs/>
                                      <w:color w:val="FFFFFF"/>
                                      <w:lang w:val="en-US" w:eastAsia="zh-CN"/>
                                    </w:rPr>
                                  </w:pPr>
                                  <w:r>
                                    <w:rPr>
                                      <w:rFonts w:hint="eastAsia"/>
                                      <w:b/>
                                      <w:bCs/>
                                      <w:color w:val="FFFFFF"/>
                                      <w:lang w:val="en-US" w:eastAsia="zh-CN"/>
                                    </w:rPr>
                                    <w:t>本项目位置</w:t>
                                  </w:r>
                                </w:p>
                                <w:p w14:paraId="556B9BCE">
                                  <w:pPr>
                                    <w:spacing w:line="360" w:lineRule="auto"/>
                                    <w:rPr>
                                      <w:rFonts w:hint="eastAsia"/>
                                      <w:b/>
                                      <w:bCs/>
                                      <w:color w:val="FFFFFF"/>
                                      <w:lang w:val="en-US" w:eastAsia="zh-CN"/>
                                    </w:rPr>
                                  </w:pPr>
                                  <w:r>
                                    <w:rPr>
                                      <w:rFonts w:hint="eastAsia"/>
                                      <w:b/>
                                      <w:bCs/>
                                      <w:color w:val="FFFFFF"/>
                                      <w:lang w:val="en-US" w:eastAsia="zh-CN"/>
                                    </w:rPr>
                                    <w:t>引用点位置</w:t>
                                  </w:r>
                                </w:p>
                                <w:p w14:paraId="31741A2C">
                                  <w:pPr>
                                    <w:spacing w:line="360" w:lineRule="auto"/>
                                    <w:rPr>
                                      <w:rFonts w:hint="default"/>
                                      <w:b/>
                                      <w:bCs/>
                                      <w:color w:val="FFFFFF"/>
                                      <w:lang w:val="en-US" w:eastAsia="zh-CN"/>
                                    </w:rPr>
                                  </w:pPr>
                                  <w:r>
                                    <w:rPr>
                                      <w:rFonts w:hint="eastAsia"/>
                                      <w:b/>
                                      <w:bCs/>
                                      <w:color w:val="FFFFFF"/>
                                      <w:lang w:val="en-US" w:eastAsia="zh-CN"/>
                                    </w:rPr>
                                    <w:t>比例尺</w:t>
                                  </w:r>
                                </w:p>
                              </w:txbxContent>
                            </wps:txbx>
                            <wps:bodyPr upright="1"/>
                          </wps:wsp>
                        </a:graphicData>
                      </a:graphic>
                    </wp:anchor>
                  </w:drawing>
                </mc:Choice>
                <mc:Fallback>
                  <w:pict>
                    <v:shape id="文本框 149" o:spid="_x0000_s1026" o:spt="202" type="#_x0000_t202" style="position:absolute;left:0pt;margin-left:14.7pt;margin-top:115.3pt;height:86.95pt;width:87.65pt;z-index:251665408;mso-width-relative:page;mso-height-relative:page;" filled="f" stroked="t" coordsize="21600,21600" o:gfxdata="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Vx1MN1wAAAAoBAAAPAAAAAAAAAAEAIAAAACIAAABk&#10;cnMvZG93bnJldi54bWxQSwECFAAUAAAACACHTuJA6RgKiAcCAAAQBAAADgAAAAAAAAABACAAAAAm&#10;AQAAZHJzL2Uyb0RvYy54bWxQSwUGAAAAAAYABgBZAQAAnwUAAAAA&#10;">
                      <v:fill on="f" focussize="0,0"/>
                      <v:stroke color="#000000" joinstyle="miter"/>
                      <v:imagedata o:title=""/>
                      <o:lock v:ext="edit" aspectratio="f"/>
                      <v:textbox>
                        <w:txbxContent>
                          <w:p w14:paraId="364BBE41">
                            <w:pPr>
                              <w:spacing w:line="360" w:lineRule="auto"/>
                              <w:ind w:firstLine="211" w:firstLineChars="100"/>
                              <w:rPr>
                                <w:rFonts w:hint="eastAsia"/>
                                <w:b/>
                                <w:bCs/>
                                <w:color w:val="FFFFFF"/>
                                <w:lang w:val="en-US" w:eastAsia="zh-CN"/>
                              </w:rPr>
                            </w:pPr>
                            <w:r>
                              <w:rPr>
                                <w:rFonts w:hint="eastAsia"/>
                                <w:b/>
                                <w:bCs/>
                                <w:color w:val="FFFFFF"/>
                                <w:lang w:val="en-US" w:eastAsia="zh-CN"/>
                              </w:rPr>
                              <w:t>图例</w:t>
                            </w:r>
                          </w:p>
                          <w:p w14:paraId="48A3EE12">
                            <w:pPr>
                              <w:spacing w:line="360" w:lineRule="auto"/>
                              <w:rPr>
                                <w:rFonts w:hint="eastAsia"/>
                                <w:b/>
                                <w:bCs/>
                                <w:color w:val="FFFFFF"/>
                                <w:lang w:val="en-US" w:eastAsia="zh-CN"/>
                              </w:rPr>
                            </w:pPr>
                            <w:r>
                              <w:rPr>
                                <w:rFonts w:hint="eastAsia"/>
                                <w:b/>
                                <w:bCs/>
                                <w:color w:val="FFFFFF"/>
                                <w:lang w:val="en-US" w:eastAsia="zh-CN"/>
                              </w:rPr>
                              <w:t>本项目位置</w:t>
                            </w:r>
                          </w:p>
                          <w:p w14:paraId="556B9BCE">
                            <w:pPr>
                              <w:spacing w:line="360" w:lineRule="auto"/>
                              <w:rPr>
                                <w:rFonts w:hint="eastAsia"/>
                                <w:b/>
                                <w:bCs/>
                                <w:color w:val="FFFFFF"/>
                                <w:lang w:val="en-US" w:eastAsia="zh-CN"/>
                              </w:rPr>
                            </w:pPr>
                            <w:r>
                              <w:rPr>
                                <w:rFonts w:hint="eastAsia"/>
                                <w:b/>
                                <w:bCs/>
                                <w:color w:val="FFFFFF"/>
                                <w:lang w:val="en-US" w:eastAsia="zh-CN"/>
                              </w:rPr>
                              <w:t>引用点位置</w:t>
                            </w:r>
                          </w:p>
                          <w:p w14:paraId="31741A2C">
                            <w:pPr>
                              <w:spacing w:line="360" w:lineRule="auto"/>
                              <w:rPr>
                                <w:rFonts w:hint="default"/>
                                <w:b/>
                                <w:bCs/>
                                <w:color w:val="FFFFFF"/>
                                <w:lang w:val="en-US" w:eastAsia="zh-CN"/>
                              </w:rPr>
                            </w:pPr>
                            <w:r>
                              <w:rPr>
                                <w:rFonts w:hint="eastAsia"/>
                                <w:b/>
                                <w:bCs/>
                                <w:color w:val="FFFFFF"/>
                                <w:lang w:val="en-US" w:eastAsia="zh-CN"/>
                              </w:rPr>
                              <w:t>比例尺</w:t>
                            </w:r>
                          </w:p>
                        </w:txbxContent>
                      </v:textbox>
                    </v:shape>
                  </w:pict>
                </mc:Fallback>
              </mc:AlternateContent>
            </w:r>
            <w:r>
              <w:rPr>
                <w:rFonts w:hint="default" w:ascii="Times New Roman" w:hAnsi="Times New Roman" w:eastAsia="宋体" w:cs="Times New Roman"/>
                <w:color w:val="000000" w:themeColor="text1"/>
                <w:sz w:val="24"/>
                <w:szCs w:val="24"/>
                <w:highlight w:val="none"/>
                <w14:textFill>
                  <w14:solidFill>
                    <w14:schemeClr w14:val="tx1"/>
                  </w14:solidFill>
                </w14:textFill>
              </w:rPr>
              <w:drawing>
                <wp:anchor distT="0" distB="0" distL="114300" distR="114300" simplePos="0" relativeHeight="251664384" behindDoc="0" locked="0" layoutInCell="1" allowOverlap="1">
                  <wp:simplePos x="0" y="0"/>
                  <wp:positionH relativeFrom="column">
                    <wp:posOffset>222250</wp:posOffset>
                  </wp:positionH>
                  <wp:positionV relativeFrom="paragraph">
                    <wp:posOffset>41275</wp:posOffset>
                  </wp:positionV>
                  <wp:extent cx="930910" cy="925830"/>
                  <wp:effectExtent l="0" t="0" r="2540" b="7620"/>
                  <wp:wrapNone/>
                  <wp:docPr id="6" name="图片 14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48" descr="IMG_256"/>
                          <pic:cNvPicPr>
                            <a:picLocks noChangeAspect="1"/>
                          </pic:cNvPicPr>
                        </pic:nvPicPr>
                        <pic:blipFill>
                          <a:blip r:embed="rId22"/>
                          <a:stretch>
                            <a:fillRect/>
                          </a:stretch>
                        </pic:blipFill>
                        <pic:spPr>
                          <a:xfrm>
                            <a:off x="0" y="0"/>
                            <a:ext cx="930910" cy="925830"/>
                          </a:xfrm>
                          <a:prstGeom prst="rect">
                            <a:avLst/>
                          </a:prstGeom>
                          <a:noFill/>
                          <a:ln>
                            <a:noFill/>
                          </a:ln>
                        </pic:spPr>
                      </pic:pic>
                    </a:graphicData>
                  </a:graphic>
                </wp:anchor>
              </w:drawing>
            </w:r>
            <w:r>
              <w:rPr>
                <w:rFonts w:hint="default" w:ascii="Times New Roman" w:hAnsi="Times New Roman" w:eastAsia="宋体" w:cs="Times New Roman"/>
                <w:color w:val="000000" w:themeColor="text1"/>
                <w:sz w:val="24"/>
                <w:szCs w:val="24"/>
                <w:highlight w:val="none"/>
                <w14:textFill>
                  <w14:solidFill>
                    <w14:schemeClr w14:val="tx1"/>
                  </w14:solidFill>
                </w14:textFill>
              </w:rPr>
              <w:drawing>
                <wp:anchor distT="0" distB="0" distL="114300" distR="114300" simplePos="0" relativeHeight="251668480" behindDoc="0" locked="0" layoutInCell="1" allowOverlap="1">
                  <wp:simplePos x="0" y="0"/>
                  <wp:positionH relativeFrom="column">
                    <wp:posOffset>972820</wp:posOffset>
                  </wp:positionH>
                  <wp:positionV relativeFrom="paragraph">
                    <wp:posOffset>2308225</wp:posOffset>
                  </wp:positionV>
                  <wp:extent cx="223520" cy="196850"/>
                  <wp:effectExtent l="0" t="0" r="5080" b="12700"/>
                  <wp:wrapNone/>
                  <wp:docPr id="10" name="图片 15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52" descr="IMG_256"/>
                          <pic:cNvPicPr>
                            <a:picLocks noChangeAspect="1"/>
                          </pic:cNvPicPr>
                        </pic:nvPicPr>
                        <pic:blipFill>
                          <a:blip r:embed="rId23"/>
                          <a:stretch>
                            <a:fillRect/>
                          </a:stretch>
                        </pic:blipFill>
                        <pic:spPr>
                          <a:xfrm>
                            <a:off x="0" y="0"/>
                            <a:ext cx="223520" cy="196850"/>
                          </a:xfrm>
                          <a:prstGeom prst="rect">
                            <a:avLst/>
                          </a:prstGeom>
                          <a:noFill/>
                          <a:ln>
                            <a:noFill/>
                          </a:ln>
                        </pic:spPr>
                      </pic:pic>
                    </a:graphicData>
                  </a:graphic>
                </wp:anchor>
              </w:drawing>
            </w:r>
            <w:r>
              <w:rPr>
                <w:rFonts w:hint="default" w:ascii="Times New Roman" w:hAnsi="Times New Roman" w:eastAsia="宋体" w:cs="Times New Roman"/>
                <w:color w:val="000000" w:themeColor="text1"/>
                <w:sz w:val="24"/>
                <w:szCs w:val="24"/>
                <w:highlight w:val="none"/>
                <w14:textFill>
                  <w14:solidFill>
                    <w14:schemeClr w14:val="tx1"/>
                  </w14:solidFill>
                </w14:textFill>
              </w:rPr>
              <w:drawing>
                <wp:anchor distT="0" distB="0" distL="114300" distR="114300" simplePos="0" relativeHeight="251667456" behindDoc="0" locked="0" layoutInCell="1" allowOverlap="1">
                  <wp:simplePos x="0" y="0"/>
                  <wp:positionH relativeFrom="column">
                    <wp:posOffset>1005840</wp:posOffset>
                  </wp:positionH>
                  <wp:positionV relativeFrom="paragraph">
                    <wp:posOffset>2019300</wp:posOffset>
                  </wp:positionV>
                  <wp:extent cx="161925" cy="200025"/>
                  <wp:effectExtent l="0" t="0" r="9525" b="9525"/>
                  <wp:wrapNone/>
                  <wp:docPr id="9" name="图片 15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51" descr="IMG_256"/>
                          <pic:cNvPicPr>
                            <a:picLocks noChangeAspect="1"/>
                          </pic:cNvPicPr>
                        </pic:nvPicPr>
                        <pic:blipFill>
                          <a:blip r:embed="rId24"/>
                          <a:stretch>
                            <a:fillRect/>
                          </a:stretch>
                        </pic:blipFill>
                        <pic:spPr>
                          <a:xfrm>
                            <a:off x="0" y="0"/>
                            <a:ext cx="161925" cy="200025"/>
                          </a:xfrm>
                          <a:prstGeom prst="rect">
                            <a:avLst/>
                          </a:prstGeom>
                          <a:noFill/>
                          <a:ln>
                            <a:noFill/>
                          </a:ln>
                        </pic:spPr>
                      </pic:pic>
                    </a:graphicData>
                  </a:graphic>
                </wp:anchor>
              </w:drawing>
            </w:r>
            <w:r>
              <w:rPr>
                <w:rFonts w:hint="default" w:ascii="Times New Roman" w:hAnsi="Times New Roman" w:eastAsia="宋体" w:cs="Times New Roman"/>
                <w:color w:val="000000" w:themeColor="text1"/>
                <w:sz w:val="24"/>
                <w:szCs w:val="24"/>
                <w:highlight w:val="none"/>
                <w14:textFill>
                  <w14:solidFill>
                    <w14:schemeClr w14:val="tx1"/>
                  </w14:solidFill>
                </w14:textFill>
              </w:rPr>
              <w:drawing>
                <wp:inline distT="0" distB="0" distL="114300" distR="114300">
                  <wp:extent cx="4923790" cy="2581910"/>
                  <wp:effectExtent l="0" t="0" r="10160" b="8890"/>
                  <wp:docPr id="49" name="图片 1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11" descr="IMG_256"/>
                          <pic:cNvPicPr>
                            <a:picLocks noChangeAspect="1"/>
                          </pic:cNvPicPr>
                        </pic:nvPicPr>
                        <pic:blipFill>
                          <a:blip r:embed="rId25"/>
                          <a:stretch>
                            <a:fillRect/>
                          </a:stretch>
                        </pic:blipFill>
                        <pic:spPr>
                          <a:xfrm>
                            <a:off x="0" y="0"/>
                            <a:ext cx="4923790" cy="2581910"/>
                          </a:xfrm>
                          <a:prstGeom prst="rect">
                            <a:avLst/>
                          </a:prstGeom>
                          <a:noFill/>
                          <a:ln>
                            <a:noFill/>
                          </a:ln>
                        </pic:spPr>
                      </pic:pic>
                    </a:graphicData>
                  </a:graphic>
                </wp:inline>
              </w:drawing>
            </w:r>
          </w:p>
          <w:p w14:paraId="62251649">
            <w:pPr>
              <w:keepNext w:val="0"/>
              <w:keepLines w:val="0"/>
              <w:widowControl/>
              <w:suppressLineNumbers w:val="0"/>
              <w:spacing w:line="360" w:lineRule="auto"/>
              <w:jc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eastAsia="宋体" w:cs="Times New Roman"/>
                <w:b/>
                <w:bCs/>
                <w:color w:val="000000" w:themeColor="text1"/>
                <w:kern w:val="0"/>
                <w:sz w:val="24"/>
                <w:szCs w:val="24"/>
                <w:highlight w:val="none"/>
                <w:lang w:val="en-US" w:eastAsia="zh-CN" w:bidi="ar"/>
                <w14:textFill>
                  <w14:solidFill>
                    <w14:schemeClr w14:val="tx1"/>
                  </w14:solidFill>
                </w14:textFill>
              </w:rPr>
              <w:t>图3-1引用《内蒙古励泰生物能源有限责任公司年产60万吨兰炭型焦配套储棚建设项目》监测点位与本项目相对位置图</w:t>
            </w:r>
          </w:p>
          <w:p w14:paraId="39955263">
            <w:pPr>
              <w:keepNext w:val="0"/>
              <w:keepLines w:val="0"/>
              <w:pageBreakBefore w:val="0"/>
              <w:widowControl w:val="0"/>
              <w:kinsoku/>
              <w:wordWrap/>
              <w:overflowPunct/>
              <w:topLinePunct w:val="0"/>
              <w:autoSpaceDE/>
              <w:autoSpaceDN/>
              <w:bidi w:val="0"/>
              <w:adjustRightInd/>
              <w:snapToGrid w:val="0"/>
              <w:spacing w:line="360" w:lineRule="auto"/>
              <w:jc w:val="both"/>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drawing>
                <wp:anchor distT="0" distB="0" distL="114300" distR="114300" simplePos="0" relativeHeight="251681792" behindDoc="0" locked="0" layoutInCell="1" allowOverlap="1">
                  <wp:simplePos x="0" y="0"/>
                  <wp:positionH relativeFrom="column">
                    <wp:posOffset>16510</wp:posOffset>
                  </wp:positionH>
                  <wp:positionV relativeFrom="paragraph">
                    <wp:posOffset>24130</wp:posOffset>
                  </wp:positionV>
                  <wp:extent cx="930910" cy="925830"/>
                  <wp:effectExtent l="0" t="0" r="2540" b="7620"/>
                  <wp:wrapNone/>
                  <wp:docPr id="24" name="图片 18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84" descr="IMG_256"/>
                          <pic:cNvPicPr>
                            <a:picLocks noChangeAspect="1"/>
                          </pic:cNvPicPr>
                        </pic:nvPicPr>
                        <pic:blipFill>
                          <a:blip r:embed="rId22"/>
                          <a:stretch>
                            <a:fillRect/>
                          </a:stretch>
                        </pic:blipFill>
                        <pic:spPr>
                          <a:xfrm>
                            <a:off x="0" y="0"/>
                            <a:ext cx="930910" cy="925830"/>
                          </a:xfrm>
                          <a:prstGeom prst="rect">
                            <a:avLst/>
                          </a:prstGeom>
                          <a:noFill/>
                          <a:ln>
                            <a:noFill/>
                          </a:ln>
                        </pic:spPr>
                      </pic:pic>
                    </a:graphicData>
                  </a:graphic>
                </wp:anchor>
              </w:drawing>
            </w:r>
            <w:r>
              <w:rPr>
                <w:rFonts w:ascii="宋体" w:hAnsi="宋体" w:eastAsia="宋体" w:cs="宋体"/>
                <w:color w:val="000000" w:themeColor="text1"/>
                <w:sz w:val="24"/>
                <w:szCs w:val="24"/>
                <w:highlight w:val="none"/>
                <w14:textFill>
                  <w14:solidFill>
                    <w14:schemeClr w14:val="tx1"/>
                  </w14:solidFill>
                </w14:textFill>
              </w:rPr>
              <w:drawing>
                <wp:anchor distT="0" distB="0" distL="114300" distR="114300" simplePos="0" relativeHeight="251685888" behindDoc="0" locked="0" layoutInCell="1" allowOverlap="1">
                  <wp:simplePos x="0" y="0"/>
                  <wp:positionH relativeFrom="column">
                    <wp:posOffset>3905885</wp:posOffset>
                  </wp:positionH>
                  <wp:positionV relativeFrom="paragraph">
                    <wp:posOffset>2651760</wp:posOffset>
                  </wp:positionV>
                  <wp:extent cx="332740" cy="80645"/>
                  <wp:effectExtent l="0" t="0" r="10160" b="14605"/>
                  <wp:wrapNone/>
                  <wp:docPr id="28" name="图片 18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88" descr="IMG_256"/>
                          <pic:cNvPicPr>
                            <a:picLocks noChangeAspect="1"/>
                          </pic:cNvPicPr>
                        </pic:nvPicPr>
                        <pic:blipFill>
                          <a:blip r:embed="rId26"/>
                          <a:stretch>
                            <a:fillRect/>
                          </a:stretch>
                        </pic:blipFill>
                        <pic:spPr>
                          <a:xfrm>
                            <a:off x="0" y="0"/>
                            <a:ext cx="332740" cy="80645"/>
                          </a:xfrm>
                          <a:prstGeom prst="rect">
                            <a:avLst/>
                          </a:prstGeom>
                          <a:noFill/>
                          <a:ln>
                            <a:noFill/>
                          </a:ln>
                        </pic:spPr>
                      </pic:pic>
                    </a:graphicData>
                  </a:graphic>
                </wp:anchor>
              </w:drawing>
            </w:r>
            <w:r>
              <w:rPr>
                <w:rFonts w:ascii="宋体" w:hAnsi="宋体" w:eastAsia="宋体" w:cs="宋体"/>
                <w:color w:val="000000" w:themeColor="text1"/>
                <w:sz w:val="24"/>
                <w:szCs w:val="24"/>
                <w:highlight w:val="none"/>
                <w14:textFill>
                  <w14:solidFill>
                    <w14:schemeClr w14:val="tx1"/>
                  </w14:solidFill>
                </w14:textFill>
              </w:rPr>
              <w:drawing>
                <wp:anchor distT="0" distB="0" distL="114300" distR="114300" simplePos="0" relativeHeight="251684864" behindDoc="0" locked="0" layoutInCell="1" allowOverlap="1">
                  <wp:simplePos x="0" y="0"/>
                  <wp:positionH relativeFrom="column">
                    <wp:posOffset>3834130</wp:posOffset>
                  </wp:positionH>
                  <wp:positionV relativeFrom="paragraph">
                    <wp:posOffset>2250440</wp:posOffset>
                  </wp:positionV>
                  <wp:extent cx="264795" cy="264795"/>
                  <wp:effectExtent l="0" t="0" r="1905" b="1905"/>
                  <wp:wrapNone/>
                  <wp:docPr id="27" name="图片 18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87" descr="IMG_256"/>
                          <pic:cNvPicPr>
                            <a:picLocks noChangeAspect="1"/>
                          </pic:cNvPicPr>
                        </pic:nvPicPr>
                        <pic:blipFill>
                          <a:blip r:embed="rId27"/>
                          <a:srcRect r="1042" b="26512"/>
                          <a:stretch>
                            <a:fillRect/>
                          </a:stretch>
                        </pic:blipFill>
                        <pic:spPr>
                          <a:xfrm>
                            <a:off x="0" y="0"/>
                            <a:ext cx="264795" cy="264795"/>
                          </a:xfrm>
                          <a:prstGeom prst="rect">
                            <a:avLst/>
                          </a:prstGeom>
                          <a:noFill/>
                          <a:ln>
                            <a:noFill/>
                          </a:ln>
                        </pic:spPr>
                      </pic:pic>
                    </a:graphicData>
                  </a:graphic>
                </wp:anchor>
              </w:drawing>
            </w:r>
            <w:r>
              <w:rPr>
                <w:rFonts w:hint="default" w:ascii="Times New Roman" w:hAnsi="Times New Roman" w:cs="Times New Roman"/>
                <w:color w:val="000000" w:themeColor="text1"/>
                <w:sz w:val="24"/>
                <w:highlight w:val="none"/>
                <w14:textFill>
                  <w14:solidFill>
                    <w14:schemeClr w14:val="tx1"/>
                  </w14:solidFill>
                </w14:textFill>
              </w:rPr>
              <mc:AlternateContent>
                <mc:Choice Requires="wps">
                  <w:drawing>
                    <wp:anchor distT="0" distB="0" distL="114300" distR="114300" simplePos="0" relativeHeight="251683840" behindDoc="0" locked="0" layoutInCell="1" allowOverlap="1">
                      <wp:simplePos x="0" y="0"/>
                      <wp:positionH relativeFrom="column">
                        <wp:posOffset>3810000</wp:posOffset>
                      </wp:positionH>
                      <wp:positionV relativeFrom="paragraph">
                        <wp:posOffset>2044065</wp:posOffset>
                      </wp:positionV>
                      <wp:extent cx="307340" cy="168910"/>
                      <wp:effectExtent l="9525" t="9525" r="26035" b="12065"/>
                      <wp:wrapNone/>
                      <wp:docPr id="26" name="矩形 186"/>
                      <wp:cNvGraphicFramePr/>
                      <a:graphic xmlns:a="http://schemas.openxmlformats.org/drawingml/2006/main">
                        <a:graphicData uri="http://schemas.microsoft.com/office/word/2010/wordprocessingShape">
                          <wps:wsp>
                            <wps:cNvSpPr/>
                            <wps:spPr>
                              <a:xfrm>
                                <a:off x="0" y="0"/>
                                <a:ext cx="307340" cy="168910"/>
                              </a:xfrm>
                              <a:prstGeom prst="rect">
                                <a:avLst/>
                              </a:prstGeom>
                              <a:noFill/>
                              <a:ln w="19050" cap="flat" cmpd="sng">
                                <a:solidFill>
                                  <a:srgbClr val="C00000"/>
                                </a:solidFill>
                                <a:prstDash val="solid"/>
                                <a:miter/>
                                <a:headEnd type="none" w="med" len="med"/>
                                <a:tailEnd type="none" w="med" len="med"/>
                              </a:ln>
                            </wps:spPr>
                            <wps:bodyPr upright="1"/>
                          </wps:wsp>
                        </a:graphicData>
                      </a:graphic>
                    </wp:anchor>
                  </w:drawing>
                </mc:Choice>
                <mc:Fallback>
                  <w:pict>
                    <v:rect id="矩形 186" o:spid="_x0000_s1026" o:spt="1" style="position:absolute;left:0pt;margin-left:300pt;margin-top:160.95pt;height:13.3pt;width:24.2pt;z-index:251683840;mso-width-relative:page;mso-height-relative:page;" filled="f" stroked="t" coordsize="21600,21600" o:gfxdata="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9t82ltkAAAALAQAADwAAAAAAAAABACAAAAAiAAAAZHJzL2Rvd25yZXYu&#10;eG1sUEsBAhQAFAAAAAgAh07iQHGC0p36AQAA+AMAAA4AAAAAAAAAAQAgAAAAKAEAAGRycy9lMm9E&#10;b2MueG1sUEsFBgAAAAAGAAYAWQEAAJQFAAAAAA==&#10;">
                      <v:fill on="f" focussize="0,0"/>
                      <v:stroke weight="1.5pt" color="#C00000" joinstyle="miter"/>
                      <v:imagedata o:title=""/>
                      <o:lock v:ext="edit" aspectratio="f"/>
                    </v:rect>
                  </w:pict>
                </mc:Fallback>
              </mc:AlternateContent>
            </w:r>
            <w:r>
              <w:rPr>
                <w:rFonts w:hint="default" w:ascii="Times New Roman" w:hAnsi="Times New Roman" w:cs="Times New Roman"/>
                <w:color w:val="000000" w:themeColor="text1"/>
                <w:sz w:val="24"/>
                <w:highlight w:val="none"/>
                <w14:textFill>
                  <w14:solidFill>
                    <w14:schemeClr w14:val="tx1"/>
                  </w14:solidFill>
                </w14:textFill>
              </w:rPr>
              <mc:AlternateContent>
                <mc:Choice Requires="wps">
                  <w:drawing>
                    <wp:anchor distT="0" distB="0" distL="114300" distR="114300" simplePos="0" relativeHeight="251682816" behindDoc="0" locked="0" layoutInCell="1" allowOverlap="1">
                      <wp:simplePos x="0" y="0"/>
                      <wp:positionH relativeFrom="column">
                        <wp:posOffset>3796665</wp:posOffset>
                      </wp:positionH>
                      <wp:positionV relativeFrom="paragraph">
                        <wp:posOffset>1749425</wp:posOffset>
                      </wp:positionV>
                      <wp:extent cx="1113155" cy="1104265"/>
                      <wp:effectExtent l="4445" t="4445" r="6350" b="15240"/>
                      <wp:wrapNone/>
                      <wp:docPr id="25" name="文本框 185"/>
                      <wp:cNvGraphicFramePr/>
                      <a:graphic xmlns:a="http://schemas.openxmlformats.org/drawingml/2006/main">
                        <a:graphicData uri="http://schemas.microsoft.com/office/word/2010/wordprocessingShape">
                          <wps:wsp>
                            <wps:cNvSpPr txBox="1"/>
                            <wps:spPr>
                              <a:xfrm>
                                <a:off x="0" y="0"/>
                                <a:ext cx="1113155" cy="1104265"/>
                              </a:xfrm>
                              <a:prstGeom prst="rect">
                                <a:avLst/>
                              </a:prstGeom>
                              <a:noFill/>
                              <a:ln w="9525" cap="flat" cmpd="sng">
                                <a:solidFill>
                                  <a:srgbClr val="000000"/>
                                </a:solidFill>
                                <a:prstDash val="solid"/>
                                <a:miter/>
                                <a:headEnd type="none" w="med" len="med"/>
                                <a:tailEnd type="none" w="med" len="med"/>
                              </a:ln>
                            </wps:spPr>
                            <wps:txbx>
                              <w:txbxContent>
                                <w:p w14:paraId="363DFE15">
                                  <w:pPr>
                                    <w:spacing w:line="360" w:lineRule="auto"/>
                                    <w:ind w:firstLine="211" w:firstLineChars="100"/>
                                    <w:rPr>
                                      <w:rFonts w:hint="eastAsia"/>
                                      <w:b/>
                                      <w:bCs/>
                                      <w:color w:val="FFFFFF"/>
                                      <w:lang w:val="en-US" w:eastAsia="zh-CN"/>
                                    </w:rPr>
                                  </w:pPr>
                                  <w:r>
                                    <w:rPr>
                                      <w:rFonts w:hint="eastAsia"/>
                                      <w:b/>
                                      <w:bCs/>
                                      <w:color w:val="FFFFFF"/>
                                      <w:lang w:val="en-US" w:eastAsia="zh-CN"/>
                                    </w:rPr>
                                    <w:t>图例</w:t>
                                  </w:r>
                                </w:p>
                                <w:p w14:paraId="48DCD89B">
                                  <w:pPr>
                                    <w:spacing w:line="360" w:lineRule="auto"/>
                                    <w:jc w:val="right"/>
                                    <w:rPr>
                                      <w:rFonts w:hint="eastAsia"/>
                                      <w:b/>
                                      <w:bCs/>
                                      <w:color w:val="FFFFFF"/>
                                      <w:lang w:val="en-US" w:eastAsia="zh-CN"/>
                                    </w:rPr>
                                  </w:pPr>
                                  <w:r>
                                    <w:rPr>
                                      <w:rFonts w:hint="eastAsia"/>
                                      <w:b/>
                                      <w:bCs/>
                                      <w:color w:val="FFFFFF"/>
                                      <w:lang w:val="en-US" w:eastAsia="zh-CN"/>
                                    </w:rPr>
                                    <w:t>本项目位置</w:t>
                                  </w:r>
                                </w:p>
                                <w:p w14:paraId="607F8DAD">
                                  <w:pPr>
                                    <w:spacing w:line="360" w:lineRule="auto"/>
                                    <w:jc w:val="right"/>
                                    <w:rPr>
                                      <w:rFonts w:hint="eastAsia"/>
                                      <w:b/>
                                      <w:bCs/>
                                      <w:color w:val="FFFFFF"/>
                                      <w:lang w:val="en-US" w:eastAsia="zh-CN"/>
                                    </w:rPr>
                                  </w:pPr>
                                  <w:r>
                                    <w:rPr>
                                      <w:rFonts w:hint="eastAsia"/>
                                      <w:b/>
                                      <w:bCs/>
                                      <w:color w:val="FFFFFF"/>
                                      <w:lang w:val="en-US" w:eastAsia="zh-CN"/>
                                    </w:rPr>
                                    <w:t>引用点位置</w:t>
                                  </w:r>
                                </w:p>
                                <w:p w14:paraId="713F29DA">
                                  <w:pPr>
                                    <w:spacing w:line="360" w:lineRule="auto"/>
                                    <w:jc w:val="right"/>
                                    <w:rPr>
                                      <w:rFonts w:hint="default"/>
                                      <w:b/>
                                      <w:bCs/>
                                      <w:color w:val="FFFFFF"/>
                                      <w:lang w:val="en-US" w:eastAsia="zh-CN"/>
                                    </w:rPr>
                                  </w:pPr>
                                  <w:r>
                                    <w:rPr>
                                      <w:rFonts w:hint="eastAsia"/>
                                      <w:b/>
                                      <w:bCs/>
                                      <w:color w:val="FFFFFF"/>
                                      <w:lang w:val="en-US" w:eastAsia="zh-CN"/>
                                    </w:rPr>
                                    <w:t>比例尺</w:t>
                                  </w:r>
                                </w:p>
                              </w:txbxContent>
                            </wps:txbx>
                            <wps:bodyPr upright="1"/>
                          </wps:wsp>
                        </a:graphicData>
                      </a:graphic>
                    </wp:anchor>
                  </w:drawing>
                </mc:Choice>
                <mc:Fallback>
                  <w:pict>
                    <v:shape id="文本框 185" o:spid="_x0000_s1026" o:spt="202" type="#_x0000_t202" style="position:absolute;left:0pt;margin-left:298.95pt;margin-top:137.75pt;height:86.95pt;width:87.65pt;z-index:251682816;mso-width-relative:page;mso-height-relative:page;" filled="f" stroked="t" coordsize="21600,21600" o:gfxdata="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Jg9rzzYAAAACwEAAA8AAAAAAAAAAQAgAAAAIgAA&#10;AGRycy9kb3ducmV2LnhtbFBLAQIUABQAAAAIAIdO4kB6Vca9CAIAABEEAAAOAAAAAAAAAAEAIAAA&#10;ACcBAABkcnMvZTJvRG9jLnhtbFBLBQYAAAAABgAGAFkBAAChBQAAAAA=&#10;">
                      <v:fill on="f" focussize="0,0"/>
                      <v:stroke color="#000000" joinstyle="miter"/>
                      <v:imagedata o:title=""/>
                      <o:lock v:ext="edit" aspectratio="f"/>
                      <v:textbox>
                        <w:txbxContent>
                          <w:p w14:paraId="363DFE15">
                            <w:pPr>
                              <w:spacing w:line="360" w:lineRule="auto"/>
                              <w:ind w:firstLine="211" w:firstLineChars="100"/>
                              <w:rPr>
                                <w:rFonts w:hint="eastAsia"/>
                                <w:b/>
                                <w:bCs/>
                                <w:color w:val="FFFFFF"/>
                                <w:lang w:val="en-US" w:eastAsia="zh-CN"/>
                              </w:rPr>
                            </w:pPr>
                            <w:r>
                              <w:rPr>
                                <w:rFonts w:hint="eastAsia"/>
                                <w:b/>
                                <w:bCs/>
                                <w:color w:val="FFFFFF"/>
                                <w:lang w:val="en-US" w:eastAsia="zh-CN"/>
                              </w:rPr>
                              <w:t>图例</w:t>
                            </w:r>
                          </w:p>
                          <w:p w14:paraId="48DCD89B">
                            <w:pPr>
                              <w:spacing w:line="360" w:lineRule="auto"/>
                              <w:jc w:val="right"/>
                              <w:rPr>
                                <w:rFonts w:hint="eastAsia"/>
                                <w:b/>
                                <w:bCs/>
                                <w:color w:val="FFFFFF"/>
                                <w:lang w:val="en-US" w:eastAsia="zh-CN"/>
                              </w:rPr>
                            </w:pPr>
                            <w:r>
                              <w:rPr>
                                <w:rFonts w:hint="eastAsia"/>
                                <w:b/>
                                <w:bCs/>
                                <w:color w:val="FFFFFF"/>
                                <w:lang w:val="en-US" w:eastAsia="zh-CN"/>
                              </w:rPr>
                              <w:t>本项目位置</w:t>
                            </w:r>
                          </w:p>
                          <w:p w14:paraId="607F8DAD">
                            <w:pPr>
                              <w:spacing w:line="360" w:lineRule="auto"/>
                              <w:jc w:val="right"/>
                              <w:rPr>
                                <w:rFonts w:hint="eastAsia"/>
                                <w:b/>
                                <w:bCs/>
                                <w:color w:val="FFFFFF"/>
                                <w:lang w:val="en-US" w:eastAsia="zh-CN"/>
                              </w:rPr>
                            </w:pPr>
                            <w:r>
                              <w:rPr>
                                <w:rFonts w:hint="eastAsia"/>
                                <w:b/>
                                <w:bCs/>
                                <w:color w:val="FFFFFF"/>
                                <w:lang w:val="en-US" w:eastAsia="zh-CN"/>
                              </w:rPr>
                              <w:t>引用点位置</w:t>
                            </w:r>
                          </w:p>
                          <w:p w14:paraId="713F29DA">
                            <w:pPr>
                              <w:spacing w:line="360" w:lineRule="auto"/>
                              <w:jc w:val="right"/>
                              <w:rPr>
                                <w:rFonts w:hint="default"/>
                                <w:b/>
                                <w:bCs/>
                                <w:color w:val="FFFFFF"/>
                                <w:lang w:val="en-US" w:eastAsia="zh-CN"/>
                              </w:rPr>
                            </w:pPr>
                            <w:r>
                              <w:rPr>
                                <w:rFonts w:hint="eastAsia"/>
                                <w:b/>
                                <w:bCs/>
                                <w:color w:val="FFFFFF"/>
                                <w:lang w:val="en-US" w:eastAsia="zh-CN"/>
                              </w:rPr>
                              <w:t>比例尺</w:t>
                            </w:r>
                          </w:p>
                        </w:txbxContent>
                      </v:textbox>
                    </v:shape>
                  </w:pict>
                </mc:Fallback>
              </mc:AlternateContent>
            </w:r>
            <w:r>
              <w:rPr>
                <w:rFonts w:ascii="宋体" w:hAnsi="宋体" w:eastAsia="宋体" w:cs="宋体"/>
                <w:color w:val="000000" w:themeColor="text1"/>
                <w:sz w:val="24"/>
                <w:szCs w:val="24"/>
                <w:highlight w:val="none"/>
                <w14:textFill>
                  <w14:solidFill>
                    <w14:schemeClr w14:val="tx1"/>
                  </w14:solidFill>
                </w14:textFill>
              </w:rPr>
              <w:drawing>
                <wp:inline distT="0" distB="0" distL="114300" distR="114300">
                  <wp:extent cx="4935220" cy="2880995"/>
                  <wp:effectExtent l="0" t="0" r="17780" b="14605"/>
                  <wp:docPr id="50" name="图片 1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12" descr="IMG_256"/>
                          <pic:cNvPicPr>
                            <a:picLocks noChangeAspect="1"/>
                          </pic:cNvPicPr>
                        </pic:nvPicPr>
                        <pic:blipFill>
                          <a:blip r:embed="rId28"/>
                          <a:stretch>
                            <a:fillRect/>
                          </a:stretch>
                        </pic:blipFill>
                        <pic:spPr>
                          <a:xfrm>
                            <a:off x="0" y="0"/>
                            <a:ext cx="4935220" cy="2880995"/>
                          </a:xfrm>
                          <a:prstGeom prst="rect">
                            <a:avLst/>
                          </a:prstGeom>
                          <a:noFill/>
                          <a:ln>
                            <a:noFill/>
                          </a:ln>
                        </pic:spPr>
                      </pic:pic>
                    </a:graphicData>
                  </a:graphic>
                </wp:inline>
              </w:drawing>
            </w:r>
          </w:p>
          <w:p w14:paraId="01D9419F">
            <w:pPr>
              <w:keepNext w:val="0"/>
              <w:keepLines w:val="0"/>
              <w:widowControl/>
              <w:suppressLineNumbers w:val="0"/>
              <w:spacing w:line="360" w:lineRule="auto"/>
              <w:jc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eastAsia="宋体" w:cs="Times New Roman"/>
                <w:b/>
                <w:bCs/>
                <w:color w:val="000000" w:themeColor="text1"/>
                <w:kern w:val="0"/>
                <w:sz w:val="24"/>
                <w:szCs w:val="24"/>
                <w:highlight w:val="none"/>
                <w:lang w:val="en-US" w:eastAsia="zh-CN" w:bidi="ar"/>
                <w14:textFill>
                  <w14:solidFill>
                    <w14:schemeClr w14:val="tx1"/>
                  </w14:solidFill>
                </w14:textFill>
              </w:rPr>
              <w:t>图3-</w:t>
            </w:r>
            <w:r>
              <w:rPr>
                <w:rFonts w:hint="eastAsia" w:cs="Times New Roman"/>
                <w:b/>
                <w:bCs/>
                <w:color w:val="000000" w:themeColor="text1"/>
                <w:kern w:val="0"/>
                <w:sz w:val="24"/>
                <w:szCs w:val="24"/>
                <w:highlight w:val="none"/>
                <w:lang w:val="en-US" w:eastAsia="zh-CN" w:bidi="ar"/>
                <w14:textFill>
                  <w14:solidFill>
                    <w14:schemeClr w14:val="tx1"/>
                  </w14:solidFill>
                </w14:textFill>
              </w:rPr>
              <w:t>2</w:t>
            </w:r>
            <w:r>
              <w:rPr>
                <w:rFonts w:hint="default" w:ascii="Times New Roman" w:hAnsi="Times New Roman" w:eastAsia="宋体" w:cs="Times New Roman"/>
                <w:b/>
                <w:bCs/>
                <w:color w:val="000000" w:themeColor="text1"/>
                <w:kern w:val="0"/>
                <w:sz w:val="24"/>
                <w:szCs w:val="24"/>
                <w:highlight w:val="none"/>
                <w:lang w:val="en-US" w:eastAsia="zh-CN" w:bidi="ar"/>
                <w14:textFill>
                  <w14:solidFill>
                    <w14:schemeClr w14:val="tx1"/>
                  </w14:solidFill>
                </w14:textFill>
              </w:rPr>
              <w:t>引用</w:t>
            </w:r>
            <w:r>
              <w:rPr>
                <w:rFonts w:hint="eastAsia" w:cs="Times New Roman"/>
                <w:b/>
                <w:bCs/>
                <w:color w:val="000000" w:themeColor="text1"/>
                <w:kern w:val="0"/>
                <w:sz w:val="24"/>
                <w:szCs w:val="24"/>
                <w:highlight w:val="none"/>
                <w:lang w:val="en-US" w:eastAsia="zh-CN" w:bidi="ar"/>
                <w14:textFill>
                  <w14:solidFill>
                    <w14:schemeClr w14:val="tx1"/>
                  </w14:solidFill>
                </w14:textFill>
              </w:rPr>
              <w:t>《</w:t>
            </w:r>
            <w:r>
              <w:rPr>
                <w:rFonts w:hint="default" w:ascii="Times New Roman" w:hAnsi="Times New Roman" w:eastAsia="宋体" w:cs="Times New Roman"/>
                <w:b/>
                <w:bCs/>
                <w:color w:val="000000" w:themeColor="text1"/>
                <w:kern w:val="0"/>
                <w:sz w:val="24"/>
                <w:szCs w:val="24"/>
                <w:highlight w:val="none"/>
                <w:lang w:val="en-US" w:eastAsia="zh-CN" w:bidi="ar"/>
                <w14:textFill>
                  <w14:solidFill>
                    <w14:schemeClr w14:val="tx1"/>
                  </w14:solidFill>
                </w14:textFill>
              </w:rPr>
              <w:t>内蒙古玉晶科技有限公司2×1200t/d光伏压延玻璃生产线及配套深加工项目</w:t>
            </w:r>
            <w:r>
              <w:rPr>
                <w:rFonts w:hint="eastAsia" w:cs="Times New Roman"/>
                <w:b/>
                <w:bCs/>
                <w:color w:val="000000" w:themeColor="text1"/>
                <w:kern w:val="0"/>
                <w:sz w:val="24"/>
                <w:szCs w:val="24"/>
                <w:highlight w:val="none"/>
                <w:lang w:val="en-US" w:eastAsia="zh-CN" w:bidi="ar"/>
                <w14:textFill>
                  <w14:solidFill>
                    <w14:schemeClr w14:val="tx1"/>
                  </w14:solidFill>
                </w14:textFill>
              </w:rPr>
              <w:t>》</w:t>
            </w:r>
            <w:r>
              <w:rPr>
                <w:rFonts w:hint="default" w:ascii="Times New Roman" w:hAnsi="Times New Roman" w:eastAsia="宋体" w:cs="Times New Roman"/>
                <w:b/>
                <w:bCs/>
                <w:color w:val="000000" w:themeColor="text1"/>
                <w:kern w:val="0"/>
                <w:sz w:val="24"/>
                <w:szCs w:val="24"/>
                <w:highlight w:val="none"/>
                <w:lang w:val="en-US" w:eastAsia="zh-CN" w:bidi="ar"/>
                <w14:textFill>
                  <w14:solidFill>
                    <w14:schemeClr w14:val="tx1"/>
                  </w14:solidFill>
                </w14:textFill>
              </w:rPr>
              <w:t>监测点位与本项目相对位置图</w:t>
            </w:r>
          </w:p>
          <w:p w14:paraId="3B2745AD">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②</w:t>
            </w:r>
            <w:r>
              <w:rPr>
                <w:rFonts w:hint="eastAsia" w:cs="Times New Roman"/>
                <w:color w:val="000000" w:themeColor="text1"/>
                <w:sz w:val="24"/>
                <w:szCs w:val="24"/>
                <w:highlight w:val="none"/>
                <w:lang w:val="en-US" w:eastAsia="zh-CN"/>
                <w14:textFill>
                  <w14:solidFill>
                    <w14:schemeClr w14:val="tx1"/>
                  </w14:solidFill>
                </w14:textFill>
              </w:rPr>
              <w:t>检测方法</w:t>
            </w:r>
          </w:p>
          <w:p w14:paraId="5913ADA8">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环境空气监测方法按《环境空气质量标准》（GB3095-20</w:t>
            </w:r>
            <w:r>
              <w:rPr>
                <w:rFonts w:hint="eastAsia" w:cs="Times New Roman"/>
                <w:color w:val="000000" w:themeColor="text1"/>
                <w:sz w:val="24"/>
                <w:szCs w:val="24"/>
                <w:highlight w:val="none"/>
                <w:lang w:val="en-US" w:eastAsia="zh-CN"/>
                <w14:textFill>
                  <w14:solidFill>
                    <w14:schemeClr w14:val="tx1"/>
                  </w14:solidFill>
                </w14:textFill>
              </w:rPr>
              <w:t>26</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）和《环境监测技术规范》（大气部分）和国家环保局《空气和废气监测分析方法》的规定执行。</w:t>
            </w:r>
          </w:p>
          <w:p w14:paraId="699667A5">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氨气的</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环境空气质量现状监测采取的分析方法见</w:t>
            </w:r>
            <w:r>
              <w:rPr>
                <w:rFonts w:hint="eastAsia" w:cs="Times New Roman"/>
                <w:color w:val="000000" w:themeColor="text1"/>
                <w:sz w:val="24"/>
                <w:szCs w:val="24"/>
                <w:highlight w:val="none"/>
                <w:lang w:val="en-US" w:eastAsia="zh-CN"/>
                <w14:textFill>
                  <w14:solidFill>
                    <w14:schemeClr w14:val="tx1"/>
                  </w14:solidFill>
                </w14:textFill>
              </w:rPr>
              <w:t>下表</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p>
          <w:p w14:paraId="46CFF377">
            <w:pPr>
              <w:spacing w:line="240" w:lineRule="atLeast"/>
              <w:jc w:val="cente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表</w:t>
            </w:r>
            <w:r>
              <w:rPr>
                <w:rFonts w:hint="eastAsia" w:ascii="Times New Roman" w:hAnsi="Times New Roman" w:eastAsia="宋体" w:cs="Times New Roman"/>
                <w:b/>
                <w:bCs/>
                <w:color w:val="000000" w:themeColor="text1"/>
                <w:sz w:val="24"/>
                <w:szCs w:val="24"/>
                <w:highlight w:val="none"/>
                <w:lang w:val="en-US" w:eastAsia="zh-CN"/>
                <w14:textFill>
                  <w14:solidFill>
                    <w14:schemeClr w14:val="tx1"/>
                  </w14:solidFill>
                </w14:textFill>
              </w:rPr>
              <w:t>3-</w:t>
            </w:r>
            <w:r>
              <w:rPr>
                <w:rFonts w:hint="eastAsia" w:cs="Times New Roman"/>
                <w:b/>
                <w:bCs/>
                <w:color w:val="000000" w:themeColor="text1"/>
                <w:sz w:val="24"/>
                <w:szCs w:val="24"/>
                <w:highlight w:val="none"/>
                <w:lang w:val="en-US" w:eastAsia="zh-CN"/>
                <w14:textFill>
                  <w14:solidFill>
                    <w14:schemeClr w14:val="tx1"/>
                  </w14:solidFill>
                </w14:textFill>
              </w:rPr>
              <w:t>3</w:t>
            </w: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大气污染物分析方法一览表</w:t>
            </w:r>
          </w:p>
          <w:tbl>
            <w:tblPr>
              <w:tblStyle w:val="2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85" w:type="dxa"/>
                <w:bottom w:w="0" w:type="dxa"/>
                <w:right w:w="85" w:type="dxa"/>
              </w:tblCellMar>
            </w:tblPr>
            <w:tblGrid>
              <w:gridCol w:w="669"/>
              <w:gridCol w:w="1038"/>
              <w:gridCol w:w="3040"/>
              <w:gridCol w:w="1358"/>
              <w:gridCol w:w="1856"/>
            </w:tblGrid>
            <w:tr w14:paraId="427B5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3" w:hRule="atLeast"/>
                <w:jc w:val="center"/>
              </w:trPr>
              <w:tc>
                <w:tcPr>
                  <w:tcW w:w="420" w:type="pct"/>
                  <w:tcBorders>
                    <w:tl2br w:val="nil"/>
                    <w:tr2bl w:val="nil"/>
                  </w:tcBorders>
                  <w:noWrap w:val="0"/>
                  <w:vAlign w:val="center"/>
                </w:tcPr>
                <w:p w14:paraId="53565F73">
                  <w:pPr>
                    <w:snapToGrid w:val="0"/>
                    <w:jc w:val="center"/>
                    <w:rPr>
                      <w:rFonts w:hint="eastAsia" w:ascii="Times New Roman" w:hAnsi="Times New Roman" w:eastAsia="宋体"/>
                      <w:color w:val="000000" w:themeColor="text1"/>
                      <w:sz w:val="21"/>
                      <w:szCs w:val="21"/>
                      <w:highlight w:val="none"/>
                      <w:lang w:val="en-US" w:eastAsia="zh-CN"/>
                      <w14:textFill>
                        <w14:solidFill>
                          <w14:schemeClr w14:val="tx1"/>
                        </w14:solidFill>
                      </w14:textFill>
                    </w:rPr>
                  </w:pPr>
                  <w:r>
                    <w:rPr>
                      <w:rFonts w:hint="eastAsia" w:ascii="Times New Roman" w:hAnsi="Times New Roman"/>
                      <w:color w:val="000000" w:themeColor="text1"/>
                      <w:sz w:val="21"/>
                      <w:szCs w:val="21"/>
                      <w:highlight w:val="none"/>
                      <w:lang w:val="en-US" w:eastAsia="zh-CN"/>
                      <w14:textFill>
                        <w14:solidFill>
                          <w14:schemeClr w14:val="tx1"/>
                        </w14:solidFill>
                      </w14:textFill>
                    </w:rPr>
                    <w:t>序号</w:t>
                  </w:r>
                </w:p>
              </w:tc>
              <w:tc>
                <w:tcPr>
                  <w:tcW w:w="652" w:type="pct"/>
                  <w:tcBorders>
                    <w:tl2br w:val="nil"/>
                    <w:tr2bl w:val="nil"/>
                  </w:tcBorders>
                  <w:noWrap w:val="0"/>
                  <w:vAlign w:val="center"/>
                </w:tcPr>
                <w:p w14:paraId="4754C8B5">
                  <w:pPr>
                    <w:snapToGrid w:val="0"/>
                    <w:jc w:val="center"/>
                    <w:rPr>
                      <w:rFonts w:ascii="Times New Roman" w:hAnsi="Times New Roman"/>
                      <w:color w:val="000000" w:themeColor="text1"/>
                      <w:sz w:val="21"/>
                      <w:szCs w:val="21"/>
                      <w:highlight w:val="none"/>
                      <w14:textFill>
                        <w14:solidFill>
                          <w14:schemeClr w14:val="tx1"/>
                        </w14:solidFill>
                      </w14:textFill>
                    </w:rPr>
                  </w:pPr>
                  <w:r>
                    <w:rPr>
                      <w:rFonts w:ascii="Times New Roman" w:hAnsi="Times New Roman"/>
                      <w:color w:val="000000" w:themeColor="text1"/>
                      <w:sz w:val="21"/>
                      <w:szCs w:val="21"/>
                      <w:highlight w:val="none"/>
                      <w14:textFill>
                        <w14:solidFill>
                          <w14:schemeClr w14:val="tx1"/>
                        </w14:solidFill>
                      </w14:textFill>
                    </w:rPr>
                    <w:t>检测项目</w:t>
                  </w:r>
                </w:p>
              </w:tc>
              <w:tc>
                <w:tcPr>
                  <w:tcW w:w="1909" w:type="pct"/>
                  <w:tcBorders>
                    <w:tl2br w:val="nil"/>
                    <w:tr2bl w:val="nil"/>
                  </w:tcBorders>
                  <w:noWrap w:val="0"/>
                  <w:vAlign w:val="center"/>
                </w:tcPr>
                <w:p w14:paraId="1141EF35">
                  <w:pPr>
                    <w:snapToGrid w:val="0"/>
                    <w:jc w:val="center"/>
                    <w:rPr>
                      <w:rFonts w:hint="default" w:ascii="Times New Roman" w:hAnsi="Times New Roman" w:eastAsia="宋体"/>
                      <w:color w:val="000000" w:themeColor="text1"/>
                      <w:sz w:val="21"/>
                      <w:szCs w:val="21"/>
                      <w:highlight w:val="none"/>
                      <w:lang w:val="en-US" w:eastAsia="zh-CN"/>
                      <w14:textFill>
                        <w14:solidFill>
                          <w14:schemeClr w14:val="tx1"/>
                        </w14:solidFill>
                      </w14:textFill>
                    </w:rPr>
                  </w:pPr>
                  <w:r>
                    <w:rPr>
                      <w:rFonts w:hint="eastAsia" w:ascii="Times New Roman" w:hAnsi="Times New Roman"/>
                      <w:color w:val="000000" w:themeColor="text1"/>
                      <w:sz w:val="21"/>
                      <w:szCs w:val="21"/>
                      <w:highlight w:val="none"/>
                      <w:lang w:val="en-US" w:eastAsia="zh-CN"/>
                      <w14:textFill>
                        <w14:solidFill>
                          <w14:schemeClr w14:val="tx1"/>
                        </w14:solidFill>
                      </w14:textFill>
                    </w:rPr>
                    <w:t>检测方法及来源</w:t>
                  </w:r>
                </w:p>
              </w:tc>
              <w:tc>
                <w:tcPr>
                  <w:tcW w:w="853" w:type="pct"/>
                  <w:tcBorders>
                    <w:tl2br w:val="nil"/>
                    <w:tr2bl w:val="nil"/>
                  </w:tcBorders>
                  <w:noWrap w:val="0"/>
                  <w:vAlign w:val="center"/>
                </w:tcPr>
                <w:p w14:paraId="7A41D52C">
                  <w:pPr>
                    <w:snapToGrid w:val="0"/>
                    <w:jc w:val="center"/>
                    <w:rPr>
                      <w:rFonts w:hint="eastAsia" w:ascii="Times New Roman" w:hAnsi="Times New Roman"/>
                      <w:color w:val="000000" w:themeColor="text1"/>
                      <w:sz w:val="21"/>
                      <w:szCs w:val="21"/>
                      <w:highlight w:val="none"/>
                      <w:lang w:val="en-US" w:eastAsia="zh-CN"/>
                      <w14:textFill>
                        <w14:solidFill>
                          <w14:schemeClr w14:val="tx1"/>
                        </w14:solidFill>
                      </w14:textFill>
                    </w:rPr>
                  </w:pPr>
                  <w:r>
                    <w:rPr>
                      <w:rFonts w:ascii="Times New Roman" w:hAnsi="Times New Roman"/>
                      <w:color w:val="000000" w:themeColor="text1"/>
                      <w:sz w:val="21"/>
                      <w:szCs w:val="21"/>
                      <w:highlight w:val="none"/>
                      <w14:textFill>
                        <w14:solidFill>
                          <w14:schemeClr w14:val="tx1"/>
                        </w14:solidFill>
                      </w14:textFill>
                    </w:rPr>
                    <w:t>检出限</w:t>
                  </w:r>
                </w:p>
              </w:tc>
              <w:tc>
                <w:tcPr>
                  <w:tcW w:w="1165" w:type="pct"/>
                  <w:tcBorders>
                    <w:tl2br w:val="nil"/>
                    <w:tr2bl w:val="nil"/>
                  </w:tcBorders>
                  <w:noWrap w:val="0"/>
                  <w:vAlign w:val="center"/>
                </w:tcPr>
                <w:p w14:paraId="2603F402">
                  <w:pPr>
                    <w:snapToGrid w:val="0"/>
                    <w:jc w:val="center"/>
                    <w:rPr>
                      <w:rFonts w:hint="eastAsia" w:ascii="Times New Roman" w:hAnsi="Times New Roman" w:eastAsia="宋体"/>
                      <w:color w:val="000000" w:themeColor="text1"/>
                      <w:sz w:val="21"/>
                      <w:szCs w:val="21"/>
                      <w:highlight w:val="none"/>
                      <w:lang w:eastAsia="zh-CN"/>
                      <w14:textFill>
                        <w14:solidFill>
                          <w14:schemeClr w14:val="tx1"/>
                        </w14:solidFill>
                      </w14:textFill>
                    </w:rPr>
                  </w:pPr>
                  <w:r>
                    <w:rPr>
                      <w:rFonts w:hint="eastAsia" w:ascii="Times New Roman" w:hAnsi="Times New Roman"/>
                      <w:color w:val="000000" w:themeColor="text1"/>
                      <w:sz w:val="21"/>
                      <w:szCs w:val="21"/>
                      <w:highlight w:val="none"/>
                      <w:lang w:val="en-US" w:eastAsia="zh-CN"/>
                      <w14:textFill>
                        <w14:solidFill>
                          <w14:schemeClr w14:val="tx1"/>
                        </w14:solidFill>
                      </w14:textFill>
                    </w:rPr>
                    <w:t>主要仪器</w:t>
                  </w:r>
                </w:p>
              </w:tc>
            </w:tr>
            <w:tr w14:paraId="24810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3" w:hRule="atLeast"/>
                <w:jc w:val="center"/>
              </w:trPr>
              <w:tc>
                <w:tcPr>
                  <w:tcW w:w="420" w:type="pct"/>
                  <w:tcBorders>
                    <w:tl2br w:val="nil"/>
                    <w:tr2bl w:val="nil"/>
                  </w:tcBorders>
                  <w:noWrap w:val="0"/>
                  <w:vAlign w:val="center"/>
                </w:tcPr>
                <w:p w14:paraId="30DA7E38">
                  <w:pPr>
                    <w:spacing w:line="240" w:lineRule="atLeast"/>
                    <w:jc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1</w:t>
                  </w:r>
                </w:p>
              </w:tc>
              <w:tc>
                <w:tcPr>
                  <w:tcW w:w="652" w:type="pct"/>
                  <w:tcBorders>
                    <w:tl2br w:val="nil"/>
                    <w:tr2bl w:val="nil"/>
                  </w:tcBorders>
                  <w:noWrap w:val="0"/>
                  <w:vAlign w:val="center"/>
                </w:tcPr>
                <w:p w14:paraId="198C1318">
                  <w:pPr>
                    <w:spacing w:line="240" w:lineRule="atLeast"/>
                    <w:jc w:val="center"/>
                    <w:rPr>
                      <w:rFonts w:hint="default" w:ascii="Times New Roman" w:hAnsi="Times New Roman" w:eastAsia="宋体"/>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氨气</w:t>
                  </w:r>
                </w:p>
              </w:tc>
              <w:tc>
                <w:tcPr>
                  <w:tcW w:w="1909" w:type="pct"/>
                  <w:tcBorders>
                    <w:tl2br w:val="nil"/>
                    <w:tr2bl w:val="nil"/>
                  </w:tcBorders>
                  <w:noWrap w:val="0"/>
                  <w:vAlign w:val="center"/>
                </w:tcPr>
                <w:p w14:paraId="178C9465">
                  <w:pPr>
                    <w:jc w:val="center"/>
                    <w:rPr>
                      <w:rFonts w:hint="eastAsia" w:ascii="Times New Roman" w:hAnsi="Times New Roman" w:eastAsia="宋体"/>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olor w:val="000000" w:themeColor="text1"/>
                      <w:kern w:val="2"/>
                      <w:sz w:val="21"/>
                      <w:szCs w:val="21"/>
                      <w:highlight w:val="none"/>
                      <w:lang w:val="en-US" w:eastAsia="zh-CN" w:bidi="ar-SA"/>
                      <w14:textFill>
                        <w14:solidFill>
                          <w14:schemeClr w14:val="tx1"/>
                        </w14:solidFill>
                      </w14:textFill>
                    </w:rPr>
                    <w:t>《环境空气和废气氨的测定纳氏试剂分光光度法》HJ533-2009</w:t>
                  </w:r>
                </w:p>
              </w:tc>
              <w:tc>
                <w:tcPr>
                  <w:tcW w:w="853" w:type="pct"/>
                  <w:tcBorders>
                    <w:tl2br w:val="nil"/>
                    <w:tr2bl w:val="nil"/>
                  </w:tcBorders>
                  <w:noWrap w:val="0"/>
                  <w:vAlign w:val="center"/>
                </w:tcPr>
                <w:p w14:paraId="6AD42E45">
                  <w:pPr>
                    <w:jc w:val="center"/>
                    <w:rPr>
                      <w:rFonts w:hint="eastAsia" w:ascii="Times New Roman" w:hAnsi="Times New Roman" w:eastAsia="宋体"/>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highlight w:val="none"/>
                      <w:lang w:val="en-US" w:eastAsia="zh-CN" w:bidi="ar-SA"/>
                      <w14:textFill>
                        <w14:solidFill>
                          <w14:schemeClr w14:val="tx1"/>
                        </w14:solidFill>
                      </w14:textFill>
                    </w:rPr>
                    <w:t>0.01mg/m</w:t>
                  </w:r>
                  <w:r>
                    <w:rPr>
                      <w:rFonts w:hint="eastAsia" w:ascii="Times New Roman" w:hAnsi="Times New Roman" w:cs="Times New Roman"/>
                      <w:color w:val="000000" w:themeColor="text1"/>
                      <w:kern w:val="2"/>
                      <w:sz w:val="21"/>
                      <w:szCs w:val="21"/>
                      <w:highlight w:val="none"/>
                      <w:vertAlign w:val="superscript"/>
                      <w:lang w:val="en-US" w:eastAsia="zh-CN" w:bidi="ar-SA"/>
                      <w14:textFill>
                        <w14:solidFill>
                          <w14:schemeClr w14:val="tx1"/>
                        </w14:solidFill>
                      </w14:textFill>
                    </w:rPr>
                    <w:t>3</w:t>
                  </w:r>
                </w:p>
              </w:tc>
              <w:tc>
                <w:tcPr>
                  <w:tcW w:w="1165" w:type="pct"/>
                  <w:tcBorders>
                    <w:tl2br w:val="nil"/>
                    <w:tr2bl w:val="nil"/>
                  </w:tcBorders>
                  <w:noWrap w:val="0"/>
                  <w:vAlign w:val="center"/>
                </w:tcPr>
                <w:p w14:paraId="6727236D">
                  <w:pPr>
                    <w:jc w:val="center"/>
                    <w:rPr>
                      <w:rFonts w:hint="eastAsia"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highlight w:val="none"/>
                      <w:lang w:val="en-US" w:eastAsia="zh-CN" w:bidi="ar-SA"/>
                      <w14:textFill>
                        <w14:solidFill>
                          <w14:schemeClr w14:val="tx1"/>
                        </w14:solidFill>
                      </w14:textFill>
                    </w:rPr>
                    <w:t>可见分光光度计、721、YQ-016</w:t>
                  </w:r>
                </w:p>
              </w:tc>
            </w:tr>
          </w:tbl>
          <w:p w14:paraId="4ED91E2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③</w:t>
            </w:r>
            <w:r>
              <w:rPr>
                <w:rFonts w:hint="default" w:ascii="Times New Roman" w:hAnsi="Times New Roman" w:eastAsia="宋体" w:cs="Times New Roman"/>
                <w:color w:val="000000" w:themeColor="text1"/>
                <w:sz w:val="24"/>
                <w:szCs w:val="24"/>
                <w:highlight w:val="none"/>
                <w14:textFill>
                  <w14:solidFill>
                    <w14:schemeClr w14:val="tx1"/>
                  </w14:solidFill>
                </w14:textFill>
              </w:rPr>
              <w:t>监测时间及频次</w:t>
            </w:r>
          </w:p>
          <w:p w14:paraId="0BA96CE5">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textAlignment w:val="auto"/>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监测时间：监测时间为2023年12月18日</w:t>
            </w:r>
            <w:r>
              <w:rPr>
                <w:rFonts w:hint="eastAsia"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12月24日，连续监测7天。监测氨的1小时平均值。在采样的同时，同步观测记录地面气象资料：风向、风速、气温、气压等气象参数。</w:t>
            </w:r>
          </w:p>
          <w:p w14:paraId="71F62549">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④</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执行标准</w:t>
            </w:r>
          </w:p>
          <w:p w14:paraId="5E9B2426">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本次评价</w:t>
            </w:r>
            <w:r>
              <w:rPr>
                <w:rFonts w:hint="eastAsia" w:cs="Times New Roman"/>
                <w:color w:val="000000" w:themeColor="text1"/>
                <w:sz w:val="24"/>
                <w:szCs w:val="24"/>
                <w:highlight w:val="none"/>
                <w:lang w:val="en-US" w:eastAsia="zh-CN"/>
                <w14:textFill>
                  <w14:solidFill>
                    <w14:schemeClr w14:val="tx1"/>
                  </w14:solidFill>
                </w14:textFill>
              </w:rPr>
              <w:t>TSP</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采用《环境空气质量标准》（GB3095-20</w:t>
            </w:r>
            <w:r>
              <w:rPr>
                <w:rFonts w:hint="eastAsia" w:cs="Times New Roman"/>
                <w:color w:val="000000" w:themeColor="text1"/>
                <w:sz w:val="24"/>
                <w:szCs w:val="24"/>
                <w:highlight w:val="none"/>
                <w:lang w:val="en-US" w:eastAsia="zh-CN"/>
                <w14:textFill>
                  <w14:solidFill>
                    <w14:schemeClr w14:val="tx1"/>
                  </w14:solidFill>
                </w14:textFill>
              </w:rPr>
              <w:t>26</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eastAsia" w:cs="Times New Roman"/>
                <w:color w:val="000000" w:themeColor="text1"/>
                <w:sz w:val="24"/>
                <w:szCs w:val="24"/>
                <w:highlight w:val="none"/>
                <w:lang w:val="en-US" w:eastAsia="zh-CN"/>
                <w14:textFill>
                  <w14:solidFill>
                    <w14:schemeClr w14:val="tx1"/>
                  </w14:solidFill>
                </w14:textFill>
              </w:rPr>
              <w:t>表2的</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二级标准</w:t>
            </w:r>
            <w:r>
              <w:rPr>
                <w:rFonts w:hint="eastAsia" w:cs="Times New Roman"/>
                <w:color w:val="000000" w:themeColor="text1"/>
                <w:sz w:val="24"/>
                <w:szCs w:val="24"/>
                <w:highlight w:val="none"/>
                <w:lang w:val="en-US" w:eastAsia="zh-CN"/>
                <w14:textFill>
                  <w14:solidFill>
                    <w14:schemeClr w14:val="tx1"/>
                  </w14:solidFill>
                </w14:textFill>
              </w:rPr>
              <w:t>，氨气执行</w:t>
            </w:r>
            <w:r>
              <w:rPr>
                <w:rFonts w:hint="default" w:ascii="Times New Roman" w:hAnsi="Times New Roman" w:eastAsia="宋体" w:cs="Times New Roman"/>
                <w:bCs/>
                <w:color w:val="000000" w:themeColor="text1"/>
                <w:sz w:val="24"/>
                <w:highlight w:val="none"/>
                <w:lang w:val="en-US" w:eastAsia="zh-CN"/>
                <w14:textFill>
                  <w14:solidFill>
                    <w14:schemeClr w14:val="tx1"/>
                  </w14:solidFill>
                </w14:textFill>
              </w:rPr>
              <w:t>《环境影响评价技术导则大气环境》（HJ2.2—2018）附录D</w:t>
            </w:r>
            <w:r>
              <w:rPr>
                <w:rFonts w:hint="eastAsia" w:cs="Times New Roman"/>
                <w:bCs/>
                <w:color w:val="000000" w:themeColor="text1"/>
                <w:sz w:val="24"/>
                <w:highlight w:val="none"/>
                <w:lang w:val="en-US" w:eastAsia="zh-CN"/>
                <w14:textFill>
                  <w14:solidFill>
                    <w14:schemeClr w14:val="tx1"/>
                  </w14:solidFill>
                </w14:textFill>
              </w:rPr>
              <w:t>要求</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p>
          <w:p w14:paraId="29871513">
            <w:pPr>
              <w:snapToGrid w:val="0"/>
              <w:spacing w:line="240" w:lineRule="auto"/>
              <w:ind w:firstLine="482" w:firstLineChars="200"/>
              <w:jc w:val="cente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kern w:val="0"/>
                <w:sz w:val="24"/>
                <w:highlight w:val="none"/>
                <w14:textFill>
                  <w14:solidFill>
                    <w14:schemeClr w14:val="tx1"/>
                  </w14:solidFill>
                </w14:textFill>
              </w:rPr>
              <w:t>表</w:t>
            </w:r>
            <w:r>
              <w:rPr>
                <w:rFonts w:hint="default" w:ascii="Times New Roman" w:hAnsi="Times New Roman" w:eastAsia="宋体" w:cs="Times New Roman"/>
                <w:b/>
                <w:bCs/>
                <w:color w:val="000000" w:themeColor="text1"/>
                <w:kern w:val="0"/>
                <w:sz w:val="24"/>
                <w:highlight w:val="none"/>
                <w:lang w:val="en-US" w:eastAsia="zh-CN"/>
                <w14:textFill>
                  <w14:solidFill>
                    <w14:schemeClr w14:val="tx1"/>
                  </w14:solidFill>
                </w14:textFill>
              </w:rPr>
              <w:t>3-</w:t>
            </w:r>
            <w:r>
              <w:rPr>
                <w:rFonts w:hint="eastAsia" w:cs="Times New Roman"/>
                <w:b/>
                <w:bCs/>
                <w:color w:val="000000" w:themeColor="text1"/>
                <w:kern w:val="0"/>
                <w:sz w:val="24"/>
                <w:highlight w:val="none"/>
                <w:lang w:val="en-US" w:eastAsia="zh-CN"/>
                <w14:textFill>
                  <w14:solidFill>
                    <w14:schemeClr w14:val="tx1"/>
                  </w14:solidFill>
                </w14:textFill>
              </w:rPr>
              <w:t>4</w:t>
            </w:r>
            <w:r>
              <w:rPr>
                <w:rFonts w:hint="default" w:ascii="Times New Roman" w:hAnsi="Times New Roman" w:eastAsia="宋体" w:cs="Times New Roman"/>
                <w:b/>
                <w:bCs/>
                <w:color w:val="000000" w:themeColor="text1"/>
                <w:kern w:val="0"/>
                <w:sz w:val="24"/>
                <w:szCs w:val="24"/>
                <w:highlight w:val="none"/>
                <w:lang w:val="en-US" w:eastAsia="zh-CN" w:bidi="ar"/>
                <w14:textFill>
                  <w14:solidFill>
                    <w14:schemeClr w14:val="tx1"/>
                  </w14:solidFill>
                </w14:textFill>
              </w:rPr>
              <w:t>环境空气质量标准</w:t>
            </w:r>
            <w:r>
              <w:rPr>
                <w:rFonts w:hint="eastAsia" w:cs="Times New Roman"/>
                <w:b/>
                <w:bCs/>
                <w:color w:val="000000" w:themeColor="text1"/>
                <w:kern w:val="0"/>
                <w:sz w:val="24"/>
                <w:szCs w:val="24"/>
                <w:highlight w:val="none"/>
                <w:lang w:val="en-US" w:eastAsia="zh-CN" w:bidi="ar"/>
                <w14:textFill>
                  <w14:solidFill>
                    <w14:schemeClr w14:val="tx1"/>
                  </w14:solidFill>
                </w14:textFill>
              </w:rPr>
              <w:t>和导则要求</w:t>
            </w:r>
          </w:p>
          <w:tbl>
            <w:tblPr>
              <w:tblStyle w:val="2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73"/>
              <w:gridCol w:w="2094"/>
              <w:gridCol w:w="2094"/>
            </w:tblGrid>
            <w:tr w14:paraId="78304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69" w:type="pct"/>
                  <w:noWrap w:val="0"/>
                  <w:vAlign w:val="top"/>
                </w:tcPr>
                <w:p w14:paraId="72E37ECB">
                  <w:pPr>
                    <w:snapToGrid w:val="0"/>
                    <w:spacing w:line="240" w:lineRule="auto"/>
                    <w:jc w:val="cente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污染因子</w:t>
                  </w:r>
                </w:p>
              </w:tc>
              <w:tc>
                <w:tcPr>
                  <w:tcW w:w="1315" w:type="pct"/>
                  <w:noWrap w:val="0"/>
                  <w:vAlign w:val="top"/>
                </w:tcPr>
                <w:p w14:paraId="3C8DA621">
                  <w:pPr>
                    <w:snapToGrid w:val="0"/>
                    <w:spacing w:line="240" w:lineRule="auto"/>
                    <w:jc w:val="cente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TSP</w:t>
                  </w:r>
                </w:p>
              </w:tc>
              <w:tc>
                <w:tcPr>
                  <w:tcW w:w="1315" w:type="pct"/>
                  <w:noWrap w:val="0"/>
                  <w:vAlign w:val="top"/>
                </w:tcPr>
                <w:p w14:paraId="07DDC7A3">
                  <w:pPr>
                    <w:snapToGrid w:val="0"/>
                    <w:spacing w:line="240" w:lineRule="auto"/>
                    <w:jc w:val="cente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cs="Times New Roman"/>
                      <w:color w:val="000000" w:themeColor="text1"/>
                      <w:sz w:val="21"/>
                      <w:szCs w:val="21"/>
                      <w:highlight w:val="none"/>
                      <w:vertAlign w:val="baseline"/>
                      <w:lang w:val="en-US" w:eastAsia="zh-CN"/>
                      <w14:textFill>
                        <w14:solidFill>
                          <w14:schemeClr w14:val="tx1"/>
                        </w14:solidFill>
                      </w14:textFill>
                    </w:rPr>
                    <w:t>氨气</w:t>
                  </w:r>
                </w:p>
              </w:tc>
            </w:tr>
            <w:tr w14:paraId="72B51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69" w:type="pct"/>
                  <w:noWrap w:val="0"/>
                  <w:vAlign w:val="top"/>
                </w:tcPr>
                <w:p w14:paraId="5DAF7C93">
                  <w:pPr>
                    <w:snapToGrid w:val="0"/>
                    <w:spacing w:line="240" w:lineRule="auto"/>
                    <w:jc w:val="cente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日均浓度限值</w:t>
                  </w:r>
                </w:p>
              </w:tc>
              <w:tc>
                <w:tcPr>
                  <w:tcW w:w="1315" w:type="pct"/>
                  <w:noWrap w:val="0"/>
                  <w:vAlign w:val="top"/>
                </w:tcPr>
                <w:p w14:paraId="201DA5CA">
                  <w:pPr>
                    <w:snapToGrid w:val="0"/>
                    <w:spacing w:line="240" w:lineRule="auto"/>
                    <w:jc w:val="cente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0.30</w:t>
                  </w:r>
                  <w:r>
                    <w:rPr>
                      <w:rFonts w:hint="default" w:ascii="Times New Roman" w:hAnsi="Times New Roman" w:eastAsia="宋体" w:cs="Times New Roman"/>
                      <w:color w:val="000000" w:themeColor="text1"/>
                      <w:sz w:val="21"/>
                      <w:szCs w:val="21"/>
                      <w:highlight w:val="none"/>
                      <w14:textFill>
                        <w14:solidFill>
                          <w14:schemeClr w14:val="tx1"/>
                        </w14:solidFill>
                      </w14:textFill>
                    </w:rPr>
                    <w:t>mg/m</w:t>
                  </w:r>
                  <w:r>
                    <w:rPr>
                      <w:rFonts w:hint="default" w:ascii="Times New Roman" w:hAnsi="Times New Roman" w:eastAsia="宋体" w:cs="Times New Roman"/>
                      <w:color w:val="000000" w:themeColor="text1"/>
                      <w:sz w:val="21"/>
                      <w:szCs w:val="21"/>
                      <w:highlight w:val="none"/>
                      <w:vertAlign w:val="superscript"/>
                      <w14:textFill>
                        <w14:solidFill>
                          <w14:schemeClr w14:val="tx1"/>
                        </w14:solidFill>
                      </w14:textFill>
                    </w:rPr>
                    <w:t>3</w:t>
                  </w:r>
                </w:p>
              </w:tc>
              <w:tc>
                <w:tcPr>
                  <w:tcW w:w="1315" w:type="pct"/>
                  <w:noWrap w:val="0"/>
                  <w:vAlign w:val="top"/>
                </w:tcPr>
                <w:p w14:paraId="610DA5BD">
                  <w:pPr>
                    <w:snapToGrid w:val="0"/>
                    <w:spacing w:line="240" w:lineRule="auto"/>
                    <w:jc w:val="cente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cs="Times New Roman"/>
                      <w:color w:val="000000" w:themeColor="text1"/>
                      <w:sz w:val="21"/>
                      <w:szCs w:val="21"/>
                      <w:highlight w:val="none"/>
                      <w:vertAlign w:val="baseline"/>
                      <w:lang w:val="en-US" w:eastAsia="zh-CN"/>
                      <w14:textFill>
                        <w14:solidFill>
                          <w14:schemeClr w14:val="tx1"/>
                        </w14:solidFill>
                      </w14:textFill>
                    </w:rPr>
                    <w:t>/</w:t>
                  </w:r>
                </w:p>
              </w:tc>
            </w:tr>
            <w:tr w14:paraId="19624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69" w:type="pct"/>
                  <w:noWrap w:val="0"/>
                  <w:vAlign w:val="top"/>
                </w:tcPr>
                <w:p w14:paraId="76460EDD">
                  <w:pPr>
                    <w:snapToGrid w:val="0"/>
                    <w:spacing w:line="240" w:lineRule="auto"/>
                    <w:jc w:val="cente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cs="Times New Roman"/>
                      <w:color w:val="000000" w:themeColor="text1"/>
                      <w:sz w:val="21"/>
                      <w:szCs w:val="21"/>
                      <w:highlight w:val="none"/>
                      <w:vertAlign w:val="baseline"/>
                      <w:lang w:val="en-US" w:eastAsia="zh-CN"/>
                      <w14:textFill>
                        <w14:solidFill>
                          <w14:schemeClr w14:val="tx1"/>
                        </w14:solidFill>
                      </w14:textFill>
                    </w:rPr>
                    <w:t>小时均值</w:t>
                  </w: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浓度限值</w:t>
                  </w:r>
                </w:p>
              </w:tc>
              <w:tc>
                <w:tcPr>
                  <w:tcW w:w="1315" w:type="pct"/>
                  <w:noWrap w:val="0"/>
                  <w:vAlign w:val="top"/>
                </w:tcPr>
                <w:p w14:paraId="20ED4837">
                  <w:pPr>
                    <w:snapToGrid w:val="0"/>
                    <w:spacing w:line="240" w:lineRule="auto"/>
                    <w:jc w:val="cente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cs="Times New Roman"/>
                      <w:color w:val="000000" w:themeColor="text1"/>
                      <w:sz w:val="21"/>
                      <w:szCs w:val="21"/>
                      <w:highlight w:val="none"/>
                      <w:vertAlign w:val="baseline"/>
                      <w:lang w:val="en-US" w:eastAsia="zh-CN"/>
                      <w14:textFill>
                        <w14:solidFill>
                          <w14:schemeClr w14:val="tx1"/>
                        </w14:solidFill>
                      </w14:textFill>
                    </w:rPr>
                    <w:t>/</w:t>
                  </w:r>
                </w:p>
              </w:tc>
              <w:tc>
                <w:tcPr>
                  <w:tcW w:w="1315" w:type="pct"/>
                  <w:noWrap w:val="0"/>
                  <w:vAlign w:val="top"/>
                </w:tcPr>
                <w:p w14:paraId="5E5F34C1">
                  <w:pPr>
                    <w:snapToGrid w:val="0"/>
                    <w:spacing w:line="240" w:lineRule="auto"/>
                    <w:jc w:val="center"/>
                    <w:rPr>
                      <w:rFonts w:hint="eastAsia" w:cs="Times New Roman"/>
                      <w:color w:val="000000" w:themeColor="text1"/>
                      <w:sz w:val="21"/>
                      <w:szCs w:val="21"/>
                      <w:highlight w:val="none"/>
                      <w:vertAlign w:val="baseline"/>
                      <w:lang w:val="en-US" w:eastAsia="zh-CN"/>
                      <w14:textFill>
                        <w14:solidFill>
                          <w14:schemeClr w14:val="tx1"/>
                        </w14:solidFill>
                      </w14:textFill>
                    </w:rPr>
                  </w:pPr>
                  <w:r>
                    <w:rPr>
                      <w:rFonts w:hint="eastAsia" w:cs="Times New Roman"/>
                      <w:color w:val="000000" w:themeColor="text1"/>
                      <w:sz w:val="21"/>
                      <w:szCs w:val="21"/>
                      <w:highlight w:val="none"/>
                      <w:vertAlign w:val="baseline"/>
                      <w:lang w:val="en-US" w:eastAsia="zh-CN"/>
                      <w14:textFill>
                        <w14:solidFill>
                          <w14:schemeClr w14:val="tx1"/>
                        </w14:solidFill>
                      </w14:textFill>
                    </w:rPr>
                    <w:t>0.2</w:t>
                  </w:r>
                  <w:r>
                    <w:rPr>
                      <w:rFonts w:hint="default" w:ascii="Times New Roman" w:hAnsi="Times New Roman" w:eastAsia="宋体" w:cs="Times New Roman"/>
                      <w:color w:val="000000" w:themeColor="text1"/>
                      <w:sz w:val="21"/>
                      <w:szCs w:val="21"/>
                      <w:highlight w:val="none"/>
                      <w14:textFill>
                        <w14:solidFill>
                          <w14:schemeClr w14:val="tx1"/>
                        </w14:solidFill>
                      </w14:textFill>
                    </w:rPr>
                    <w:t>mg/m</w:t>
                  </w:r>
                  <w:r>
                    <w:rPr>
                      <w:rFonts w:hint="default" w:ascii="Times New Roman" w:hAnsi="Times New Roman" w:eastAsia="宋体" w:cs="Times New Roman"/>
                      <w:color w:val="000000" w:themeColor="text1"/>
                      <w:sz w:val="21"/>
                      <w:szCs w:val="21"/>
                      <w:highlight w:val="none"/>
                      <w:vertAlign w:val="superscript"/>
                      <w14:textFill>
                        <w14:solidFill>
                          <w14:schemeClr w14:val="tx1"/>
                        </w14:solidFill>
                      </w14:textFill>
                    </w:rPr>
                    <w:t>3</w:t>
                  </w:r>
                </w:p>
              </w:tc>
            </w:tr>
          </w:tbl>
          <w:p w14:paraId="185F9116">
            <w:pPr>
              <w:spacing w:line="360" w:lineRule="auto"/>
              <w:ind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⑤</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监测结果</w:t>
            </w:r>
            <w:r>
              <w:rPr>
                <w:rFonts w:hint="eastAsia" w:cs="Times New Roman"/>
                <w:color w:val="000000" w:themeColor="text1"/>
                <w:sz w:val="24"/>
                <w:szCs w:val="24"/>
                <w:highlight w:val="none"/>
                <w:lang w:val="en-US" w:eastAsia="zh-CN"/>
                <w14:textFill>
                  <w14:solidFill>
                    <w14:schemeClr w14:val="tx1"/>
                  </w14:solidFill>
                </w14:textFill>
              </w:rPr>
              <w:t>及评价</w:t>
            </w:r>
          </w:p>
          <w:p w14:paraId="399D6955">
            <w:pPr>
              <w:snapToGrid w:val="0"/>
              <w:ind w:firstLine="482" w:firstLineChars="200"/>
              <w:jc w:val="center"/>
              <w:rPr>
                <w:rFonts w:hint="default" w:ascii="Times New Roman" w:hAnsi="Times New Roman" w:eastAsia="宋体" w:cs="Times New Roman"/>
                <w:b/>
                <w:bCs/>
                <w:color w:val="000000" w:themeColor="text1"/>
                <w:kern w:val="0"/>
                <w:sz w:val="24"/>
                <w:highlight w:val="none"/>
                <w:lang w:val="en-US"/>
                <w14:textFill>
                  <w14:solidFill>
                    <w14:schemeClr w14:val="tx1"/>
                  </w14:solidFill>
                </w14:textFill>
              </w:rPr>
            </w:pPr>
            <w:r>
              <w:rPr>
                <w:rFonts w:hint="default" w:ascii="Times New Roman" w:hAnsi="Times New Roman" w:eastAsia="宋体" w:cs="Times New Roman"/>
                <w:b/>
                <w:bCs/>
                <w:color w:val="000000" w:themeColor="text1"/>
                <w:kern w:val="0"/>
                <w:sz w:val="24"/>
                <w:highlight w:val="none"/>
                <w14:textFill>
                  <w14:solidFill>
                    <w14:schemeClr w14:val="tx1"/>
                  </w14:solidFill>
                </w14:textFill>
              </w:rPr>
              <w:t>表</w:t>
            </w:r>
            <w:r>
              <w:rPr>
                <w:rFonts w:hint="default" w:ascii="Times New Roman" w:hAnsi="Times New Roman" w:eastAsia="宋体" w:cs="Times New Roman"/>
                <w:b/>
                <w:bCs/>
                <w:color w:val="000000" w:themeColor="text1"/>
                <w:kern w:val="0"/>
                <w:sz w:val="24"/>
                <w:highlight w:val="none"/>
                <w:lang w:val="en-US" w:eastAsia="zh-CN"/>
                <w14:textFill>
                  <w14:solidFill>
                    <w14:schemeClr w14:val="tx1"/>
                  </w14:solidFill>
                </w14:textFill>
              </w:rPr>
              <w:t>3-</w:t>
            </w:r>
            <w:r>
              <w:rPr>
                <w:rFonts w:hint="eastAsia" w:cs="Times New Roman"/>
                <w:b/>
                <w:bCs/>
                <w:color w:val="000000" w:themeColor="text1"/>
                <w:kern w:val="0"/>
                <w:sz w:val="24"/>
                <w:highlight w:val="none"/>
                <w:lang w:val="en-US" w:eastAsia="zh-CN"/>
                <w14:textFill>
                  <w14:solidFill>
                    <w14:schemeClr w14:val="tx1"/>
                  </w14:solidFill>
                </w14:textFill>
              </w:rPr>
              <w:t>5</w:t>
            </w:r>
            <w:r>
              <w:rPr>
                <w:rFonts w:hint="default" w:ascii="Times New Roman" w:hAnsi="Times New Roman" w:eastAsia="宋体" w:cs="Times New Roman"/>
                <w:b/>
                <w:bCs/>
                <w:color w:val="000000" w:themeColor="text1"/>
                <w:kern w:val="0"/>
                <w:sz w:val="24"/>
                <w:highlight w:val="none"/>
                <w14:textFill>
                  <w14:solidFill>
                    <w14:schemeClr w14:val="tx1"/>
                  </w14:solidFill>
                </w14:textFill>
              </w:rPr>
              <w:t>其他污染物（引用）监测值</w:t>
            </w:r>
          </w:p>
          <w:tbl>
            <w:tblPr>
              <w:tblStyle w:val="24"/>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673"/>
              <w:gridCol w:w="3154"/>
              <w:gridCol w:w="1113"/>
              <w:gridCol w:w="1021"/>
            </w:tblGrid>
            <w:tr w14:paraId="176A4F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5" w:hRule="atLeast"/>
                <w:jc w:val="center"/>
              </w:trPr>
              <w:tc>
                <w:tcPr>
                  <w:tcW w:w="1678" w:type="pct"/>
                  <w:tcBorders>
                    <w:tl2br w:val="nil"/>
                    <w:tr2bl w:val="nil"/>
                  </w:tcBorders>
                  <w:noWrap w:val="0"/>
                  <w:vAlign w:val="center"/>
                </w:tcPr>
                <w:p w14:paraId="030847E9">
                  <w:pPr>
                    <w:pStyle w:val="3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jc w:val="center"/>
                    <w:textAlignment w:val="auto"/>
                    <w:rPr>
                      <w:rFonts w:hint="eastAsia" w:ascii="Times New Roman" w:hAnsi="Times New Roman" w:eastAsia="宋体" w:cs="Times New Roman"/>
                      <w:b w:val="0"/>
                      <w:bCs w:val="0"/>
                      <w:color w:val="000000" w:themeColor="text1"/>
                      <w:sz w:val="21"/>
                      <w:szCs w:val="21"/>
                      <w:highlight w:val="none"/>
                      <w:lang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eastAsia="zh-CN"/>
                      <w14:textFill>
                        <w14:solidFill>
                          <w14:schemeClr w14:val="tx1"/>
                        </w14:solidFill>
                      </w14:textFill>
                    </w:rPr>
                    <w:t>监测项目</w:t>
                  </w:r>
                </w:p>
              </w:tc>
              <w:tc>
                <w:tcPr>
                  <w:tcW w:w="1980" w:type="pct"/>
                  <w:tcBorders>
                    <w:tl2br w:val="nil"/>
                    <w:tr2bl w:val="nil"/>
                  </w:tcBorders>
                  <w:noWrap w:val="0"/>
                  <w:vAlign w:val="center"/>
                </w:tcPr>
                <w:p w14:paraId="106E6D7F">
                  <w:pPr>
                    <w:pStyle w:val="3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jc w:val="center"/>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监测结果</w:t>
                  </w:r>
                </w:p>
              </w:tc>
              <w:tc>
                <w:tcPr>
                  <w:tcW w:w="699" w:type="pct"/>
                  <w:vMerge w:val="restart"/>
                  <w:tcBorders>
                    <w:tl2br w:val="nil"/>
                    <w:tr2bl w:val="nil"/>
                  </w:tcBorders>
                  <w:noWrap w:val="0"/>
                  <w:vAlign w:val="center"/>
                </w:tcPr>
                <w:p w14:paraId="53B00A75">
                  <w:pPr>
                    <w:pStyle w:val="3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jc w:val="center"/>
                    <w:textAlignment w:val="auto"/>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占标率</w:t>
                  </w:r>
                </w:p>
                <w:p w14:paraId="1C817777">
                  <w:pPr>
                    <w:pStyle w:val="3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w:t>
                  </w:r>
                </w:p>
              </w:tc>
              <w:tc>
                <w:tcPr>
                  <w:tcW w:w="641" w:type="pct"/>
                  <w:vMerge w:val="restart"/>
                  <w:tcBorders>
                    <w:tl2br w:val="nil"/>
                    <w:tr2bl w:val="nil"/>
                  </w:tcBorders>
                  <w:noWrap w:val="0"/>
                  <w:vAlign w:val="center"/>
                </w:tcPr>
                <w:p w14:paraId="72DAED2D">
                  <w:pPr>
                    <w:pStyle w:val="3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jc w:val="center"/>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限值</w:t>
                  </w:r>
                </w:p>
                <w:p w14:paraId="27A1F067">
                  <w:pPr>
                    <w:pStyle w:val="3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jc w:val="center"/>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mg/m</w:t>
                  </w:r>
                  <w:r>
                    <w:rPr>
                      <w:rFonts w:hint="default" w:ascii="Times New Roman" w:hAnsi="Times New Roman" w:eastAsia="宋体" w:cs="Times New Roman"/>
                      <w:b w:val="0"/>
                      <w:bCs w:val="0"/>
                      <w:color w:val="000000" w:themeColor="text1"/>
                      <w:sz w:val="21"/>
                      <w:szCs w:val="21"/>
                      <w:highlight w:val="none"/>
                      <w:vertAlign w:val="superscript"/>
                      <w14:textFill>
                        <w14:solidFill>
                          <w14:schemeClr w14:val="tx1"/>
                        </w14:solidFill>
                      </w14:textFill>
                    </w:rPr>
                    <w:t>3</w:t>
                  </w:r>
                </w:p>
              </w:tc>
            </w:tr>
            <w:tr w14:paraId="6ABB28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5" w:hRule="atLeast"/>
                <w:jc w:val="center"/>
              </w:trPr>
              <w:tc>
                <w:tcPr>
                  <w:tcW w:w="1678" w:type="pct"/>
                  <w:tcBorders>
                    <w:tl2br w:val="nil"/>
                    <w:tr2bl w:val="nil"/>
                  </w:tcBorders>
                  <w:noWrap w:val="0"/>
                  <w:vAlign w:val="center"/>
                </w:tcPr>
                <w:p w14:paraId="210EA65A">
                  <w:pPr>
                    <w:pStyle w:val="3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监测点位</w:t>
                  </w:r>
                </w:p>
                <w:p w14:paraId="408D4A23">
                  <w:pPr>
                    <w:rPr>
                      <w:rFonts w:hint="default" w:ascii="Times New Roman" w:hAnsi="Times New Roman" w:cs="Times New Roman"/>
                      <w:color w:val="000000" w:themeColor="text1"/>
                      <w:sz w:val="21"/>
                      <w:szCs w:val="21"/>
                      <w:highlight w:val="none"/>
                      <w:lang w:val="en-US"/>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采样日期</w:t>
                  </w:r>
                </w:p>
              </w:tc>
              <w:tc>
                <w:tcPr>
                  <w:tcW w:w="1980" w:type="pct"/>
                  <w:tcBorders>
                    <w:tl2br w:val="nil"/>
                    <w:tr2bl w:val="nil"/>
                  </w:tcBorders>
                  <w:noWrap w:val="0"/>
                  <w:vAlign w:val="center"/>
                </w:tcPr>
                <w:p w14:paraId="44C88CD3">
                  <w:pPr>
                    <w:pStyle w:val="3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textAlignment w:val="auto"/>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厂区下风向</w:t>
                  </w:r>
                </w:p>
                <w:p w14:paraId="38145250">
                  <w:pPr>
                    <w:pStyle w:val="3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（监测点位于本项目上风向）</w:t>
                  </w:r>
                </w:p>
              </w:tc>
              <w:tc>
                <w:tcPr>
                  <w:tcW w:w="699" w:type="pct"/>
                  <w:vMerge w:val="continue"/>
                  <w:tcBorders>
                    <w:tl2br w:val="nil"/>
                    <w:tr2bl w:val="nil"/>
                  </w:tcBorders>
                  <w:noWrap w:val="0"/>
                  <w:vAlign w:val="center"/>
                </w:tcPr>
                <w:p w14:paraId="7E7D15AB">
                  <w:pPr>
                    <w:pStyle w:val="3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641" w:type="pct"/>
                  <w:vMerge w:val="continue"/>
                  <w:tcBorders>
                    <w:tl2br w:val="nil"/>
                    <w:tr2bl w:val="nil"/>
                  </w:tcBorders>
                  <w:noWrap w:val="0"/>
                  <w:vAlign w:val="center"/>
                </w:tcPr>
                <w:p w14:paraId="7F0AA7BA">
                  <w:pPr>
                    <w:pStyle w:val="3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2DF1D9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4" w:hRule="atLeast"/>
                <w:jc w:val="center"/>
              </w:trPr>
              <w:tc>
                <w:tcPr>
                  <w:tcW w:w="1678" w:type="pct"/>
                  <w:tcBorders>
                    <w:tl2br w:val="nil"/>
                    <w:tr2bl w:val="nil"/>
                  </w:tcBorders>
                  <w:noWrap w:val="0"/>
                  <w:vAlign w:val="center"/>
                </w:tcPr>
                <w:p w14:paraId="66490EA8">
                  <w:pPr>
                    <w:pStyle w:val="3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2024.6.24</w:t>
                  </w:r>
                </w:p>
              </w:tc>
              <w:tc>
                <w:tcPr>
                  <w:tcW w:w="1980" w:type="pct"/>
                  <w:tcBorders>
                    <w:tl2br w:val="nil"/>
                    <w:tr2bl w:val="nil"/>
                  </w:tcBorders>
                  <w:noWrap w:val="0"/>
                  <w:vAlign w:val="center"/>
                </w:tcPr>
                <w:p w14:paraId="16720BB9">
                  <w:pPr>
                    <w:pStyle w:val="3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0.</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197</w:t>
                  </w:r>
                </w:p>
              </w:tc>
              <w:tc>
                <w:tcPr>
                  <w:tcW w:w="699" w:type="pct"/>
                  <w:tcBorders>
                    <w:tl2br w:val="nil"/>
                    <w:tr2bl w:val="nil"/>
                  </w:tcBorders>
                  <w:noWrap w:val="0"/>
                  <w:vAlign w:val="center"/>
                </w:tcPr>
                <w:p w14:paraId="724332A6">
                  <w:pPr>
                    <w:pStyle w:val="3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65.67</w:t>
                  </w:r>
                </w:p>
              </w:tc>
              <w:tc>
                <w:tcPr>
                  <w:tcW w:w="641" w:type="pct"/>
                  <w:tcBorders>
                    <w:tl2br w:val="nil"/>
                    <w:tr2bl w:val="nil"/>
                  </w:tcBorders>
                  <w:noWrap w:val="0"/>
                  <w:vAlign w:val="center"/>
                </w:tcPr>
                <w:p w14:paraId="3EE37B6C">
                  <w:pPr>
                    <w:pStyle w:val="3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0.3</w:t>
                  </w:r>
                </w:p>
              </w:tc>
            </w:tr>
            <w:tr w14:paraId="4248C9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4" w:hRule="atLeast"/>
                <w:jc w:val="center"/>
              </w:trPr>
              <w:tc>
                <w:tcPr>
                  <w:tcW w:w="1678" w:type="pct"/>
                  <w:tcBorders>
                    <w:tl2br w:val="nil"/>
                    <w:tr2bl w:val="nil"/>
                  </w:tcBorders>
                  <w:noWrap w:val="0"/>
                  <w:vAlign w:val="center"/>
                </w:tcPr>
                <w:p w14:paraId="3A3D9DE2">
                  <w:pPr>
                    <w:pStyle w:val="3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2024.6.25</w:t>
                  </w:r>
                </w:p>
              </w:tc>
              <w:tc>
                <w:tcPr>
                  <w:tcW w:w="1980" w:type="pct"/>
                  <w:tcBorders>
                    <w:tl2br w:val="nil"/>
                    <w:tr2bl w:val="nil"/>
                  </w:tcBorders>
                  <w:noWrap w:val="0"/>
                  <w:vAlign w:val="center"/>
                </w:tcPr>
                <w:p w14:paraId="0E7E6AFC">
                  <w:pPr>
                    <w:pStyle w:val="3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0.</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206</w:t>
                  </w:r>
                </w:p>
              </w:tc>
              <w:tc>
                <w:tcPr>
                  <w:tcW w:w="699" w:type="pct"/>
                  <w:tcBorders>
                    <w:tl2br w:val="nil"/>
                    <w:tr2bl w:val="nil"/>
                  </w:tcBorders>
                  <w:noWrap w:val="0"/>
                  <w:vAlign w:val="center"/>
                </w:tcPr>
                <w:p w14:paraId="5B7461C9">
                  <w:pPr>
                    <w:pStyle w:val="3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68.67</w:t>
                  </w:r>
                </w:p>
              </w:tc>
              <w:tc>
                <w:tcPr>
                  <w:tcW w:w="641" w:type="pct"/>
                  <w:tcBorders>
                    <w:tl2br w:val="nil"/>
                    <w:tr2bl w:val="nil"/>
                  </w:tcBorders>
                  <w:noWrap w:val="0"/>
                  <w:vAlign w:val="center"/>
                </w:tcPr>
                <w:p w14:paraId="330A2B6D">
                  <w:pPr>
                    <w:pStyle w:val="3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0.3</w:t>
                  </w:r>
                </w:p>
              </w:tc>
            </w:tr>
            <w:tr w14:paraId="4F3E91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4" w:hRule="atLeast"/>
                <w:jc w:val="center"/>
              </w:trPr>
              <w:tc>
                <w:tcPr>
                  <w:tcW w:w="1678" w:type="pct"/>
                  <w:tcBorders>
                    <w:tl2br w:val="nil"/>
                    <w:tr2bl w:val="nil"/>
                  </w:tcBorders>
                  <w:noWrap w:val="0"/>
                  <w:vAlign w:val="center"/>
                </w:tcPr>
                <w:p w14:paraId="2A0CD43E">
                  <w:pPr>
                    <w:pStyle w:val="3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2024.6.26</w:t>
                  </w:r>
                </w:p>
              </w:tc>
              <w:tc>
                <w:tcPr>
                  <w:tcW w:w="1980" w:type="pct"/>
                  <w:tcBorders>
                    <w:tl2br w:val="nil"/>
                    <w:tr2bl w:val="nil"/>
                  </w:tcBorders>
                  <w:noWrap w:val="0"/>
                  <w:vAlign w:val="center"/>
                </w:tcPr>
                <w:p w14:paraId="73BD9157">
                  <w:pPr>
                    <w:pStyle w:val="3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0.</w:t>
                  </w:r>
                  <w: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210</w:t>
                  </w:r>
                </w:p>
              </w:tc>
              <w:tc>
                <w:tcPr>
                  <w:tcW w:w="699" w:type="pct"/>
                  <w:tcBorders>
                    <w:tl2br w:val="nil"/>
                    <w:tr2bl w:val="nil"/>
                  </w:tcBorders>
                  <w:noWrap w:val="0"/>
                  <w:vAlign w:val="center"/>
                </w:tcPr>
                <w:p w14:paraId="7820E4AD">
                  <w:pPr>
                    <w:pStyle w:val="3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70</w:t>
                  </w:r>
                </w:p>
              </w:tc>
              <w:tc>
                <w:tcPr>
                  <w:tcW w:w="641" w:type="pct"/>
                  <w:tcBorders>
                    <w:tl2br w:val="nil"/>
                    <w:tr2bl w:val="nil"/>
                  </w:tcBorders>
                  <w:noWrap w:val="0"/>
                  <w:vAlign w:val="center"/>
                </w:tcPr>
                <w:p w14:paraId="42AFB26D">
                  <w:pPr>
                    <w:pStyle w:val="3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0.3</w:t>
                  </w:r>
                </w:p>
              </w:tc>
            </w:tr>
          </w:tbl>
          <w:p w14:paraId="6BA8414C">
            <w:pPr>
              <w:spacing w:line="240" w:lineRule="atLeast"/>
              <w:jc w:val="center"/>
              <w:rPr>
                <w:rFonts w:hint="eastAsia"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表</w:t>
            </w:r>
            <w:r>
              <w:rPr>
                <w:rFonts w:hint="eastAsia" w:ascii="Times New Roman" w:hAnsi="Times New Roman" w:eastAsia="宋体" w:cs="Times New Roman"/>
                <w:b/>
                <w:bCs/>
                <w:color w:val="000000" w:themeColor="text1"/>
                <w:sz w:val="24"/>
                <w:szCs w:val="24"/>
                <w:highlight w:val="none"/>
                <w:lang w:val="en-US" w:eastAsia="zh-CN"/>
                <w14:textFill>
                  <w14:solidFill>
                    <w14:schemeClr w14:val="tx1"/>
                  </w14:solidFill>
                </w14:textFill>
              </w:rPr>
              <w:t>3-</w:t>
            </w:r>
            <w:r>
              <w:rPr>
                <w:rFonts w:hint="eastAsia" w:cs="Times New Roman"/>
                <w:b/>
                <w:bCs/>
                <w:color w:val="000000" w:themeColor="text1"/>
                <w:sz w:val="24"/>
                <w:szCs w:val="24"/>
                <w:highlight w:val="none"/>
                <w:lang w:val="en-US" w:eastAsia="zh-CN"/>
                <w14:textFill>
                  <w14:solidFill>
                    <w14:schemeClr w14:val="tx1"/>
                  </w14:solidFill>
                </w14:textFill>
              </w:rPr>
              <w:t>6</w:t>
            </w:r>
            <w:r>
              <w:rPr>
                <w:rFonts w:hint="eastAsia" w:ascii="Times New Roman" w:hAnsi="Times New Roman" w:eastAsia="宋体" w:cs="Times New Roman"/>
                <w:b/>
                <w:bCs/>
                <w:color w:val="000000" w:themeColor="text1"/>
                <w:sz w:val="24"/>
                <w:szCs w:val="24"/>
                <w:highlight w:val="none"/>
                <w:lang w:val="en-US" w:eastAsia="zh-CN"/>
                <w14:textFill>
                  <w14:solidFill>
                    <w14:schemeClr w14:val="tx1"/>
                  </w14:solidFill>
                </w14:textFill>
              </w:rPr>
              <w:t>环境空气质量现状引用监测数据结果</w:t>
            </w:r>
          </w:p>
          <w:tbl>
            <w:tblPr>
              <w:tblStyle w:val="25"/>
              <w:tblW w:w="4997"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703"/>
              <w:gridCol w:w="1349"/>
              <w:gridCol w:w="1365"/>
              <w:gridCol w:w="1184"/>
              <w:gridCol w:w="1184"/>
              <w:gridCol w:w="1184"/>
            </w:tblGrid>
            <w:tr w14:paraId="1825F1B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068" w:type="pct"/>
                  <w:tcBorders>
                    <w:left w:val="single" w:color="auto" w:sz="0" w:space="0"/>
                    <w:tl2br w:val="nil"/>
                    <w:tr2bl w:val="nil"/>
                  </w:tcBorders>
                  <w:noWrap w:val="0"/>
                  <w:vAlign w:val="center"/>
                </w:tcPr>
                <w:p w14:paraId="61A16158">
                  <w:pPr>
                    <w:spacing w:line="240" w:lineRule="atLeast"/>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监测点位</w:t>
                  </w:r>
                </w:p>
              </w:tc>
              <w:tc>
                <w:tcPr>
                  <w:tcW w:w="846" w:type="pct"/>
                  <w:tcBorders>
                    <w:tl2br w:val="nil"/>
                    <w:tr2bl w:val="nil"/>
                  </w:tcBorders>
                  <w:noWrap w:val="0"/>
                  <w:vAlign w:val="center"/>
                </w:tcPr>
                <w:p w14:paraId="1F1CA8CF">
                  <w:pPr>
                    <w:spacing w:line="240" w:lineRule="atLeast"/>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监测项目</w:t>
                  </w:r>
                </w:p>
              </w:tc>
              <w:tc>
                <w:tcPr>
                  <w:tcW w:w="856" w:type="pct"/>
                  <w:tcBorders>
                    <w:tl2br w:val="nil"/>
                    <w:tr2bl w:val="nil"/>
                  </w:tcBorders>
                  <w:noWrap w:val="0"/>
                  <w:vAlign w:val="center"/>
                </w:tcPr>
                <w:p w14:paraId="5B7EF3CB">
                  <w:pPr>
                    <w:spacing w:line="240" w:lineRule="atLeast"/>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日均值浓度范围</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m</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g/m</w:t>
                  </w:r>
                  <w:r>
                    <w:rPr>
                      <w:rFonts w:hint="default" w:ascii="Times New Roman" w:hAnsi="Times New Roman" w:eastAsia="宋体" w:cs="Times New Roman"/>
                      <w:color w:val="000000" w:themeColor="text1"/>
                      <w:sz w:val="21"/>
                      <w:szCs w:val="21"/>
                      <w:highlight w:val="none"/>
                      <w:vertAlign w:val="superscript"/>
                      <w:lang w:val="en-US" w:eastAsia="zh-CN"/>
                      <w14:textFill>
                        <w14:solidFill>
                          <w14:schemeClr w14:val="tx1"/>
                        </w14:solidFill>
                      </w14:textFill>
                    </w:rPr>
                    <w:t>3</w:t>
                  </w:r>
                </w:p>
              </w:tc>
              <w:tc>
                <w:tcPr>
                  <w:tcW w:w="742" w:type="pct"/>
                  <w:tcBorders>
                    <w:right w:val="single" w:color="auto" w:sz="4" w:space="0"/>
                    <w:tl2br w:val="nil"/>
                    <w:tr2bl w:val="nil"/>
                  </w:tcBorders>
                  <w:noWrap w:val="0"/>
                  <w:vAlign w:val="center"/>
                </w:tcPr>
                <w:p w14:paraId="7CB0DA7E">
                  <w:pPr>
                    <w:spacing w:line="240" w:lineRule="atLeast"/>
                    <w:jc w:val="cente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占标率</w:t>
                  </w:r>
                </w:p>
                <w:p w14:paraId="45EA7DC5">
                  <w:pPr>
                    <w:spacing w:line="240" w:lineRule="atLeast"/>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742" w:type="pct"/>
                  <w:tcBorders>
                    <w:right w:val="single" w:color="auto" w:sz="4" w:space="0"/>
                    <w:tl2br w:val="nil"/>
                    <w:tr2bl w:val="nil"/>
                  </w:tcBorders>
                  <w:noWrap w:val="0"/>
                  <w:vAlign w:val="center"/>
                </w:tcPr>
                <w:p w14:paraId="56E48EFA">
                  <w:pPr>
                    <w:spacing w:line="240" w:lineRule="atLeast"/>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日均值浓度超标率%</w:t>
                  </w:r>
                </w:p>
              </w:tc>
              <w:tc>
                <w:tcPr>
                  <w:tcW w:w="742" w:type="pct"/>
                  <w:tcBorders>
                    <w:right w:val="single" w:color="auto" w:sz="4" w:space="0"/>
                    <w:tl2br w:val="nil"/>
                    <w:tr2bl w:val="nil"/>
                  </w:tcBorders>
                  <w:noWrap w:val="0"/>
                  <w:vAlign w:val="center"/>
                </w:tcPr>
                <w:p w14:paraId="57F2C27B">
                  <w:pPr>
                    <w:spacing w:line="240" w:lineRule="atLeast"/>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限值mg/m</w:t>
                  </w:r>
                  <w:r>
                    <w:rPr>
                      <w:rFonts w:hint="default" w:ascii="Times New Roman" w:hAnsi="Times New Roman" w:eastAsia="宋体" w:cs="Times New Roman"/>
                      <w:b w:val="0"/>
                      <w:bCs w:val="0"/>
                      <w:color w:val="000000" w:themeColor="text1"/>
                      <w:sz w:val="21"/>
                      <w:szCs w:val="21"/>
                      <w:highlight w:val="none"/>
                      <w:vertAlign w:val="superscript"/>
                      <w14:textFill>
                        <w14:solidFill>
                          <w14:schemeClr w14:val="tx1"/>
                        </w14:solidFill>
                      </w14:textFill>
                    </w:rPr>
                    <w:t>3</w:t>
                  </w:r>
                </w:p>
              </w:tc>
            </w:tr>
            <w:tr w14:paraId="1A2475F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068" w:type="pct"/>
                  <w:tcBorders>
                    <w:left w:val="single" w:color="auto" w:sz="4" w:space="0"/>
                    <w:tl2br w:val="nil"/>
                    <w:tr2bl w:val="nil"/>
                  </w:tcBorders>
                  <w:noWrap w:val="0"/>
                  <w:vAlign w:val="center"/>
                </w:tcPr>
                <w:p w14:paraId="37E20F14">
                  <w:pPr>
                    <w:spacing w:line="240" w:lineRule="atLeast"/>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玉晶科技厂区</w:t>
                  </w:r>
                </w:p>
              </w:tc>
              <w:tc>
                <w:tcPr>
                  <w:tcW w:w="846" w:type="pct"/>
                  <w:tcBorders>
                    <w:tl2br w:val="nil"/>
                    <w:tr2bl w:val="nil"/>
                  </w:tcBorders>
                  <w:noWrap w:val="0"/>
                  <w:vAlign w:val="center"/>
                </w:tcPr>
                <w:p w14:paraId="52241923">
                  <w:pPr>
                    <w:spacing w:line="240" w:lineRule="atLeast"/>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氨气</w:t>
                  </w:r>
                </w:p>
              </w:tc>
              <w:tc>
                <w:tcPr>
                  <w:tcW w:w="856" w:type="pct"/>
                  <w:tcBorders>
                    <w:tl2br w:val="nil"/>
                    <w:tr2bl w:val="nil"/>
                  </w:tcBorders>
                  <w:noWrap w:val="0"/>
                  <w:vAlign w:val="center"/>
                </w:tcPr>
                <w:p w14:paraId="2D48F104">
                  <w:pPr>
                    <w:spacing w:line="240" w:lineRule="atLeast"/>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&lt;0.01~0.08</w:t>
                  </w:r>
                </w:p>
              </w:tc>
              <w:tc>
                <w:tcPr>
                  <w:tcW w:w="742" w:type="pct"/>
                  <w:tcBorders>
                    <w:right w:val="single" w:color="auto" w:sz="4" w:space="0"/>
                    <w:tl2br w:val="nil"/>
                    <w:tr2bl w:val="nil"/>
                  </w:tcBorders>
                  <w:noWrap w:val="0"/>
                  <w:vAlign w:val="center"/>
                </w:tcPr>
                <w:p w14:paraId="642BC2D3">
                  <w:pPr>
                    <w:spacing w:line="240" w:lineRule="atLeast"/>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0~40</w:t>
                  </w:r>
                </w:p>
              </w:tc>
              <w:tc>
                <w:tcPr>
                  <w:tcW w:w="742" w:type="pct"/>
                  <w:tcBorders>
                    <w:right w:val="single" w:color="auto" w:sz="4" w:space="0"/>
                    <w:tl2br w:val="nil"/>
                    <w:tr2bl w:val="nil"/>
                  </w:tcBorders>
                  <w:noWrap w:val="0"/>
                  <w:vAlign w:val="center"/>
                </w:tcPr>
                <w:p w14:paraId="6CEA4477">
                  <w:pPr>
                    <w:spacing w:line="240" w:lineRule="atLeast"/>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0</w:t>
                  </w:r>
                </w:p>
              </w:tc>
              <w:tc>
                <w:tcPr>
                  <w:tcW w:w="742" w:type="pct"/>
                  <w:tcBorders>
                    <w:right w:val="single" w:color="auto" w:sz="4" w:space="0"/>
                    <w:tl2br w:val="nil"/>
                    <w:tr2bl w:val="nil"/>
                  </w:tcBorders>
                  <w:noWrap w:val="0"/>
                  <w:vAlign w:val="center"/>
                </w:tcPr>
                <w:p w14:paraId="6F2F81EF">
                  <w:pPr>
                    <w:spacing w:line="240" w:lineRule="atLeast"/>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0.2</w:t>
                  </w:r>
                </w:p>
              </w:tc>
            </w:tr>
          </w:tbl>
          <w:p w14:paraId="0C60EE38">
            <w:pPr>
              <w:keepNext w:val="0"/>
              <w:keepLines w:val="0"/>
              <w:pageBreakBefore w:val="0"/>
              <w:widowControl w:val="0"/>
              <w:tabs>
                <w:tab w:val="left" w:pos="434"/>
              </w:tabs>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bCs/>
                <w:color w:val="000000" w:themeColor="text1"/>
                <w:sz w:val="24"/>
                <w:highlight w:val="none"/>
                <w:lang w:val="en-US" w:eastAsia="zh-CN"/>
                <w14:textFill>
                  <w14:solidFill>
                    <w14:schemeClr w14:val="tx1"/>
                  </w14:solidFill>
                </w14:textFill>
              </w:rPr>
              <w:t>由上表可知，引用的</w:t>
            </w:r>
            <w:r>
              <w:rPr>
                <w:rFonts w:hint="eastAsia" w:ascii="Times New Roman" w:hAnsi="Times New Roman" w:eastAsia="宋体" w:cs="Times New Roman"/>
                <w:bCs/>
                <w:color w:val="000000" w:themeColor="text1"/>
                <w:sz w:val="24"/>
                <w:highlight w:val="none"/>
                <w:lang w:val="en-US" w:eastAsia="zh-CN"/>
                <w14:textFill>
                  <w14:solidFill>
                    <w14:schemeClr w14:val="tx1"/>
                  </w14:solidFill>
                </w14:textFill>
              </w:rPr>
              <w:t>氨气</w:t>
            </w:r>
            <w:r>
              <w:rPr>
                <w:rFonts w:hint="default" w:ascii="Times New Roman" w:hAnsi="Times New Roman" w:eastAsia="宋体" w:cs="Times New Roman"/>
                <w:bCs/>
                <w:color w:val="000000" w:themeColor="text1"/>
                <w:sz w:val="24"/>
                <w:highlight w:val="none"/>
                <w:lang w:val="en-US" w:eastAsia="zh-CN"/>
                <w14:textFill>
                  <w14:solidFill>
                    <w14:schemeClr w14:val="tx1"/>
                  </w14:solidFill>
                </w14:textFill>
              </w:rPr>
              <w:t>监测结果满足《环境影响评价技术导则大气环境》（HJ2.2—2018）附录D</w:t>
            </w:r>
            <w:r>
              <w:rPr>
                <w:rFonts w:hint="eastAsia" w:cs="Times New Roman"/>
                <w:bCs/>
                <w:color w:val="000000" w:themeColor="text1"/>
                <w:sz w:val="24"/>
                <w:highlight w:val="none"/>
                <w:lang w:val="en-US" w:eastAsia="zh-CN"/>
                <w14:textFill>
                  <w14:solidFill>
                    <w14:schemeClr w14:val="tx1"/>
                  </w14:solidFill>
                </w14:textFill>
              </w:rPr>
              <w:t>其他</w:t>
            </w:r>
            <w:r>
              <w:rPr>
                <w:rFonts w:hint="default" w:ascii="Times New Roman" w:hAnsi="Times New Roman" w:eastAsia="宋体" w:cs="Times New Roman"/>
                <w:bCs/>
                <w:color w:val="000000" w:themeColor="text1"/>
                <w:sz w:val="24"/>
                <w:highlight w:val="none"/>
                <w:lang w:val="en-US" w:eastAsia="zh-CN"/>
                <w14:textFill>
                  <w14:solidFill>
                    <w14:schemeClr w14:val="tx1"/>
                  </w14:solidFill>
                </w14:textFill>
              </w:rPr>
              <w:t>污染物空气质量浓度参考限值要求</w:t>
            </w:r>
            <w:r>
              <w:rPr>
                <w:rFonts w:hint="eastAsia" w:cs="Times New Roman"/>
                <w:bCs/>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区域环境空气中TSP</w:t>
            </w:r>
            <w:r>
              <w:rPr>
                <w:rFonts w:hint="eastAsia" w:cs="Times New Roman"/>
                <w:color w:val="000000" w:themeColor="text1"/>
                <w:sz w:val="24"/>
                <w:szCs w:val="24"/>
                <w:highlight w:val="none"/>
                <w:lang w:val="en-US" w:eastAsia="zh-CN"/>
                <w14:textFill>
                  <w14:solidFill>
                    <w14:schemeClr w14:val="tx1"/>
                  </w14:solidFill>
                </w14:textFill>
              </w:rPr>
              <w:t>的</w:t>
            </w:r>
            <w:r>
              <w:rPr>
                <w:rFonts w:hint="default" w:ascii="Times New Roman" w:hAnsi="Times New Roman" w:eastAsia="宋体" w:cs="Times New Roman"/>
                <w:color w:val="000000" w:themeColor="text1"/>
                <w:sz w:val="24"/>
                <w:szCs w:val="24"/>
                <w:highlight w:val="none"/>
                <w14:textFill>
                  <w14:solidFill>
                    <w14:schemeClr w14:val="tx1"/>
                  </w14:solidFill>
                </w14:textFill>
              </w:rPr>
              <w:t>监测浓度可满足《环境空气质量标准》（GB3095-20</w:t>
            </w:r>
            <w:r>
              <w:rPr>
                <w:rFonts w:hint="eastAsia" w:cs="Times New Roman"/>
                <w:color w:val="000000" w:themeColor="text1"/>
                <w:sz w:val="24"/>
                <w:szCs w:val="24"/>
                <w:highlight w:val="none"/>
                <w:lang w:val="en-US" w:eastAsia="zh-CN"/>
                <w14:textFill>
                  <w14:solidFill>
                    <w14:schemeClr w14:val="tx1"/>
                  </w14:solidFill>
                </w14:textFill>
              </w:rPr>
              <w:t>26</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r>
              <w:rPr>
                <w:rFonts w:hint="eastAsia" w:cs="Times New Roman"/>
                <w:color w:val="000000" w:themeColor="text1"/>
                <w:sz w:val="24"/>
                <w:szCs w:val="24"/>
                <w:highlight w:val="none"/>
                <w:lang w:val="en-US" w:eastAsia="zh-CN"/>
                <w14:textFill>
                  <w14:solidFill>
                    <w14:schemeClr w14:val="tx1"/>
                  </w14:solidFill>
                </w14:textFill>
              </w:rPr>
              <w:t>的表2的</w:t>
            </w:r>
            <w:r>
              <w:rPr>
                <w:rFonts w:hint="default" w:ascii="Times New Roman" w:hAnsi="Times New Roman" w:eastAsia="宋体" w:cs="Times New Roman"/>
                <w:color w:val="000000" w:themeColor="text1"/>
                <w:sz w:val="24"/>
                <w:szCs w:val="24"/>
                <w:highlight w:val="none"/>
                <w14:textFill>
                  <w14:solidFill>
                    <w14:schemeClr w14:val="tx1"/>
                  </w14:solidFill>
                </w14:textFill>
              </w:rPr>
              <w:t>二级标准要求。</w:t>
            </w:r>
          </w:p>
          <w:p w14:paraId="5B558173">
            <w:pPr>
              <w:keepNext w:val="0"/>
              <w:keepLines w:val="0"/>
              <w:pageBreakBefore w:val="0"/>
              <w:widowControl w:val="0"/>
              <w:tabs>
                <w:tab w:val="left" w:pos="434"/>
              </w:tabs>
              <w:kinsoku/>
              <w:wordWrap/>
              <w:overflowPunct/>
              <w:topLinePunct w:val="0"/>
              <w:autoSpaceDE/>
              <w:autoSpaceDN/>
              <w:bidi w:val="0"/>
              <w:adjustRightInd w:val="0"/>
              <w:snapToGrid w:val="0"/>
              <w:spacing w:line="360" w:lineRule="auto"/>
              <w:ind w:firstLine="482" w:firstLineChars="200"/>
              <w:jc w:val="both"/>
              <w:textAlignment w:val="auto"/>
              <w:rPr>
                <w:rFonts w:hint="default" w:ascii="Times New Roman" w:hAnsi="Times New Roman" w:eastAsia="宋体" w:cs="Times New Roman"/>
                <w:b/>
                <w:bCs/>
                <w:color w:val="000000" w:themeColor="text1"/>
                <w:sz w:val="24"/>
                <w:szCs w:val="24"/>
                <w:highlight w:val="none"/>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lang w:eastAsia="zh-CN"/>
                <w14:textFill>
                  <w14:solidFill>
                    <w14:schemeClr w14:val="tx1"/>
                  </w14:solidFill>
                </w14:textFill>
              </w:rPr>
              <w:t>2.</w:t>
            </w:r>
            <w:r>
              <w:rPr>
                <w:rFonts w:hint="default" w:ascii="Times New Roman" w:hAnsi="Times New Roman" w:eastAsia="宋体" w:cs="Times New Roman"/>
                <w:b/>
                <w:bCs/>
                <w:color w:val="000000" w:themeColor="text1"/>
                <w:sz w:val="24"/>
                <w:szCs w:val="24"/>
                <w:highlight w:val="none"/>
                <w14:textFill>
                  <w14:solidFill>
                    <w14:schemeClr w14:val="tx1"/>
                  </w14:solidFill>
                </w14:textFill>
              </w:rPr>
              <w:t>地表水环境质量现状</w:t>
            </w:r>
          </w:p>
          <w:p w14:paraId="586254E9">
            <w:pPr>
              <w:keepNext w:val="0"/>
              <w:keepLines w:val="0"/>
              <w:pageBreakBefore w:val="0"/>
              <w:widowControl w:val="0"/>
              <w:tabs>
                <w:tab w:val="left" w:pos="434"/>
              </w:tabs>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本项目</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评价范围内</w:t>
            </w:r>
            <w:r>
              <w:rPr>
                <w:rFonts w:hint="default" w:ascii="Times New Roman" w:hAnsi="Times New Roman" w:eastAsia="宋体" w:cs="Times New Roman"/>
                <w:color w:val="000000" w:themeColor="text1"/>
                <w:sz w:val="24"/>
                <w:szCs w:val="24"/>
                <w:highlight w:val="none"/>
                <w14:textFill>
                  <w14:solidFill>
                    <w14:schemeClr w14:val="tx1"/>
                  </w14:solidFill>
                </w14:textFill>
              </w:rPr>
              <w:t>无地表水，不进行地表水现状评价。</w:t>
            </w:r>
          </w:p>
          <w:p w14:paraId="396C13C8">
            <w:pPr>
              <w:keepNext w:val="0"/>
              <w:keepLines w:val="0"/>
              <w:pageBreakBefore w:val="0"/>
              <w:widowControl w:val="0"/>
              <w:tabs>
                <w:tab w:val="left" w:pos="434"/>
              </w:tabs>
              <w:kinsoku/>
              <w:wordWrap/>
              <w:overflowPunct/>
              <w:topLinePunct w:val="0"/>
              <w:autoSpaceDE/>
              <w:autoSpaceDN/>
              <w:bidi w:val="0"/>
              <w:adjustRightInd w:val="0"/>
              <w:snapToGrid w:val="0"/>
              <w:spacing w:line="360" w:lineRule="auto"/>
              <w:ind w:firstLine="482" w:firstLineChars="200"/>
              <w:jc w:val="both"/>
              <w:textAlignment w:val="auto"/>
              <w:rPr>
                <w:rFonts w:hint="default" w:ascii="Times New Roman" w:hAnsi="Times New Roman" w:eastAsia="宋体" w:cs="Times New Roman"/>
                <w:b/>
                <w:bCs/>
                <w:color w:val="000000" w:themeColor="text1"/>
                <w:sz w:val="24"/>
                <w:szCs w:val="24"/>
                <w:highlight w:val="none"/>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lang w:eastAsia="zh-CN"/>
                <w14:textFill>
                  <w14:solidFill>
                    <w14:schemeClr w14:val="tx1"/>
                  </w14:solidFill>
                </w14:textFill>
              </w:rPr>
              <w:t>3.</w:t>
            </w:r>
            <w:r>
              <w:rPr>
                <w:rFonts w:hint="default" w:ascii="Times New Roman" w:hAnsi="Times New Roman" w:eastAsia="宋体" w:cs="Times New Roman"/>
                <w:b/>
                <w:bCs/>
                <w:color w:val="000000" w:themeColor="text1"/>
                <w:sz w:val="24"/>
                <w:szCs w:val="24"/>
                <w:highlight w:val="none"/>
                <w14:textFill>
                  <w14:solidFill>
                    <w14:schemeClr w14:val="tx1"/>
                  </w14:solidFill>
                </w14:textFill>
              </w:rPr>
              <w:t>声环境质量现状</w:t>
            </w:r>
          </w:p>
          <w:p w14:paraId="43C52F83">
            <w:pPr>
              <w:keepNext w:val="0"/>
              <w:keepLines w:val="0"/>
              <w:pageBreakBefore w:val="0"/>
              <w:widowControl w:val="0"/>
              <w:tabs>
                <w:tab w:val="left" w:pos="434"/>
              </w:tabs>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Cs/>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根据《建设项目环境影响报告表编制技术指南（污染影响类）</w:t>
            </w:r>
            <w:r>
              <w:rPr>
                <w:rFonts w:hint="default" w:ascii="Times New Roman" w:hAnsi="Times New Roman" w:eastAsia="宋体" w:cs="Times New Roman"/>
                <w:bCs/>
                <w:color w:val="000000" w:themeColor="text1"/>
                <w:sz w:val="24"/>
                <w:szCs w:val="24"/>
                <w:highlight w:val="none"/>
                <w14:textFill>
                  <w14:solidFill>
                    <w14:schemeClr w14:val="tx1"/>
                  </w14:solidFill>
                </w14:textFill>
              </w:rPr>
              <w:t>（试行）》，</w:t>
            </w:r>
            <w:r>
              <w:rPr>
                <w:rFonts w:hint="default" w:ascii="Times New Roman" w:hAnsi="Times New Roman" w:eastAsia="宋体" w:cs="Times New Roman"/>
                <w:bCs/>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厂界外周边50m范围内存在声环境保护目标的建设项目，应监测保护目标声环境质量现状并评价达标情况</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。本项目位于</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内蒙古鄂尔多斯</w:t>
            </w:r>
            <w:r>
              <w:rPr>
                <w:rFonts w:hint="eastAsia" w:cs="Times New Roman"/>
                <w:color w:val="000000" w:themeColor="text1"/>
                <w:sz w:val="24"/>
                <w:highlight w:val="none"/>
                <w:lang w:val="en-US" w:eastAsia="zh-CN"/>
                <w14:textFill>
                  <w14:solidFill>
                    <w14:schemeClr w14:val="tx1"/>
                  </w14:solidFill>
                </w14:textFill>
              </w:rPr>
              <w:t>市</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准格尔经济开发区准格尔产业园</w:t>
            </w:r>
            <w:r>
              <w:rPr>
                <w:rFonts w:hint="default" w:ascii="Times New Roman" w:hAnsi="Times New Roman" w:eastAsia="宋体" w:cs="Times New Roman"/>
                <w:bCs/>
                <w:color w:val="000000" w:themeColor="text1"/>
                <w:sz w:val="24"/>
                <w:szCs w:val="24"/>
                <w:highlight w:val="none"/>
                <w14:textFill>
                  <w14:solidFill>
                    <w14:schemeClr w14:val="tx1"/>
                  </w14:solidFill>
                </w14:textFill>
              </w:rPr>
              <w:t>，厂界外周边50m范围内无声环境保护目标，因此，本项目无需对声环境质量现状进行调查。</w:t>
            </w:r>
          </w:p>
          <w:p w14:paraId="0A8B96BF">
            <w:pPr>
              <w:keepNext w:val="0"/>
              <w:keepLines w:val="0"/>
              <w:pageBreakBefore w:val="0"/>
              <w:widowControl w:val="0"/>
              <w:tabs>
                <w:tab w:val="left" w:pos="434"/>
              </w:tabs>
              <w:kinsoku/>
              <w:wordWrap/>
              <w:overflowPunct/>
              <w:topLinePunct w:val="0"/>
              <w:autoSpaceDE/>
              <w:autoSpaceDN/>
              <w:bidi w:val="0"/>
              <w:adjustRightInd w:val="0"/>
              <w:snapToGrid w:val="0"/>
              <w:spacing w:line="360" w:lineRule="auto"/>
              <w:ind w:firstLine="482" w:firstLineChars="200"/>
              <w:jc w:val="both"/>
              <w:textAlignment w:val="auto"/>
              <w:rPr>
                <w:rFonts w:hint="default" w:ascii="Times New Roman" w:hAnsi="Times New Roman" w:eastAsia="宋体" w:cs="Times New Roman"/>
                <w:b/>
                <w:bCs w:val="0"/>
                <w:color w:val="000000" w:themeColor="text1"/>
                <w:sz w:val="24"/>
                <w:szCs w:val="24"/>
                <w:highlight w:val="none"/>
                <w14:textFill>
                  <w14:solidFill>
                    <w14:schemeClr w14:val="tx1"/>
                  </w14:solidFill>
                </w14:textFill>
              </w:rPr>
            </w:pPr>
            <w:r>
              <w:rPr>
                <w:rFonts w:hint="default" w:ascii="Times New Roman" w:hAnsi="Times New Roman" w:eastAsia="宋体" w:cs="Times New Roman"/>
                <w:b/>
                <w:bCs w:val="0"/>
                <w:color w:val="000000" w:themeColor="text1"/>
                <w:sz w:val="24"/>
                <w:szCs w:val="24"/>
                <w:highlight w:val="none"/>
                <w:lang w:eastAsia="zh-CN"/>
                <w14:textFill>
                  <w14:solidFill>
                    <w14:schemeClr w14:val="tx1"/>
                  </w14:solidFill>
                </w14:textFill>
              </w:rPr>
              <w:t>4.</w:t>
            </w:r>
            <w:r>
              <w:rPr>
                <w:rFonts w:hint="default" w:ascii="Times New Roman" w:hAnsi="Times New Roman" w:eastAsia="宋体" w:cs="Times New Roman"/>
                <w:b/>
                <w:bCs w:val="0"/>
                <w:color w:val="000000" w:themeColor="text1"/>
                <w:sz w:val="24"/>
                <w:szCs w:val="24"/>
                <w:highlight w:val="none"/>
                <w14:textFill>
                  <w14:solidFill>
                    <w14:schemeClr w14:val="tx1"/>
                  </w14:solidFill>
                </w14:textFill>
              </w:rPr>
              <w:t>生态环境</w:t>
            </w:r>
          </w:p>
          <w:p w14:paraId="022A945B">
            <w:pPr>
              <w:keepNext w:val="0"/>
              <w:keepLines w:val="0"/>
              <w:pageBreakBefore w:val="0"/>
              <w:widowControl w:val="0"/>
              <w:tabs>
                <w:tab w:val="left" w:pos="434"/>
              </w:tabs>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Cs/>
                <w:color w:val="000000" w:themeColor="text1"/>
                <w:sz w:val="24"/>
                <w:szCs w:val="24"/>
                <w:highlight w:val="none"/>
                <w14:textFill>
                  <w14:solidFill>
                    <w14:schemeClr w14:val="tx1"/>
                  </w14:solidFill>
                </w14:textFill>
              </w:rPr>
            </w:pPr>
            <w:r>
              <w:rPr>
                <w:rFonts w:hint="default" w:ascii="Times New Roman" w:hAnsi="Times New Roman" w:eastAsia="宋体" w:cs="Times New Roman"/>
                <w:bCs/>
                <w:color w:val="000000" w:themeColor="text1"/>
                <w:sz w:val="24"/>
                <w:szCs w:val="24"/>
                <w:highlight w:val="none"/>
                <w14:textFill>
                  <w14:solidFill>
                    <w14:schemeClr w14:val="tx1"/>
                  </w14:solidFill>
                </w14:textFill>
              </w:rPr>
              <w:t>根据《建设项目环境</w:t>
            </w:r>
            <w:r>
              <w:rPr>
                <w:rFonts w:hint="default" w:ascii="Times New Roman" w:hAnsi="Times New Roman" w:eastAsia="宋体" w:cs="Times New Roman"/>
                <w:color w:val="000000" w:themeColor="text1"/>
                <w:sz w:val="24"/>
                <w:szCs w:val="24"/>
                <w:highlight w:val="none"/>
                <w14:textFill>
                  <w14:solidFill>
                    <w14:schemeClr w14:val="tx1"/>
                  </w14:solidFill>
                </w14:textFill>
              </w:rPr>
              <w:t>影响报告表编制技术指南（污染影响类）</w:t>
            </w:r>
            <w:r>
              <w:rPr>
                <w:rFonts w:hint="default" w:ascii="Times New Roman" w:hAnsi="Times New Roman" w:eastAsia="宋体" w:cs="Times New Roman"/>
                <w:bCs/>
                <w:color w:val="000000" w:themeColor="text1"/>
                <w:sz w:val="24"/>
                <w:szCs w:val="24"/>
                <w:highlight w:val="none"/>
                <w14:textFill>
                  <w14:solidFill>
                    <w14:schemeClr w14:val="tx1"/>
                  </w14:solidFill>
                </w14:textFill>
              </w:rPr>
              <w:t>（试行）》，产业园区外建设项目新增用地且用地范围内含有生态环境保护目标时，应进行生态现状调查。本项目位于</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内蒙古鄂尔多斯</w:t>
            </w:r>
            <w:r>
              <w:rPr>
                <w:rFonts w:hint="eastAsia" w:cs="Times New Roman"/>
                <w:color w:val="000000" w:themeColor="text1"/>
                <w:sz w:val="24"/>
                <w:highlight w:val="none"/>
                <w:lang w:val="en-US" w:eastAsia="zh-CN"/>
                <w14:textFill>
                  <w14:solidFill>
                    <w14:schemeClr w14:val="tx1"/>
                  </w14:solidFill>
                </w14:textFill>
              </w:rPr>
              <w:t>市</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准格尔经济开发区准格尔产业园</w:t>
            </w:r>
            <w:r>
              <w:rPr>
                <w:rFonts w:hint="default" w:ascii="Times New Roman" w:hAnsi="Times New Roman" w:eastAsia="宋体" w:cs="Times New Roman"/>
                <w:color w:val="000000" w:themeColor="text1"/>
                <w:sz w:val="24"/>
                <w:szCs w:val="24"/>
                <w:highlight w:val="none"/>
                <w14:textFill>
                  <w14:solidFill>
                    <w14:schemeClr w14:val="tx1"/>
                  </w14:solidFill>
                </w14:textFill>
              </w:rPr>
              <w:t>内</w:t>
            </w:r>
            <w:r>
              <w:rPr>
                <w:rFonts w:hint="default" w:ascii="Times New Roman" w:hAnsi="Times New Roman" w:eastAsia="宋体" w:cs="Times New Roman"/>
                <w:bCs/>
                <w:color w:val="000000" w:themeColor="text1"/>
                <w:sz w:val="24"/>
                <w:szCs w:val="24"/>
                <w:highlight w:val="none"/>
                <w14:textFill>
                  <w14:solidFill>
                    <w14:schemeClr w14:val="tx1"/>
                  </w14:solidFill>
                </w14:textFill>
              </w:rPr>
              <w:t>为工业用地，因此本项目无需对生态环境质量现状进行调查。</w:t>
            </w:r>
          </w:p>
          <w:p w14:paraId="49CE5DF6">
            <w:pPr>
              <w:keepNext w:val="0"/>
              <w:keepLines w:val="0"/>
              <w:pageBreakBefore w:val="0"/>
              <w:widowControl w:val="0"/>
              <w:tabs>
                <w:tab w:val="left" w:pos="434"/>
              </w:tabs>
              <w:kinsoku/>
              <w:wordWrap/>
              <w:overflowPunct/>
              <w:topLinePunct w:val="0"/>
              <w:autoSpaceDE/>
              <w:autoSpaceDN/>
              <w:bidi w:val="0"/>
              <w:adjustRightInd w:val="0"/>
              <w:snapToGrid w:val="0"/>
              <w:spacing w:line="360" w:lineRule="auto"/>
              <w:ind w:firstLine="482" w:firstLineChars="200"/>
              <w:jc w:val="both"/>
              <w:textAlignment w:val="auto"/>
              <w:rPr>
                <w:rFonts w:hint="default" w:ascii="Times New Roman" w:hAnsi="Times New Roman" w:eastAsia="宋体" w:cs="Times New Roman"/>
                <w:b/>
                <w:bCs/>
                <w:color w:val="000000" w:themeColor="text1"/>
                <w:sz w:val="24"/>
                <w:szCs w:val="24"/>
                <w:highlight w:val="none"/>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lang w:eastAsia="zh-CN"/>
                <w14:textFill>
                  <w14:solidFill>
                    <w14:schemeClr w14:val="tx1"/>
                  </w14:solidFill>
                </w14:textFill>
              </w:rPr>
              <w:t>5.</w:t>
            </w:r>
            <w:r>
              <w:rPr>
                <w:rFonts w:hint="default" w:ascii="Times New Roman" w:hAnsi="Times New Roman" w:eastAsia="宋体" w:cs="Times New Roman"/>
                <w:b/>
                <w:bCs/>
                <w:color w:val="000000" w:themeColor="text1"/>
                <w:sz w:val="24"/>
                <w:szCs w:val="24"/>
                <w:highlight w:val="none"/>
                <w14:textFill>
                  <w14:solidFill>
                    <w14:schemeClr w14:val="tx1"/>
                  </w14:solidFill>
                </w14:textFill>
              </w:rPr>
              <w:t>地下水、土壤环境质量现状</w:t>
            </w:r>
          </w:p>
          <w:p w14:paraId="63708013">
            <w:pPr>
              <w:keepNext w:val="0"/>
              <w:keepLines w:val="0"/>
              <w:pageBreakBefore w:val="0"/>
              <w:widowControl w:val="0"/>
              <w:tabs>
                <w:tab w:val="left" w:pos="434"/>
              </w:tabs>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依</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照《建设项目环境影响报告表编制技术指南（污染影响类）（试行）》，地下水、土壤环境原则上不开展环境质量现状调查。建设项目存在土壤、地下水污染途径的，应结合污染源、保护目标分布情况开展现状调查以留作背景值。针对环境保护目标，指南中针对地下水给出的内容为：地下水环境需明确厂界外500m范围内的地下水集中式饮用水水源和热水、矿泉水、温泉等特殊地下水资源。</w:t>
            </w:r>
          </w:p>
          <w:p w14:paraId="005F588A">
            <w:pPr>
              <w:pStyle w:val="12"/>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经调查，本项目周围500m范围内不存在上述要求中的地下水环境保护目标，周围不存在敏感或较敏感的土壤环境保护目标，属于不敏感。项目</w:t>
            </w:r>
            <w:r>
              <w:rPr>
                <w:rFonts w:hint="eastAsia" w:cs="Times New Roman"/>
                <w:color w:val="000000" w:themeColor="text1"/>
                <w:sz w:val="24"/>
                <w:szCs w:val="24"/>
                <w:highlight w:val="none"/>
                <w:lang w:val="en-US" w:eastAsia="zh-CN"/>
                <w14:textFill>
                  <w14:solidFill>
                    <w14:schemeClr w14:val="tx1"/>
                  </w14:solidFill>
                </w14:textFill>
              </w:rPr>
              <w:t>原料粉</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筒仓、机修车间、分选车间、悬浮炉和回转窑区、冷却系统区、成品堆棚、黄料筒仓等</w:t>
            </w:r>
            <w:r>
              <w:rPr>
                <w:rFonts w:hint="eastAsia" w:cs="Times New Roman"/>
                <w:color w:val="000000" w:themeColor="text1"/>
                <w:sz w:val="24"/>
                <w:szCs w:val="24"/>
                <w:highlight w:val="none"/>
                <w:lang w:val="en-US" w:eastAsia="zh-CN"/>
                <w14:textFill>
                  <w14:solidFill>
                    <w14:schemeClr w14:val="tx1"/>
                  </w14:solidFill>
                </w14:textFill>
              </w:rPr>
              <w:t>区域</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需一般防渗，防渗层不低于1.5m厚，渗透系数为1.0×10</w:t>
            </w:r>
            <w:r>
              <w:rPr>
                <w:rFonts w:hint="default" w:ascii="Times New Roman" w:hAnsi="Times New Roman" w:eastAsia="宋体" w:cs="Times New Roman"/>
                <w:color w:val="000000" w:themeColor="text1"/>
                <w:sz w:val="24"/>
                <w:szCs w:val="24"/>
                <w:highlight w:val="none"/>
                <w:vertAlign w:val="superscript"/>
                <w:lang w:val="en-US" w:eastAsia="zh-CN"/>
                <w14:textFill>
                  <w14:solidFill>
                    <w14:schemeClr w14:val="tx1"/>
                  </w14:solidFill>
                </w14:textFill>
              </w:rPr>
              <w:t>—7</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cm/s的粘土层</w:t>
            </w:r>
            <w:r>
              <w:rPr>
                <w:rFonts w:hint="eastAsia"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危废贮存间按照《危险废物贮存污染控制标准》（GB18597-2023），采用2mm厚的高密度聚乙烯防渗材料或其他具有相同防渗能力的材料，渗透系数不大于10</w:t>
            </w:r>
            <w:r>
              <w:rPr>
                <w:rFonts w:hint="default" w:ascii="Times New Roman" w:hAnsi="Times New Roman" w:eastAsia="宋体" w:cs="Times New Roman"/>
                <w:color w:val="000000" w:themeColor="text1"/>
                <w:sz w:val="24"/>
                <w:szCs w:val="24"/>
                <w:highlight w:val="none"/>
                <w:vertAlign w:val="superscript"/>
                <w:lang w:val="en-US" w:eastAsia="zh-CN"/>
                <w14:textFill>
                  <w14:solidFill>
                    <w14:schemeClr w14:val="tx1"/>
                  </w14:solidFill>
                </w14:textFill>
              </w:rPr>
              <w:t>—10</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cm/s，危废贮存间</w:t>
            </w:r>
            <w:r>
              <w:rPr>
                <w:rFonts w:hint="eastAsia" w:cs="Times New Roman"/>
                <w:color w:val="000000" w:themeColor="text1"/>
                <w:sz w:val="24"/>
                <w:szCs w:val="24"/>
                <w:highlight w:val="none"/>
                <w:lang w:val="en-US" w:eastAsia="zh-CN"/>
                <w14:textFill>
                  <w14:solidFill>
                    <w14:schemeClr w14:val="tx1"/>
                  </w14:solidFill>
                </w14:textFill>
              </w:rPr>
              <w:t>存储物料容器</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设置防渗漏托盘，并且周围设置导流渠和收集池，对泄漏的危险废物进行收集</w:t>
            </w:r>
            <w:r>
              <w:rPr>
                <w:rFonts w:hint="eastAsia" w:cs="Times New Roman"/>
                <w:color w:val="000000" w:themeColor="text1"/>
                <w:sz w:val="24"/>
                <w:szCs w:val="24"/>
                <w:highlight w:val="none"/>
                <w:lang w:val="en-US" w:eastAsia="zh-CN"/>
                <w14:textFill>
                  <w14:solidFill>
                    <w14:schemeClr w14:val="tx1"/>
                  </w14:solidFill>
                </w14:textFill>
              </w:rPr>
              <w:t>；其他重点防渗分区</w:t>
            </w:r>
            <w:r>
              <w:rPr>
                <w:rFonts w:eastAsia="宋体"/>
                <w:color w:val="000000" w:themeColor="text1"/>
                <w:highlight w:val="none"/>
                <w14:textFill>
                  <w14:solidFill>
                    <w14:schemeClr w14:val="tx1"/>
                  </w14:solidFill>
                </w14:textFill>
              </w:rPr>
              <w:t>等效黏土防渗层Mb≥6.0m，K≤1×10</w:t>
            </w:r>
            <w:r>
              <w:rPr>
                <w:rFonts w:eastAsia="宋体"/>
                <w:color w:val="000000" w:themeColor="text1"/>
                <w:highlight w:val="none"/>
                <w:vertAlign w:val="superscript"/>
                <w14:textFill>
                  <w14:solidFill>
                    <w14:schemeClr w14:val="tx1"/>
                  </w14:solidFill>
                </w14:textFill>
              </w:rPr>
              <w:t>-7</w:t>
            </w:r>
            <w:r>
              <w:rPr>
                <w:rFonts w:eastAsia="宋体"/>
                <w:color w:val="000000" w:themeColor="text1"/>
                <w:highlight w:val="none"/>
                <w14:textFill>
                  <w14:solidFill>
                    <w14:schemeClr w14:val="tx1"/>
                  </w14:solidFill>
                </w14:textFill>
              </w:rPr>
              <w:t>cm/s；或参照GB18598执行</w:t>
            </w:r>
            <w:r>
              <w:rPr>
                <w:rFonts w:hint="eastAsia" w:eastAsia="宋体"/>
                <w:color w:val="000000" w:themeColor="text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生产车间、办公生活区、道路需进行一般地面硬化的简单防渗。</w:t>
            </w:r>
          </w:p>
          <w:p w14:paraId="5AE9A727">
            <w:pPr>
              <w:pStyle w:val="12"/>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本项目生产过程中产生大气污染物及水污染物</w:t>
            </w:r>
            <w:r>
              <w:rPr>
                <w:rFonts w:hint="eastAsia" w:cs="Times New Roman"/>
                <w:color w:val="000000" w:themeColor="text1"/>
                <w:sz w:val="24"/>
                <w:szCs w:val="24"/>
                <w:highlight w:val="none"/>
                <w:lang w:val="en-US" w:eastAsia="zh-CN"/>
                <w14:textFill>
                  <w14:solidFill>
                    <w14:schemeClr w14:val="tx1"/>
                  </w14:solidFill>
                </w14:textFill>
              </w:rPr>
              <w:t>排放污染较小</w:t>
            </w:r>
            <w:r>
              <w:rPr>
                <w:rFonts w:hint="default" w:ascii="Times New Roman" w:hAnsi="Times New Roman" w:eastAsia="宋体" w:cs="Times New Roman"/>
                <w:color w:val="000000" w:themeColor="text1"/>
                <w:sz w:val="24"/>
                <w:szCs w:val="24"/>
                <w:highlight w:val="none"/>
                <w14:textFill>
                  <w14:solidFill>
                    <w14:schemeClr w14:val="tx1"/>
                  </w14:solidFill>
                </w14:textFill>
              </w:rPr>
              <w:t>，运营期不存在土壤、地下水环境污染途径，故可不开展地下水和土壤环境质量现状调查</w:t>
            </w:r>
            <w:r>
              <w:rPr>
                <w:rFonts w:hint="default" w:ascii="Times New Roman" w:hAnsi="Times New Roman" w:eastAsia="宋体" w:cs="Times New Roman"/>
                <w:color w:val="000000" w:themeColor="text1"/>
                <w:szCs w:val="22"/>
                <w:highlight w:val="none"/>
                <w14:textFill>
                  <w14:solidFill>
                    <w14:schemeClr w14:val="tx1"/>
                  </w14:solidFill>
                </w14:textFill>
              </w:rPr>
              <w:t>。</w:t>
            </w:r>
          </w:p>
        </w:tc>
      </w:tr>
      <w:tr w14:paraId="08E415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00" w:type="dxa"/>
            <w:noWrap w:val="0"/>
            <w:vAlign w:val="center"/>
          </w:tcPr>
          <w:p w14:paraId="4C332FDA">
            <w:pPr>
              <w:adjustRightInd w:val="0"/>
              <w:snapToGrid w:val="0"/>
              <w:jc w:val="center"/>
              <w:rPr>
                <w:rFonts w:hint="default" w:ascii="Times New Roman" w:hAnsi="Times New Roman" w:eastAsia="宋体" w:cs="Times New Roman"/>
                <w:b/>
                <w:bCs/>
                <w:color w:val="000000" w:themeColor="text1"/>
                <w:kern w:val="0"/>
                <w:sz w:val="24"/>
                <w:highlight w:val="none"/>
                <w14:textFill>
                  <w14:solidFill>
                    <w14:schemeClr w14:val="tx1"/>
                  </w14:solidFill>
                </w14:textFill>
              </w:rPr>
            </w:pPr>
            <w:r>
              <w:rPr>
                <w:rFonts w:hint="default" w:ascii="Times New Roman" w:hAnsi="Times New Roman" w:eastAsia="宋体" w:cs="Times New Roman"/>
                <w:b/>
                <w:bCs/>
                <w:color w:val="000000" w:themeColor="text1"/>
                <w:kern w:val="0"/>
                <w:sz w:val="24"/>
                <w:highlight w:val="none"/>
                <w14:textFill>
                  <w14:solidFill>
                    <w14:schemeClr w14:val="tx1"/>
                  </w14:solidFill>
                </w14:textFill>
              </w:rPr>
              <w:t>环</w:t>
            </w:r>
          </w:p>
          <w:p w14:paraId="71453532">
            <w:pPr>
              <w:adjustRightInd w:val="0"/>
              <w:snapToGrid w:val="0"/>
              <w:jc w:val="center"/>
              <w:rPr>
                <w:rFonts w:hint="default" w:ascii="Times New Roman" w:hAnsi="Times New Roman" w:eastAsia="宋体" w:cs="Times New Roman"/>
                <w:b/>
                <w:bCs/>
                <w:color w:val="000000" w:themeColor="text1"/>
                <w:kern w:val="0"/>
                <w:sz w:val="24"/>
                <w:highlight w:val="none"/>
                <w14:textFill>
                  <w14:solidFill>
                    <w14:schemeClr w14:val="tx1"/>
                  </w14:solidFill>
                </w14:textFill>
              </w:rPr>
            </w:pPr>
            <w:r>
              <w:rPr>
                <w:rFonts w:hint="default" w:ascii="Times New Roman" w:hAnsi="Times New Roman" w:eastAsia="宋体" w:cs="Times New Roman"/>
                <w:b/>
                <w:bCs/>
                <w:color w:val="000000" w:themeColor="text1"/>
                <w:kern w:val="0"/>
                <w:sz w:val="24"/>
                <w:highlight w:val="none"/>
                <w14:textFill>
                  <w14:solidFill>
                    <w14:schemeClr w14:val="tx1"/>
                  </w14:solidFill>
                </w14:textFill>
              </w:rPr>
              <w:t>境</w:t>
            </w:r>
          </w:p>
          <w:p w14:paraId="7D4CEC27">
            <w:pPr>
              <w:adjustRightInd w:val="0"/>
              <w:snapToGrid w:val="0"/>
              <w:jc w:val="center"/>
              <w:rPr>
                <w:rFonts w:hint="default" w:ascii="Times New Roman" w:hAnsi="Times New Roman" w:eastAsia="宋体" w:cs="Times New Roman"/>
                <w:b/>
                <w:bCs/>
                <w:color w:val="000000" w:themeColor="text1"/>
                <w:kern w:val="0"/>
                <w:sz w:val="24"/>
                <w:highlight w:val="none"/>
                <w14:textFill>
                  <w14:solidFill>
                    <w14:schemeClr w14:val="tx1"/>
                  </w14:solidFill>
                </w14:textFill>
              </w:rPr>
            </w:pPr>
            <w:r>
              <w:rPr>
                <w:rFonts w:hint="default" w:ascii="Times New Roman" w:hAnsi="Times New Roman" w:eastAsia="宋体" w:cs="Times New Roman"/>
                <w:b/>
                <w:bCs/>
                <w:color w:val="000000" w:themeColor="text1"/>
                <w:kern w:val="0"/>
                <w:sz w:val="24"/>
                <w:highlight w:val="none"/>
                <w14:textFill>
                  <w14:solidFill>
                    <w14:schemeClr w14:val="tx1"/>
                  </w14:solidFill>
                </w14:textFill>
              </w:rPr>
              <w:t>保</w:t>
            </w:r>
          </w:p>
          <w:p w14:paraId="74E6C4F7">
            <w:pPr>
              <w:adjustRightInd w:val="0"/>
              <w:snapToGrid w:val="0"/>
              <w:jc w:val="center"/>
              <w:rPr>
                <w:rFonts w:hint="default" w:ascii="Times New Roman" w:hAnsi="Times New Roman" w:eastAsia="宋体" w:cs="Times New Roman"/>
                <w:b/>
                <w:bCs/>
                <w:color w:val="000000" w:themeColor="text1"/>
                <w:kern w:val="0"/>
                <w:sz w:val="24"/>
                <w:highlight w:val="none"/>
                <w14:textFill>
                  <w14:solidFill>
                    <w14:schemeClr w14:val="tx1"/>
                  </w14:solidFill>
                </w14:textFill>
              </w:rPr>
            </w:pPr>
            <w:r>
              <w:rPr>
                <w:rFonts w:hint="default" w:ascii="Times New Roman" w:hAnsi="Times New Roman" w:eastAsia="宋体" w:cs="Times New Roman"/>
                <w:b/>
                <w:bCs/>
                <w:color w:val="000000" w:themeColor="text1"/>
                <w:kern w:val="0"/>
                <w:sz w:val="24"/>
                <w:highlight w:val="none"/>
                <w14:textFill>
                  <w14:solidFill>
                    <w14:schemeClr w14:val="tx1"/>
                  </w14:solidFill>
                </w14:textFill>
              </w:rPr>
              <w:t>护</w:t>
            </w:r>
          </w:p>
          <w:p w14:paraId="72EAE4E8">
            <w:pPr>
              <w:adjustRightInd w:val="0"/>
              <w:snapToGrid w:val="0"/>
              <w:jc w:val="center"/>
              <w:rPr>
                <w:rFonts w:hint="default" w:ascii="Times New Roman" w:hAnsi="Times New Roman" w:eastAsia="宋体" w:cs="Times New Roman"/>
                <w:b/>
                <w:bCs/>
                <w:color w:val="000000" w:themeColor="text1"/>
                <w:kern w:val="0"/>
                <w:sz w:val="24"/>
                <w:highlight w:val="none"/>
                <w14:textFill>
                  <w14:solidFill>
                    <w14:schemeClr w14:val="tx1"/>
                  </w14:solidFill>
                </w14:textFill>
              </w:rPr>
            </w:pPr>
            <w:r>
              <w:rPr>
                <w:rFonts w:hint="default" w:ascii="Times New Roman" w:hAnsi="Times New Roman" w:eastAsia="宋体" w:cs="Times New Roman"/>
                <w:b/>
                <w:bCs/>
                <w:color w:val="000000" w:themeColor="text1"/>
                <w:kern w:val="0"/>
                <w:sz w:val="24"/>
                <w:highlight w:val="none"/>
                <w14:textFill>
                  <w14:solidFill>
                    <w14:schemeClr w14:val="tx1"/>
                  </w14:solidFill>
                </w14:textFill>
              </w:rPr>
              <w:t>目</w:t>
            </w:r>
          </w:p>
          <w:p w14:paraId="76233A43">
            <w:pPr>
              <w:adjustRightInd w:val="0"/>
              <w:snapToGrid w:val="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r>
              <w:rPr>
                <w:rFonts w:hint="default" w:ascii="Times New Roman" w:hAnsi="Times New Roman" w:eastAsia="宋体" w:cs="Times New Roman"/>
                <w:b/>
                <w:bCs/>
                <w:color w:val="000000" w:themeColor="text1"/>
                <w:kern w:val="0"/>
                <w:sz w:val="24"/>
                <w:highlight w:val="none"/>
                <w14:textFill>
                  <w14:solidFill>
                    <w14:schemeClr w14:val="tx1"/>
                  </w14:solidFill>
                </w14:textFill>
              </w:rPr>
              <w:t>标</w:t>
            </w:r>
          </w:p>
        </w:tc>
        <w:tc>
          <w:tcPr>
            <w:tcW w:w="8190" w:type="dxa"/>
            <w:noWrap w:val="0"/>
            <w:vAlign w:val="top"/>
          </w:tcPr>
          <w:p w14:paraId="00A8DD6E">
            <w:pPr>
              <w:spacing w:line="360" w:lineRule="auto"/>
              <w:ind w:firstLine="480" w:firstLineChars="20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主要环境保护目标（列出名单及保护级别）：</w:t>
            </w:r>
          </w:p>
          <w:p w14:paraId="2B25D74F">
            <w:pPr>
              <w:pStyle w:val="81"/>
              <w:spacing w:line="360" w:lineRule="auto"/>
              <w:ind w:firstLine="480"/>
              <w:rPr>
                <w:rFonts w:hint="default" w:ascii="Times New Roman" w:hAnsi="Times New Roman" w:eastAsia="宋体" w:cs="Times New Roman"/>
                <w:color w:val="000000" w:themeColor="text1"/>
                <w:kern w:val="0"/>
                <w:szCs w:val="24"/>
                <w:highlight w:val="none"/>
                <w:lang w:bidi="en-US"/>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通过现场踏勘，</w:t>
            </w:r>
            <w:r>
              <w:rPr>
                <w:rFonts w:hint="default" w:ascii="Times New Roman" w:hAnsi="Times New Roman" w:eastAsia="宋体" w:cs="Times New Roman"/>
                <w:color w:val="000000" w:themeColor="text1"/>
                <w:kern w:val="0"/>
                <w:szCs w:val="24"/>
                <w:highlight w:val="none"/>
                <w:lang w:bidi="en-US"/>
                <w14:textFill>
                  <w14:solidFill>
                    <w14:schemeClr w14:val="tx1"/>
                  </w14:solidFill>
                </w14:textFill>
              </w:rPr>
              <w:t>本项目位于</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内蒙古鄂尔多斯</w:t>
            </w:r>
            <w:r>
              <w:rPr>
                <w:rFonts w:hint="eastAsia" w:cs="Times New Roman"/>
                <w:color w:val="000000" w:themeColor="text1"/>
                <w:sz w:val="24"/>
                <w:highlight w:val="none"/>
                <w:lang w:val="en-US" w:eastAsia="zh-CN"/>
                <w14:textFill>
                  <w14:solidFill>
                    <w14:schemeClr w14:val="tx1"/>
                  </w14:solidFill>
                </w14:textFill>
              </w:rPr>
              <w:t>市</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准格尔经济开发区准格尔产业园</w:t>
            </w:r>
            <w:r>
              <w:rPr>
                <w:rFonts w:hint="default" w:ascii="Times New Roman" w:hAnsi="Times New Roman" w:eastAsia="宋体" w:cs="Times New Roman"/>
                <w:color w:val="000000" w:themeColor="text1"/>
                <w:kern w:val="0"/>
                <w:szCs w:val="24"/>
                <w:highlight w:val="none"/>
                <w:lang w:bidi="en-US"/>
                <w14:textFill>
                  <w14:solidFill>
                    <w14:schemeClr w14:val="tx1"/>
                  </w14:solidFill>
                </w14:textFill>
              </w:rPr>
              <w:t>。</w:t>
            </w:r>
          </w:p>
          <w:p w14:paraId="2A8D40D6">
            <w:pPr>
              <w:pStyle w:val="81"/>
              <w:spacing w:line="360" w:lineRule="auto"/>
              <w:ind w:firstLine="480"/>
              <w:rPr>
                <w:rFonts w:hint="default" w:ascii="Times New Roman" w:hAnsi="Times New Roman" w:eastAsia="宋体" w:cs="Times New Roman"/>
                <w:color w:val="000000" w:themeColor="text1"/>
                <w:kern w:val="0"/>
                <w:szCs w:val="24"/>
                <w:highlight w:val="none"/>
                <w:lang w:bidi="en-US"/>
                <w14:textFill>
                  <w14:solidFill>
                    <w14:schemeClr w14:val="tx1"/>
                  </w14:solidFill>
                </w14:textFill>
              </w:rPr>
            </w:pPr>
            <w:r>
              <w:rPr>
                <w:rFonts w:hint="default" w:ascii="Times New Roman" w:hAnsi="Times New Roman" w:eastAsia="宋体" w:cs="Times New Roman"/>
                <w:color w:val="000000" w:themeColor="text1"/>
                <w:kern w:val="0"/>
                <w:szCs w:val="24"/>
                <w:highlight w:val="none"/>
                <w:lang w:bidi="en-US"/>
                <w14:textFill>
                  <w14:solidFill>
                    <w14:schemeClr w14:val="tx1"/>
                  </w14:solidFill>
                </w14:textFill>
              </w:rPr>
              <w:t>①大气环境：本项目在园区内，厂界500m范围内无自然保护区、风景名胜区、居住区、文化区和农村地区中人群较集中的区域等保护目标。</w:t>
            </w:r>
          </w:p>
          <w:p w14:paraId="5E49C595">
            <w:pPr>
              <w:pStyle w:val="81"/>
              <w:spacing w:line="360" w:lineRule="auto"/>
              <w:ind w:firstLine="480"/>
              <w:rPr>
                <w:rFonts w:hint="default" w:ascii="Times New Roman" w:hAnsi="Times New Roman" w:eastAsia="宋体" w:cs="Times New Roman"/>
                <w:color w:val="000000" w:themeColor="text1"/>
                <w:kern w:val="0"/>
                <w:szCs w:val="24"/>
                <w:highlight w:val="none"/>
                <w:lang w:bidi="en-US"/>
                <w14:textFill>
                  <w14:solidFill>
                    <w14:schemeClr w14:val="tx1"/>
                  </w14:solidFill>
                </w14:textFill>
              </w:rPr>
            </w:pPr>
            <w:r>
              <w:rPr>
                <w:rFonts w:hint="default" w:ascii="Times New Roman" w:hAnsi="Times New Roman" w:eastAsia="宋体" w:cs="Times New Roman"/>
                <w:color w:val="000000" w:themeColor="text1"/>
                <w:kern w:val="0"/>
                <w:szCs w:val="24"/>
                <w:highlight w:val="none"/>
                <w:lang w:bidi="en-US"/>
                <w14:textFill>
                  <w14:solidFill>
                    <w14:schemeClr w14:val="tx1"/>
                  </w14:solidFill>
                </w14:textFill>
              </w:rPr>
              <w:t>②声环境：本项目在园区内，厂界外50m范围内无声环境保护目标。</w:t>
            </w:r>
          </w:p>
          <w:p w14:paraId="272E236D">
            <w:pPr>
              <w:pStyle w:val="81"/>
              <w:spacing w:line="360" w:lineRule="auto"/>
              <w:ind w:firstLine="480"/>
              <w:rPr>
                <w:rFonts w:hint="default" w:ascii="Times New Roman" w:hAnsi="Times New Roman" w:eastAsia="宋体" w:cs="Times New Roman"/>
                <w:color w:val="000000" w:themeColor="text1"/>
                <w:kern w:val="0"/>
                <w:szCs w:val="24"/>
                <w:highlight w:val="none"/>
                <w:lang w:bidi="en-US"/>
                <w14:textFill>
                  <w14:solidFill>
                    <w14:schemeClr w14:val="tx1"/>
                  </w14:solidFill>
                </w14:textFill>
              </w:rPr>
            </w:pPr>
            <w:r>
              <w:rPr>
                <w:rFonts w:hint="default" w:ascii="Times New Roman" w:hAnsi="Times New Roman" w:eastAsia="宋体" w:cs="Times New Roman"/>
                <w:color w:val="000000" w:themeColor="text1"/>
                <w:kern w:val="0"/>
                <w:szCs w:val="24"/>
                <w:highlight w:val="none"/>
                <w:lang w:bidi="en-US"/>
                <w14:textFill>
                  <w14:solidFill>
                    <w14:schemeClr w14:val="tx1"/>
                  </w14:solidFill>
                </w14:textFill>
              </w:rPr>
              <w:t>③地下水环境：本项目厂界外500m范围内无地下水集中式饮用水源和热水、矿泉水、温泉等特殊的地下水资源。</w:t>
            </w:r>
          </w:p>
          <w:p w14:paraId="374080F5">
            <w:pPr>
              <w:pStyle w:val="81"/>
              <w:spacing w:line="360" w:lineRule="auto"/>
              <w:ind w:firstLine="480"/>
              <w:rPr>
                <w:rFonts w:hint="default" w:ascii="Times New Roman" w:hAnsi="Times New Roman" w:eastAsia="宋体" w:cs="Times New Roman"/>
                <w:color w:val="000000" w:themeColor="text1"/>
                <w:kern w:val="0"/>
                <w:szCs w:val="24"/>
                <w:highlight w:val="none"/>
                <w:lang w:bidi="en-US"/>
                <w14:textFill>
                  <w14:solidFill>
                    <w14:schemeClr w14:val="tx1"/>
                  </w14:solidFill>
                </w14:textFill>
              </w:rPr>
            </w:pPr>
            <w:r>
              <w:rPr>
                <w:rFonts w:hint="default" w:ascii="Times New Roman" w:hAnsi="Times New Roman" w:eastAsia="宋体" w:cs="Times New Roman"/>
                <w:color w:val="000000" w:themeColor="text1"/>
                <w:kern w:val="0"/>
                <w:szCs w:val="24"/>
                <w:highlight w:val="none"/>
                <w:lang w:bidi="en-US"/>
                <w14:textFill>
                  <w14:solidFill>
                    <w14:schemeClr w14:val="tx1"/>
                  </w14:solidFill>
                </w14:textFill>
              </w:rPr>
              <w:t>④生态环境：本项目是在工业园区内的工业用地内新建，不涉及生态环境保护目标。</w:t>
            </w:r>
          </w:p>
          <w:p w14:paraId="1F8715C8">
            <w:pPr>
              <w:pStyle w:val="81"/>
              <w:spacing w:line="360" w:lineRule="auto"/>
              <w:ind w:firstLine="480"/>
              <w:rPr>
                <w:rFonts w:hint="default" w:ascii="Times New Roman" w:hAnsi="Times New Roman" w:eastAsia="宋体" w:cs="Times New Roman"/>
                <w:color w:val="000000" w:themeColor="text1"/>
                <w:kern w:val="0"/>
                <w:szCs w:val="24"/>
                <w:highlight w:val="none"/>
                <w:lang w:val="en-US" w:eastAsia="zh-CN" w:bidi="en-US"/>
                <w14:textFill>
                  <w14:solidFill>
                    <w14:schemeClr w14:val="tx1"/>
                  </w14:solidFill>
                </w14:textFill>
              </w:rPr>
            </w:pPr>
            <w:r>
              <w:rPr>
                <w:rFonts w:hint="default" w:ascii="Times New Roman" w:hAnsi="Times New Roman" w:eastAsia="宋体" w:cs="Times New Roman"/>
                <w:color w:val="000000" w:themeColor="text1"/>
                <w:kern w:val="0"/>
                <w:szCs w:val="24"/>
                <w:highlight w:val="none"/>
                <w:lang w:val="en-US" w:eastAsia="zh-CN" w:bidi="en-US"/>
                <w14:textFill>
                  <w14:solidFill>
                    <w14:schemeClr w14:val="tx1"/>
                  </w14:solidFill>
                </w14:textFill>
              </w:rPr>
              <w:t>项目周边无饮用水水源保护区，内无重点保护文物、自然保护区、珍稀动植物资源等环境敏感点。根据项目工程特点、评价区域环境特征，本项目环境保护目标详见下表。</w:t>
            </w:r>
          </w:p>
          <w:p w14:paraId="3DF5DEB8">
            <w:pPr>
              <w:keepNext w:val="0"/>
              <w:keepLines w:val="0"/>
              <w:widowControl/>
              <w:suppressLineNumbers w:val="0"/>
              <w:jc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eastAsia="宋体" w:cs="Times New Roman"/>
                <w:b/>
                <w:bCs/>
                <w:color w:val="000000" w:themeColor="text1"/>
                <w:kern w:val="0"/>
                <w:sz w:val="24"/>
                <w:szCs w:val="24"/>
                <w:highlight w:val="none"/>
                <w:lang w:val="en-US" w:eastAsia="zh-CN" w:bidi="ar"/>
                <w14:textFill>
                  <w14:solidFill>
                    <w14:schemeClr w14:val="tx1"/>
                  </w14:solidFill>
                </w14:textFill>
              </w:rPr>
              <w:t>表3</w:t>
            </w:r>
            <w:r>
              <w:rPr>
                <w:rFonts w:hint="eastAsia" w:cs="Times New Roman"/>
                <w:b/>
                <w:bCs/>
                <w:color w:val="000000" w:themeColor="text1"/>
                <w:kern w:val="0"/>
                <w:sz w:val="24"/>
                <w:szCs w:val="24"/>
                <w:highlight w:val="none"/>
                <w:lang w:val="en-US" w:eastAsia="zh-CN" w:bidi="ar"/>
                <w14:textFill>
                  <w14:solidFill>
                    <w14:schemeClr w14:val="tx1"/>
                  </w14:solidFill>
                </w14:textFill>
              </w:rPr>
              <w:t>-7</w:t>
            </w:r>
            <w:r>
              <w:rPr>
                <w:rFonts w:hint="default" w:ascii="Times New Roman" w:hAnsi="Times New Roman" w:eastAsia="宋体" w:cs="Times New Roman"/>
                <w:b/>
                <w:bCs/>
                <w:color w:val="000000" w:themeColor="text1"/>
                <w:kern w:val="0"/>
                <w:sz w:val="24"/>
                <w:szCs w:val="24"/>
                <w:highlight w:val="none"/>
                <w:lang w:val="en-US" w:eastAsia="zh-CN" w:bidi="ar"/>
                <w14:textFill>
                  <w14:solidFill>
                    <w14:schemeClr w14:val="tx1"/>
                  </w14:solidFill>
                </w14:textFill>
              </w:rPr>
              <w:t>环境保护目标一览表</w:t>
            </w:r>
          </w:p>
          <w:tbl>
            <w:tblPr>
              <w:tblStyle w:val="24"/>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19"/>
              <w:gridCol w:w="507"/>
              <w:gridCol w:w="335"/>
              <w:gridCol w:w="357"/>
              <w:gridCol w:w="642"/>
              <w:gridCol w:w="127"/>
              <w:gridCol w:w="835"/>
              <w:gridCol w:w="1351"/>
              <w:gridCol w:w="981"/>
              <w:gridCol w:w="921"/>
              <w:gridCol w:w="615"/>
              <w:gridCol w:w="774"/>
            </w:tblGrid>
            <w:tr w14:paraId="73632D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26" w:type="pct"/>
                  <w:vMerge w:val="restart"/>
                  <w:noWrap/>
                  <w:vAlign w:val="center"/>
                </w:tcPr>
                <w:p w14:paraId="4C3625E5">
                  <w:pPr>
                    <w:keepNext w:val="0"/>
                    <w:keepLines w:val="0"/>
                    <w:pageBreakBefore w:val="0"/>
                    <w:widowControl w:val="0"/>
                    <w:tabs>
                      <w:tab w:val="left" w:pos="1200"/>
                    </w:tabs>
                    <w:kinsoku/>
                    <w:wordWrap/>
                    <w:overflowPunct/>
                    <w:topLinePunct w:val="0"/>
                    <w:bidi w:val="0"/>
                    <w:adjustRightInd w:val="0"/>
                    <w:snapToGrid w:val="0"/>
                    <w:spacing w:line="240" w:lineRule="auto"/>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环境要素</w:t>
                  </w:r>
                </w:p>
              </w:tc>
              <w:tc>
                <w:tcPr>
                  <w:tcW w:w="318" w:type="pct"/>
                  <w:vMerge w:val="restart"/>
                  <w:noWrap/>
                  <w:vAlign w:val="center"/>
                </w:tcPr>
                <w:p w14:paraId="78FCB2B4">
                  <w:pPr>
                    <w:keepNext w:val="0"/>
                    <w:keepLines w:val="0"/>
                    <w:pageBreakBefore w:val="0"/>
                    <w:widowControl w:val="0"/>
                    <w:tabs>
                      <w:tab w:val="left" w:pos="1200"/>
                    </w:tabs>
                    <w:kinsoku/>
                    <w:wordWrap/>
                    <w:overflowPunct/>
                    <w:topLinePunct w:val="0"/>
                    <w:bidi w:val="0"/>
                    <w:adjustRightInd w:val="0"/>
                    <w:snapToGrid w:val="0"/>
                    <w:spacing w:line="240" w:lineRule="auto"/>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名称</w:t>
                  </w:r>
                </w:p>
              </w:tc>
              <w:tc>
                <w:tcPr>
                  <w:tcW w:w="433" w:type="pct"/>
                  <w:gridSpan w:val="2"/>
                  <w:noWrap/>
                  <w:vAlign w:val="center"/>
                </w:tcPr>
                <w:p w14:paraId="4E22B488">
                  <w:pPr>
                    <w:keepNext w:val="0"/>
                    <w:keepLines w:val="0"/>
                    <w:pageBreakBefore w:val="0"/>
                    <w:widowControl w:val="0"/>
                    <w:tabs>
                      <w:tab w:val="left" w:pos="1200"/>
                    </w:tabs>
                    <w:kinsoku/>
                    <w:wordWrap/>
                    <w:overflowPunct/>
                    <w:topLinePunct w:val="0"/>
                    <w:bidi w:val="0"/>
                    <w:adjustRightInd w:val="0"/>
                    <w:snapToGrid w:val="0"/>
                    <w:spacing w:line="240" w:lineRule="auto"/>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坐标/m</w:t>
                  </w:r>
                </w:p>
              </w:tc>
              <w:tc>
                <w:tcPr>
                  <w:tcW w:w="403" w:type="pct"/>
                  <w:vMerge w:val="restart"/>
                  <w:noWrap/>
                  <w:vAlign w:val="center"/>
                </w:tcPr>
                <w:p w14:paraId="7D6588DD">
                  <w:pPr>
                    <w:keepNext w:val="0"/>
                    <w:keepLines w:val="0"/>
                    <w:pageBreakBefore w:val="0"/>
                    <w:widowControl w:val="0"/>
                    <w:tabs>
                      <w:tab w:val="left" w:pos="1200"/>
                    </w:tabs>
                    <w:kinsoku/>
                    <w:wordWrap/>
                    <w:overflowPunct/>
                    <w:topLinePunct w:val="0"/>
                    <w:bidi w:val="0"/>
                    <w:adjustRightInd w:val="0"/>
                    <w:snapToGrid w:val="0"/>
                    <w:spacing w:line="240" w:lineRule="auto"/>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保护</w:t>
                  </w:r>
                </w:p>
                <w:p w14:paraId="4931066A">
                  <w:pPr>
                    <w:keepNext w:val="0"/>
                    <w:keepLines w:val="0"/>
                    <w:pageBreakBefore w:val="0"/>
                    <w:widowControl w:val="0"/>
                    <w:tabs>
                      <w:tab w:val="left" w:pos="1200"/>
                    </w:tabs>
                    <w:kinsoku/>
                    <w:wordWrap/>
                    <w:overflowPunct/>
                    <w:topLinePunct w:val="0"/>
                    <w:bidi w:val="0"/>
                    <w:adjustRightInd w:val="0"/>
                    <w:snapToGrid w:val="0"/>
                    <w:spacing w:line="240" w:lineRule="auto"/>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对象</w:t>
                  </w:r>
                </w:p>
              </w:tc>
              <w:tc>
                <w:tcPr>
                  <w:tcW w:w="603" w:type="pct"/>
                  <w:gridSpan w:val="2"/>
                  <w:vMerge w:val="restart"/>
                  <w:noWrap/>
                  <w:vAlign w:val="center"/>
                </w:tcPr>
                <w:p w14:paraId="4969A795">
                  <w:pPr>
                    <w:keepNext w:val="0"/>
                    <w:keepLines w:val="0"/>
                    <w:pageBreakBefore w:val="0"/>
                    <w:widowControl w:val="0"/>
                    <w:tabs>
                      <w:tab w:val="left" w:pos="1200"/>
                    </w:tabs>
                    <w:kinsoku/>
                    <w:wordWrap/>
                    <w:overflowPunct/>
                    <w:topLinePunct w:val="0"/>
                    <w:bidi w:val="0"/>
                    <w:adjustRightInd w:val="0"/>
                    <w:snapToGrid w:val="0"/>
                    <w:spacing w:line="240" w:lineRule="auto"/>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保护对象人数（人）</w:t>
                  </w:r>
                </w:p>
              </w:tc>
              <w:tc>
                <w:tcPr>
                  <w:tcW w:w="1464" w:type="pct"/>
                  <w:gridSpan w:val="2"/>
                  <w:vMerge w:val="restart"/>
                  <w:noWrap/>
                  <w:vAlign w:val="center"/>
                </w:tcPr>
                <w:p w14:paraId="03A90620">
                  <w:pPr>
                    <w:keepNext w:val="0"/>
                    <w:keepLines w:val="0"/>
                    <w:pageBreakBefore w:val="0"/>
                    <w:widowControl w:val="0"/>
                    <w:tabs>
                      <w:tab w:val="left" w:pos="1200"/>
                    </w:tabs>
                    <w:kinsoku/>
                    <w:wordWrap/>
                    <w:overflowPunct/>
                    <w:topLinePunct w:val="0"/>
                    <w:bidi w:val="0"/>
                    <w:adjustRightInd w:val="0"/>
                    <w:snapToGrid w:val="0"/>
                    <w:spacing w:line="240" w:lineRule="auto"/>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保护内容</w:t>
                  </w:r>
                </w:p>
              </w:tc>
              <w:tc>
                <w:tcPr>
                  <w:tcW w:w="576" w:type="pct"/>
                  <w:vMerge w:val="restart"/>
                  <w:noWrap/>
                  <w:vAlign w:val="center"/>
                </w:tcPr>
                <w:p w14:paraId="4903F3AB">
                  <w:pPr>
                    <w:keepNext w:val="0"/>
                    <w:keepLines w:val="0"/>
                    <w:pageBreakBefore w:val="0"/>
                    <w:widowControl w:val="0"/>
                    <w:tabs>
                      <w:tab w:val="left" w:pos="1200"/>
                    </w:tabs>
                    <w:kinsoku/>
                    <w:wordWrap/>
                    <w:overflowPunct/>
                    <w:topLinePunct w:val="0"/>
                    <w:bidi w:val="0"/>
                    <w:adjustRightInd w:val="0"/>
                    <w:snapToGrid w:val="0"/>
                    <w:spacing w:line="240" w:lineRule="auto"/>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环境功能区</w:t>
                  </w:r>
                </w:p>
              </w:tc>
              <w:tc>
                <w:tcPr>
                  <w:tcW w:w="386" w:type="pct"/>
                  <w:vMerge w:val="restart"/>
                  <w:noWrap/>
                  <w:vAlign w:val="center"/>
                </w:tcPr>
                <w:p w14:paraId="261C4303">
                  <w:pPr>
                    <w:keepNext w:val="0"/>
                    <w:keepLines w:val="0"/>
                    <w:pageBreakBefore w:val="0"/>
                    <w:widowControl w:val="0"/>
                    <w:tabs>
                      <w:tab w:val="left" w:pos="1200"/>
                    </w:tabs>
                    <w:kinsoku/>
                    <w:wordWrap/>
                    <w:overflowPunct/>
                    <w:topLinePunct w:val="0"/>
                    <w:bidi w:val="0"/>
                    <w:adjustRightInd w:val="0"/>
                    <w:snapToGrid w:val="0"/>
                    <w:spacing w:line="240" w:lineRule="auto"/>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相对厂址方位</w:t>
                  </w:r>
                </w:p>
              </w:tc>
              <w:tc>
                <w:tcPr>
                  <w:tcW w:w="486" w:type="pct"/>
                  <w:vMerge w:val="restart"/>
                  <w:noWrap/>
                  <w:vAlign w:val="center"/>
                </w:tcPr>
                <w:p w14:paraId="325A6A0D">
                  <w:pPr>
                    <w:keepNext w:val="0"/>
                    <w:keepLines w:val="0"/>
                    <w:pageBreakBefore w:val="0"/>
                    <w:widowControl w:val="0"/>
                    <w:tabs>
                      <w:tab w:val="left" w:pos="1200"/>
                    </w:tabs>
                    <w:kinsoku/>
                    <w:wordWrap/>
                    <w:overflowPunct/>
                    <w:topLinePunct w:val="0"/>
                    <w:bidi w:val="0"/>
                    <w:adjustRightInd w:val="0"/>
                    <w:snapToGrid w:val="0"/>
                    <w:spacing w:line="240" w:lineRule="auto"/>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相对厂界距离/km</w:t>
                  </w:r>
                </w:p>
              </w:tc>
            </w:tr>
            <w:tr w14:paraId="37CE2C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26" w:type="pct"/>
                  <w:vMerge w:val="continue"/>
                  <w:noWrap/>
                  <w:vAlign w:val="center"/>
                </w:tcPr>
                <w:p w14:paraId="66C8C9F9">
                  <w:pPr>
                    <w:keepNext w:val="0"/>
                    <w:keepLines w:val="0"/>
                    <w:pageBreakBefore w:val="0"/>
                    <w:widowControl w:val="0"/>
                    <w:tabs>
                      <w:tab w:val="left" w:pos="1200"/>
                    </w:tabs>
                    <w:kinsoku/>
                    <w:wordWrap/>
                    <w:overflowPunct/>
                    <w:topLinePunct w:val="0"/>
                    <w:bidi w:val="0"/>
                    <w:adjustRightInd w:val="0"/>
                    <w:snapToGrid w:val="0"/>
                    <w:spacing w:line="240" w:lineRule="auto"/>
                    <w:jc w:val="center"/>
                    <w:rPr>
                      <w:rFonts w:hint="default" w:ascii="Times New Roman" w:hAnsi="Times New Roman" w:cs="Times New Roman"/>
                      <w:color w:val="000000" w:themeColor="text1"/>
                      <w:sz w:val="21"/>
                      <w:szCs w:val="21"/>
                      <w:highlight w:val="none"/>
                      <w14:textFill>
                        <w14:solidFill>
                          <w14:schemeClr w14:val="tx1"/>
                        </w14:solidFill>
                      </w14:textFill>
                    </w:rPr>
                  </w:pPr>
                </w:p>
              </w:tc>
              <w:tc>
                <w:tcPr>
                  <w:tcW w:w="318" w:type="pct"/>
                  <w:vMerge w:val="continue"/>
                  <w:noWrap/>
                  <w:vAlign w:val="center"/>
                </w:tcPr>
                <w:p w14:paraId="732CAD81">
                  <w:pPr>
                    <w:keepNext w:val="0"/>
                    <w:keepLines w:val="0"/>
                    <w:pageBreakBefore w:val="0"/>
                    <w:widowControl w:val="0"/>
                    <w:tabs>
                      <w:tab w:val="left" w:pos="1200"/>
                    </w:tabs>
                    <w:kinsoku/>
                    <w:wordWrap/>
                    <w:overflowPunct/>
                    <w:topLinePunct w:val="0"/>
                    <w:bidi w:val="0"/>
                    <w:adjustRightInd w:val="0"/>
                    <w:snapToGrid w:val="0"/>
                    <w:spacing w:line="240" w:lineRule="auto"/>
                    <w:jc w:val="center"/>
                    <w:rPr>
                      <w:rFonts w:hint="default" w:ascii="Times New Roman" w:hAnsi="Times New Roman" w:cs="Times New Roman"/>
                      <w:color w:val="000000" w:themeColor="text1"/>
                      <w:sz w:val="21"/>
                      <w:szCs w:val="21"/>
                      <w:highlight w:val="none"/>
                      <w14:textFill>
                        <w14:solidFill>
                          <w14:schemeClr w14:val="tx1"/>
                        </w14:solidFill>
                      </w14:textFill>
                    </w:rPr>
                  </w:pPr>
                </w:p>
              </w:tc>
              <w:tc>
                <w:tcPr>
                  <w:tcW w:w="210" w:type="pct"/>
                  <w:noWrap/>
                  <w:vAlign w:val="center"/>
                </w:tcPr>
                <w:p w14:paraId="285F50FF">
                  <w:pPr>
                    <w:keepNext w:val="0"/>
                    <w:keepLines w:val="0"/>
                    <w:pageBreakBefore w:val="0"/>
                    <w:widowControl w:val="0"/>
                    <w:tabs>
                      <w:tab w:val="left" w:pos="1200"/>
                    </w:tabs>
                    <w:kinsoku/>
                    <w:wordWrap/>
                    <w:overflowPunct/>
                    <w:topLinePunct w:val="0"/>
                    <w:bidi w:val="0"/>
                    <w:adjustRightInd w:val="0"/>
                    <w:snapToGrid w:val="0"/>
                    <w:spacing w:line="240" w:lineRule="auto"/>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X</w:t>
                  </w:r>
                </w:p>
              </w:tc>
              <w:tc>
                <w:tcPr>
                  <w:tcW w:w="222" w:type="pct"/>
                  <w:noWrap/>
                  <w:vAlign w:val="center"/>
                </w:tcPr>
                <w:p w14:paraId="21F79C84">
                  <w:pPr>
                    <w:keepNext w:val="0"/>
                    <w:keepLines w:val="0"/>
                    <w:pageBreakBefore w:val="0"/>
                    <w:widowControl w:val="0"/>
                    <w:tabs>
                      <w:tab w:val="left" w:pos="1200"/>
                    </w:tabs>
                    <w:kinsoku/>
                    <w:wordWrap/>
                    <w:overflowPunct/>
                    <w:topLinePunct w:val="0"/>
                    <w:bidi w:val="0"/>
                    <w:adjustRightInd w:val="0"/>
                    <w:snapToGrid w:val="0"/>
                    <w:spacing w:line="240" w:lineRule="auto"/>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Y</w:t>
                  </w:r>
                </w:p>
              </w:tc>
              <w:tc>
                <w:tcPr>
                  <w:tcW w:w="403" w:type="pct"/>
                  <w:vMerge w:val="continue"/>
                  <w:noWrap/>
                  <w:vAlign w:val="center"/>
                </w:tcPr>
                <w:p w14:paraId="6C77DCA8">
                  <w:pPr>
                    <w:keepNext w:val="0"/>
                    <w:keepLines w:val="0"/>
                    <w:pageBreakBefore w:val="0"/>
                    <w:widowControl w:val="0"/>
                    <w:tabs>
                      <w:tab w:val="left" w:pos="1200"/>
                    </w:tabs>
                    <w:kinsoku/>
                    <w:wordWrap/>
                    <w:overflowPunct/>
                    <w:topLinePunct w:val="0"/>
                    <w:bidi w:val="0"/>
                    <w:adjustRightInd w:val="0"/>
                    <w:snapToGrid w:val="0"/>
                    <w:spacing w:line="240" w:lineRule="auto"/>
                    <w:jc w:val="center"/>
                    <w:rPr>
                      <w:rFonts w:hint="default" w:ascii="Times New Roman" w:hAnsi="Times New Roman" w:cs="Times New Roman"/>
                      <w:color w:val="000000" w:themeColor="text1"/>
                      <w:sz w:val="21"/>
                      <w:szCs w:val="21"/>
                      <w:highlight w:val="none"/>
                      <w14:textFill>
                        <w14:solidFill>
                          <w14:schemeClr w14:val="tx1"/>
                        </w14:solidFill>
                      </w14:textFill>
                    </w:rPr>
                  </w:pPr>
                </w:p>
              </w:tc>
              <w:tc>
                <w:tcPr>
                  <w:tcW w:w="603" w:type="pct"/>
                  <w:gridSpan w:val="2"/>
                  <w:vMerge w:val="continue"/>
                  <w:noWrap/>
                  <w:vAlign w:val="center"/>
                </w:tcPr>
                <w:p w14:paraId="3A1C1261">
                  <w:pPr>
                    <w:keepNext w:val="0"/>
                    <w:keepLines w:val="0"/>
                    <w:pageBreakBefore w:val="0"/>
                    <w:widowControl w:val="0"/>
                    <w:tabs>
                      <w:tab w:val="left" w:pos="1200"/>
                    </w:tabs>
                    <w:kinsoku/>
                    <w:wordWrap/>
                    <w:overflowPunct/>
                    <w:topLinePunct w:val="0"/>
                    <w:bidi w:val="0"/>
                    <w:adjustRightInd w:val="0"/>
                    <w:snapToGrid w:val="0"/>
                    <w:spacing w:line="240" w:lineRule="auto"/>
                    <w:jc w:val="center"/>
                    <w:rPr>
                      <w:rFonts w:hint="default" w:ascii="Times New Roman" w:hAnsi="Times New Roman" w:cs="Times New Roman"/>
                      <w:color w:val="000000" w:themeColor="text1"/>
                      <w:sz w:val="21"/>
                      <w:szCs w:val="21"/>
                      <w:highlight w:val="none"/>
                      <w14:textFill>
                        <w14:solidFill>
                          <w14:schemeClr w14:val="tx1"/>
                        </w14:solidFill>
                      </w14:textFill>
                    </w:rPr>
                  </w:pPr>
                </w:p>
              </w:tc>
              <w:tc>
                <w:tcPr>
                  <w:tcW w:w="1464" w:type="pct"/>
                  <w:gridSpan w:val="2"/>
                  <w:vMerge w:val="continue"/>
                  <w:noWrap/>
                  <w:vAlign w:val="center"/>
                </w:tcPr>
                <w:p w14:paraId="3F56B9D2">
                  <w:pPr>
                    <w:keepNext w:val="0"/>
                    <w:keepLines w:val="0"/>
                    <w:pageBreakBefore w:val="0"/>
                    <w:widowControl w:val="0"/>
                    <w:tabs>
                      <w:tab w:val="left" w:pos="1200"/>
                    </w:tabs>
                    <w:kinsoku/>
                    <w:wordWrap/>
                    <w:overflowPunct/>
                    <w:topLinePunct w:val="0"/>
                    <w:bidi w:val="0"/>
                    <w:adjustRightInd w:val="0"/>
                    <w:snapToGrid w:val="0"/>
                    <w:spacing w:line="240" w:lineRule="auto"/>
                    <w:jc w:val="center"/>
                    <w:rPr>
                      <w:rFonts w:hint="default" w:ascii="Times New Roman" w:hAnsi="Times New Roman" w:cs="Times New Roman"/>
                      <w:color w:val="000000" w:themeColor="text1"/>
                      <w:sz w:val="21"/>
                      <w:szCs w:val="21"/>
                      <w:highlight w:val="none"/>
                      <w14:textFill>
                        <w14:solidFill>
                          <w14:schemeClr w14:val="tx1"/>
                        </w14:solidFill>
                      </w14:textFill>
                    </w:rPr>
                  </w:pPr>
                </w:p>
              </w:tc>
              <w:tc>
                <w:tcPr>
                  <w:tcW w:w="576" w:type="pct"/>
                  <w:vMerge w:val="continue"/>
                  <w:noWrap/>
                  <w:vAlign w:val="center"/>
                </w:tcPr>
                <w:p w14:paraId="40D1819B">
                  <w:pPr>
                    <w:keepNext w:val="0"/>
                    <w:keepLines w:val="0"/>
                    <w:pageBreakBefore w:val="0"/>
                    <w:widowControl w:val="0"/>
                    <w:tabs>
                      <w:tab w:val="left" w:pos="1200"/>
                    </w:tabs>
                    <w:kinsoku/>
                    <w:wordWrap/>
                    <w:overflowPunct/>
                    <w:topLinePunct w:val="0"/>
                    <w:bidi w:val="0"/>
                    <w:adjustRightInd w:val="0"/>
                    <w:snapToGrid w:val="0"/>
                    <w:spacing w:line="240" w:lineRule="auto"/>
                    <w:jc w:val="center"/>
                    <w:rPr>
                      <w:rFonts w:hint="default" w:ascii="Times New Roman" w:hAnsi="Times New Roman" w:cs="Times New Roman"/>
                      <w:color w:val="000000" w:themeColor="text1"/>
                      <w:sz w:val="21"/>
                      <w:szCs w:val="21"/>
                      <w:highlight w:val="none"/>
                      <w14:textFill>
                        <w14:solidFill>
                          <w14:schemeClr w14:val="tx1"/>
                        </w14:solidFill>
                      </w14:textFill>
                    </w:rPr>
                  </w:pPr>
                </w:p>
              </w:tc>
              <w:tc>
                <w:tcPr>
                  <w:tcW w:w="386" w:type="pct"/>
                  <w:vMerge w:val="continue"/>
                  <w:noWrap/>
                  <w:vAlign w:val="center"/>
                </w:tcPr>
                <w:p w14:paraId="67D48CF1">
                  <w:pPr>
                    <w:keepNext w:val="0"/>
                    <w:keepLines w:val="0"/>
                    <w:pageBreakBefore w:val="0"/>
                    <w:widowControl w:val="0"/>
                    <w:tabs>
                      <w:tab w:val="left" w:pos="1200"/>
                    </w:tabs>
                    <w:kinsoku/>
                    <w:wordWrap/>
                    <w:overflowPunct/>
                    <w:topLinePunct w:val="0"/>
                    <w:bidi w:val="0"/>
                    <w:adjustRightInd w:val="0"/>
                    <w:snapToGrid w:val="0"/>
                    <w:spacing w:line="240" w:lineRule="auto"/>
                    <w:jc w:val="center"/>
                    <w:rPr>
                      <w:rFonts w:hint="default" w:ascii="Times New Roman" w:hAnsi="Times New Roman" w:cs="Times New Roman"/>
                      <w:color w:val="000000" w:themeColor="text1"/>
                      <w:sz w:val="21"/>
                      <w:szCs w:val="21"/>
                      <w:highlight w:val="none"/>
                      <w14:textFill>
                        <w14:solidFill>
                          <w14:schemeClr w14:val="tx1"/>
                        </w14:solidFill>
                      </w14:textFill>
                    </w:rPr>
                  </w:pPr>
                </w:p>
              </w:tc>
              <w:tc>
                <w:tcPr>
                  <w:tcW w:w="486" w:type="pct"/>
                  <w:vMerge w:val="continue"/>
                  <w:noWrap/>
                  <w:vAlign w:val="center"/>
                </w:tcPr>
                <w:p w14:paraId="7D4EB0BB">
                  <w:pPr>
                    <w:keepNext w:val="0"/>
                    <w:keepLines w:val="0"/>
                    <w:pageBreakBefore w:val="0"/>
                    <w:widowControl w:val="0"/>
                    <w:tabs>
                      <w:tab w:val="left" w:pos="1200"/>
                    </w:tabs>
                    <w:kinsoku/>
                    <w:wordWrap/>
                    <w:overflowPunct/>
                    <w:topLinePunct w:val="0"/>
                    <w:bidi w:val="0"/>
                    <w:adjustRightInd w:val="0"/>
                    <w:snapToGrid w:val="0"/>
                    <w:spacing w:line="240" w:lineRule="auto"/>
                    <w:jc w:val="center"/>
                    <w:rPr>
                      <w:rFonts w:hint="default" w:ascii="Times New Roman" w:hAnsi="Times New Roman" w:cs="Times New Roman"/>
                      <w:color w:val="000000" w:themeColor="text1"/>
                      <w:sz w:val="21"/>
                      <w:szCs w:val="21"/>
                      <w:highlight w:val="none"/>
                      <w14:textFill>
                        <w14:solidFill>
                          <w14:schemeClr w14:val="tx1"/>
                        </w14:solidFill>
                      </w14:textFill>
                    </w:rPr>
                  </w:pPr>
                </w:p>
              </w:tc>
            </w:tr>
            <w:tr w14:paraId="06182C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26" w:type="pct"/>
                  <w:noWrap/>
                  <w:vAlign w:val="center"/>
                </w:tcPr>
                <w:p w14:paraId="33E541BB">
                  <w:pPr>
                    <w:keepNext w:val="0"/>
                    <w:keepLines w:val="0"/>
                    <w:pageBreakBefore w:val="0"/>
                    <w:widowControl w:val="0"/>
                    <w:tabs>
                      <w:tab w:val="left" w:pos="1200"/>
                    </w:tabs>
                    <w:kinsoku/>
                    <w:wordWrap/>
                    <w:overflowPunct/>
                    <w:topLinePunct w:val="0"/>
                    <w:bidi w:val="0"/>
                    <w:adjustRightInd w:val="0"/>
                    <w:snapToGrid w:val="0"/>
                    <w:spacing w:line="240" w:lineRule="auto"/>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大气环境</w:t>
                  </w:r>
                </w:p>
              </w:tc>
              <w:tc>
                <w:tcPr>
                  <w:tcW w:w="1759" w:type="pct"/>
                  <w:gridSpan w:val="6"/>
                  <w:noWrap/>
                  <w:vAlign w:val="center"/>
                </w:tcPr>
                <w:p w14:paraId="63534A39">
                  <w:pPr>
                    <w:keepNext w:val="0"/>
                    <w:keepLines w:val="0"/>
                    <w:pageBreakBefore w:val="0"/>
                    <w:widowControl w:val="0"/>
                    <w:suppressLineNumbers w:val="0"/>
                    <w:kinsoku/>
                    <w:wordWrap/>
                    <w:overflowPunct/>
                    <w:topLinePunct w:val="0"/>
                    <w:bidi w:val="0"/>
                    <w:jc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厂界外500m范围</w:t>
                  </w:r>
                </w:p>
                <w:p w14:paraId="4E26193F">
                  <w:pPr>
                    <w:keepNext w:val="0"/>
                    <w:keepLines w:val="0"/>
                    <w:pageBreakBefore w:val="0"/>
                    <w:widowControl w:val="0"/>
                    <w:suppressLineNumbers w:val="0"/>
                    <w:kinsoku/>
                    <w:wordWrap/>
                    <w:overflowPunct/>
                    <w:topLinePunct w:val="0"/>
                    <w:bidi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内无大气环境保护目标</w:t>
                  </w:r>
                </w:p>
              </w:tc>
              <w:tc>
                <w:tcPr>
                  <w:tcW w:w="1464" w:type="pct"/>
                  <w:gridSpan w:val="2"/>
                  <w:noWrap/>
                  <w:vAlign w:val="center"/>
                </w:tcPr>
                <w:p w14:paraId="47E886B7">
                  <w:pPr>
                    <w:keepNext w:val="0"/>
                    <w:keepLines w:val="0"/>
                    <w:pageBreakBefore w:val="0"/>
                    <w:widowControl w:val="0"/>
                    <w:tabs>
                      <w:tab w:val="left" w:pos="1200"/>
                    </w:tabs>
                    <w:kinsoku/>
                    <w:wordWrap/>
                    <w:overflowPunct/>
                    <w:topLinePunct w:val="0"/>
                    <w:bidi w:val="0"/>
                    <w:adjustRightInd w:val="0"/>
                    <w:snapToGrid w:val="0"/>
                    <w:spacing w:line="240" w:lineRule="auto"/>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《环境空气质量标准》（GB3095-20</w:t>
                  </w:r>
                  <w:r>
                    <w:rPr>
                      <w:rFonts w:hint="eastAsia" w:cs="Times New Roman"/>
                      <w:color w:val="000000" w:themeColor="text1"/>
                      <w:sz w:val="21"/>
                      <w:szCs w:val="21"/>
                      <w:highlight w:val="none"/>
                      <w:lang w:val="en-US" w:eastAsia="zh-CN"/>
                      <w14:textFill>
                        <w14:solidFill>
                          <w14:schemeClr w14:val="tx1"/>
                        </w14:solidFill>
                      </w14:textFill>
                    </w:rPr>
                    <w:t>26</w:t>
                  </w:r>
                  <w:r>
                    <w:rPr>
                      <w:rFonts w:hint="default" w:ascii="Times New Roman" w:hAnsi="Times New Roman" w:cs="Times New Roman"/>
                      <w:color w:val="000000" w:themeColor="text1"/>
                      <w:sz w:val="21"/>
                      <w:szCs w:val="21"/>
                      <w:highlight w:val="none"/>
                      <w14:textFill>
                        <w14:solidFill>
                          <w14:schemeClr w14:val="tx1"/>
                        </w14:solidFill>
                      </w14:textFill>
                    </w:rPr>
                    <w:t>）</w:t>
                  </w:r>
                  <w:r>
                    <w:rPr>
                      <w:rFonts w:hint="eastAsia" w:cs="Times New Roman"/>
                      <w:color w:val="000000" w:themeColor="text1"/>
                      <w:sz w:val="21"/>
                      <w:szCs w:val="21"/>
                      <w:highlight w:val="none"/>
                      <w:lang w:val="en-US" w:eastAsia="zh-CN"/>
                      <w14:textFill>
                        <w14:solidFill>
                          <w14:schemeClr w14:val="tx1"/>
                        </w14:solidFill>
                      </w14:textFill>
                    </w:rPr>
                    <w:t>表2</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的</w:t>
                  </w:r>
                  <w:r>
                    <w:rPr>
                      <w:rFonts w:hint="default" w:ascii="Times New Roman" w:hAnsi="Times New Roman" w:cs="Times New Roman"/>
                      <w:color w:val="000000" w:themeColor="text1"/>
                      <w:sz w:val="21"/>
                      <w:szCs w:val="21"/>
                      <w:highlight w:val="none"/>
                      <w14:textFill>
                        <w14:solidFill>
                          <w14:schemeClr w14:val="tx1"/>
                        </w14:solidFill>
                      </w14:textFill>
                    </w:rPr>
                    <w:t>二级标准</w:t>
                  </w:r>
                </w:p>
              </w:tc>
              <w:tc>
                <w:tcPr>
                  <w:tcW w:w="576" w:type="pct"/>
                  <w:noWrap/>
                  <w:vAlign w:val="center"/>
                </w:tcPr>
                <w:p w14:paraId="2AC2C11E">
                  <w:pPr>
                    <w:keepNext w:val="0"/>
                    <w:keepLines w:val="0"/>
                    <w:pageBreakBefore w:val="0"/>
                    <w:widowControl w:val="0"/>
                    <w:tabs>
                      <w:tab w:val="left" w:pos="1200"/>
                    </w:tabs>
                    <w:kinsoku/>
                    <w:wordWrap/>
                    <w:overflowPunct/>
                    <w:topLinePunct w:val="0"/>
                    <w:bidi w:val="0"/>
                    <w:adjustRightInd w:val="0"/>
                    <w:snapToGrid w:val="0"/>
                    <w:spacing w:line="240" w:lineRule="auto"/>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kern w:val="2"/>
                      <w:sz w:val="21"/>
                      <w:szCs w:val="21"/>
                      <w:highlight w:val="none"/>
                      <w14:textFill>
                        <w14:solidFill>
                          <w14:schemeClr w14:val="tx1"/>
                        </w14:solidFill>
                      </w14:textFill>
                    </w:rPr>
                    <w:t>GB3095-20</w:t>
                  </w:r>
                  <w:r>
                    <w:rPr>
                      <w:rFonts w:hint="eastAsia" w:cs="Times New Roman"/>
                      <w:color w:val="000000" w:themeColor="text1"/>
                      <w:kern w:val="2"/>
                      <w:sz w:val="21"/>
                      <w:szCs w:val="21"/>
                      <w:highlight w:val="none"/>
                      <w:lang w:val="en-US" w:eastAsia="zh-CN"/>
                      <w14:textFill>
                        <w14:solidFill>
                          <w14:schemeClr w14:val="tx1"/>
                        </w14:solidFill>
                      </w14:textFill>
                    </w:rPr>
                    <w:t>26</w:t>
                  </w:r>
                  <w:r>
                    <w:rPr>
                      <w:rFonts w:hint="default" w:ascii="Times New Roman" w:hAnsi="Times New Roman" w:cs="Times New Roman"/>
                      <w:color w:val="000000" w:themeColor="text1"/>
                      <w:kern w:val="2"/>
                      <w:sz w:val="21"/>
                      <w:szCs w:val="21"/>
                      <w:highlight w:val="none"/>
                      <w14:textFill>
                        <w14:solidFill>
                          <w14:schemeClr w14:val="tx1"/>
                        </w14:solidFill>
                      </w14:textFill>
                    </w:rPr>
                    <w:t>二类区</w:t>
                  </w:r>
                </w:p>
              </w:tc>
              <w:tc>
                <w:tcPr>
                  <w:tcW w:w="386" w:type="pct"/>
                  <w:noWrap/>
                  <w:vAlign w:val="center"/>
                </w:tcPr>
                <w:p w14:paraId="2D3DDBB7">
                  <w:pPr>
                    <w:keepNext w:val="0"/>
                    <w:keepLines w:val="0"/>
                    <w:pageBreakBefore w:val="0"/>
                    <w:widowControl w:val="0"/>
                    <w:kinsoku/>
                    <w:wordWrap/>
                    <w:overflowPunct/>
                    <w:topLinePunct w:val="0"/>
                    <w:bidi w:val="0"/>
                    <w:adjustRightInd w:val="0"/>
                    <w:snapToGrid w:val="0"/>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w:t>
                  </w:r>
                </w:p>
              </w:tc>
              <w:tc>
                <w:tcPr>
                  <w:tcW w:w="486" w:type="pct"/>
                  <w:noWrap/>
                  <w:vAlign w:val="center"/>
                </w:tcPr>
                <w:p w14:paraId="6792D911">
                  <w:pPr>
                    <w:keepNext w:val="0"/>
                    <w:keepLines w:val="0"/>
                    <w:pageBreakBefore w:val="0"/>
                    <w:widowControl w:val="0"/>
                    <w:kinsoku/>
                    <w:wordWrap/>
                    <w:overflowPunct/>
                    <w:topLinePunct w:val="0"/>
                    <w:bidi w:val="0"/>
                    <w:adjustRightInd w:val="0"/>
                    <w:snapToGrid w:val="0"/>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w:t>
                  </w:r>
                </w:p>
              </w:tc>
            </w:tr>
            <w:tr w14:paraId="2098A7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26" w:type="pct"/>
                  <w:vMerge w:val="restart"/>
                  <w:noWrap/>
                  <w:vAlign w:val="center"/>
                </w:tcPr>
                <w:p w14:paraId="10612C35">
                  <w:pPr>
                    <w:keepNext w:val="0"/>
                    <w:keepLines w:val="0"/>
                    <w:pageBreakBefore w:val="0"/>
                    <w:widowControl w:val="0"/>
                    <w:tabs>
                      <w:tab w:val="left" w:pos="1200"/>
                    </w:tabs>
                    <w:kinsoku/>
                    <w:wordWrap/>
                    <w:overflowPunct/>
                    <w:topLinePunct w:val="0"/>
                    <w:bidi w:val="0"/>
                    <w:adjustRightInd w:val="0"/>
                    <w:snapToGrid w:val="0"/>
                    <w:spacing w:line="240" w:lineRule="auto"/>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地表水</w:t>
                  </w:r>
                </w:p>
              </w:tc>
              <w:tc>
                <w:tcPr>
                  <w:tcW w:w="318" w:type="pct"/>
                  <w:noWrap/>
                  <w:vAlign w:val="center"/>
                </w:tcPr>
                <w:p w14:paraId="24ABCB23">
                  <w:pPr>
                    <w:keepNext w:val="0"/>
                    <w:keepLines w:val="0"/>
                    <w:pageBreakBefore w:val="0"/>
                    <w:widowControl w:val="0"/>
                    <w:tabs>
                      <w:tab w:val="left" w:pos="1200"/>
                    </w:tabs>
                    <w:kinsoku/>
                    <w:wordWrap/>
                    <w:overflowPunct/>
                    <w:topLinePunct w:val="0"/>
                    <w:autoSpaceDE w:val="0"/>
                    <w:autoSpaceDN w:val="0"/>
                    <w:bidi w:val="0"/>
                    <w:adjustRightInd w:val="0"/>
                    <w:snapToGrid w:val="0"/>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敏感目标名称</w:t>
                  </w:r>
                </w:p>
              </w:tc>
              <w:tc>
                <w:tcPr>
                  <w:tcW w:w="836" w:type="pct"/>
                  <w:gridSpan w:val="3"/>
                  <w:noWrap/>
                  <w:vAlign w:val="center"/>
                </w:tcPr>
                <w:p w14:paraId="55042C5D">
                  <w:pPr>
                    <w:keepNext w:val="0"/>
                    <w:keepLines w:val="0"/>
                    <w:pageBreakBefore w:val="0"/>
                    <w:widowControl w:val="0"/>
                    <w:tabs>
                      <w:tab w:val="left" w:pos="1200"/>
                    </w:tabs>
                    <w:kinsoku/>
                    <w:wordWrap/>
                    <w:overflowPunct/>
                    <w:topLinePunct w:val="0"/>
                    <w:bidi w:val="0"/>
                    <w:adjustRightInd w:val="0"/>
                    <w:snapToGrid w:val="0"/>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环境敏感特征</w:t>
                  </w:r>
                </w:p>
              </w:tc>
              <w:tc>
                <w:tcPr>
                  <w:tcW w:w="2645" w:type="pct"/>
                  <w:gridSpan w:val="5"/>
                  <w:noWrap/>
                  <w:vAlign w:val="center"/>
                </w:tcPr>
                <w:p w14:paraId="093384E8">
                  <w:pPr>
                    <w:keepNext w:val="0"/>
                    <w:keepLines w:val="0"/>
                    <w:pageBreakBefore w:val="0"/>
                    <w:widowControl w:val="0"/>
                    <w:tabs>
                      <w:tab w:val="left" w:pos="1200"/>
                    </w:tabs>
                    <w:kinsoku/>
                    <w:wordWrap/>
                    <w:overflowPunct/>
                    <w:topLinePunct w:val="0"/>
                    <w:autoSpaceDE w:val="0"/>
                    <w:autoSpaceDN w:val="0"/>
                    <w:bidi w:val="0"/>
                    <w:adjustRightInd w:val="0"/>
                    <w:snapToGrid w:val="0"/>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水质目标</w:t>
                  </w:r>
                </w:p>
              </w:tc>
              <w:tc>
                <w:tcPr>
                  <w:tcW w:w="872" w:type="pct"/>
                  <w:gridSpan w:val="2"/>
                  <w:noWrap/>
                  <w:vAlign w:val="center"/>
                </w:tcPr>
                <w:p w14:paraId="69E4DBC5">
                  <w:pPr>
                    <w:keepNext w:val="0"/>
                    <w:keepLines w:val="0"/>
                    <w:pageBreakBefore w:val="0"/>
                    <w:widowControl w:val="0"/>
                    <w:tabs>
                      <w:tab w:val="left" w:pos="1200"/>
                    </w:tabs>
                    <w:kinsoku/>
                    <w:wordWrap/>
                    <w:overflowPunct/>
                    <w:topLinePunct w:val="0"/>
                    <w:bidi w:val="0"/>
                    <w:adjustRightInd w:val="0"/>
                    <w:snapToGrid w:val="0"/>
                    <w:spacing w:line="240" w:lineRule="auto"/>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与排放点距离</w:t>
                  </w:r>
                  <w:r>
                    <w:rPr>
                      <w:rFonts w:hint="default" w:ascii="Times New Roman" w:hAnsi="Times New Roman" w:cs="Times New Roman"/>
                      <w:color w:val="000000" w:themeColor="text1"/>
                      <w:sz w:val="21"/>
                      <w:szCs w:val="21"/>
                      <w:highlight w:val="none"/>
                      <w14:textFill>
                        <w14:solidFill>
                          <w14:schemeClr w14:val="tx1"/>
                        </w14:solidFill>
                      </w14:textFill>
                    </w:rPr>
                    <w:t>/km</w:t>
                  </w:r>
                </w:p>
              </w:tc>
            </w:tr>
            <w:tr w14:paraId="2F9F56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26" w:type="pct"/>
                  <w:vMerge w:val="continue"/>
                  <w:noWrap/>
                  <w:vAlign w:val="center"/>
                </w:tcPr>
                <w:p w14:paraId="6539CB29">
                  <w:pPr>
                    <w:keepNext w:val="0"/>
                    <w:keepLines w:val="0"/>
                    <w:pageBreakBefore w:val="0"/>
                    <w:widowControl w:val="0"/>
                    <w:tabs>
                      <w:tab w:val="left" w:pos="1200"/>
                    </w:tabs>
                    <w:kinsoku/>
                    <w:wordWrap/>
                    <w:overflowPunct/>
                    <w:topLinePunct w:val="0"/>
                    <w:bidi w:val="0"/>
                    <w:adjustRightInd w:val="0"/>
                    <w:snapToGrid w:val="0"/>
                    <w:spacing w:line="240" w:lineRule="auto"/>
                    <w:jc w:val="center"/>
                    <w:rPr>
                      <w:rFonts w:hint="default" w:ascii="Times New Roman" w:hAnsi="Times New Roman" w:cs="Times New Roman"/>
                      <w:color w:val="000000" w:themeColor="text1"/>
                      <w:sz w:val="21"/>
                      <w:szCs w:val="21"/>
                      <w:highlight w:val="none"/>
                      <w14:textFill>
                        <w14:solidFill>
                          <w14:schemeClr w14:val="tx1"/>
                        </w14:solidFill>
                      </w14:textFill>
                    </w:rPr>
                  </w:pPr>
                </w:p>
              </w:tc>
              <w:tc>
                <w:tcPr>
                  <w:tcW w:w="318" w:type="pct"/>
                  <w:noWrap/>
                  <w:vAlign w:val="center"/>
                </w:tcPr>
                <w:p w14:paraId="1AED649F">
                  <w:pPr>
                    <w:keepNext w:val="0"/>
                    <w:keepLines w:val="0"/>
                    <w:pageBreakBefore w:val="0"/>
                    <w:widowControl w:val="0"/>
                    <w:tabs>
                      <w:tab w:val="left" w:pos="1200"/>
                    </w:tabs>
                    <w:kinsoku/>
                    <w:wordWrap/>
                    <w:overflowPunct/>
                    <w:topLinePunct w:val="0"/>
                    <w:autoSpaceDE w:val="0"/>
                    <w:autoSpaceDN w:val="0"/>
                    <w:bidi w:val="0"/>
                    <w:adjustRightInd w:val="0"/>
                    <w:snapToGrid w:val="0"/>
                    <w:spacing w:line="240" w:lineRule="auto"/>
                    <w:jc w:val="cente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w:t>
                  </w:r>
                </w:p>
              </w:tc>
              <w:tc>
                <w:tcPr>
                  <w:tcW w:w="836" w:type="pct"/>
                  <w:gridSpan w:val="3"/>
                  <w:noWrap/>
                  <w:vAlign w:val="center"/>
                </w:tcPr>
                <w:p w14:paraId="1542BF4C">
                  <w:pPr>
                    <w:keepNext w:val="0"/>
                    <w:keepLines w:val="0"/>
                    <w:pageBreakBefore w:val="0"/>
                    <w:widowControl w:val="0"/>
                    <w:tabs>
                      <w:tab w:val="left" w:pos="1200"/>
                    </w:tabs>
                    <w:kinsoku/>
                    <w:wordWrap/>
                    <w:overflowPunct/>
                    <w:topLinePunct w:val="0"/>
                    <w:autoSpaceDE w:val="0"/>
                    <w:autoSpaceDN w:val="0"/>
                    <w:bidi w:val="0"/>
                    <w:adjustRightInd w:val="0"/>
                    <w:snapToGrid w:val="0"/>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w:t>
                  </w:r>
                </w:p>
              </w:tc>
              <w:tc>
                <w:tcPr>
                  <w:tcW w:w="2645" w:type="pct"/>
                  <w:gridSpan w:val="5"/>
                  <w:noWrap/>
                  <w:vAlign w:val="center"/>
                </w:tcPr>
                <w:p w14:paraId="3964B59C">
                  <w:pPr>
                    <w:keepNext w:val="0"/>
                    <w:keepLines w:val="0"/>
                    <w:pageBreakBefore w:val="0"/>
                    <w:widowControl w:val="0"/>
                    <w:tabs>
                      <w:tab w:val="left" w:pos="1200"/>
                    </w:tabs>
                    <w:kinsoku/>
                    <w:wordWrap/>
                    <w:overflowPunct/>
                    <w:topLinePunct w:val="0"/>
                    <w:autoSpaceDE w:val="0"/>
                    <w:autoSpaceDN w:val="0"/>
                    <w:bidi w:val="0"/>
                    <w:adjustRightInd w:val="0"/>
                    <w:snapToGrid w:val="0"/>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w:t>
                  </w:r>
                </w:p>
              </w:tc>
              <w:tc>
                <w:tcPr>
                  <w:tcW w:w="872" w:type="pct"/>
                  <w:gridSpan w:val="2"/>
                  <w:noWrap/>
                  <w:vAlign w:val="center"/>
                </w:tcPr>
                <w:p w14:paraId="768EBDB4">
                  <w:pPr>
                    <w:keepNext w:val="0"/>
                    <w:keepLines w:val="0"/>
                    <w:pageBreakBefore w:val="0"/>
                    <w:widowControl w:val="0"/>
                    <w:tabs>
                      <w:tab w:val="left" w:pos="1200"/>
                    </w:tabs>
                    <w:kinsoku/>
                    <w:wordWrap/>
                    <w:overflowPunct/>
                    <w:topLinePunct w:val="0"/>
                    <w:autoSpaceDE w:val="0"/>
                    <w:autoSpaceDN w:val="0"/>
                    <w:bidi w:val="0"/>
                    <w:adjustRightInd w:val="0"/>
                    <w:snapToGrid w:val="0"/>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w:t>
                  </w:r>
                </w:p>
              </w:tc>
            </w:tr>
            <w:tr w14:paraId="390A5A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26" w:type="pct"/>
                  <w:vMerge w:val="restart"/>
                  <w:noWrap/>
                  <w:vAlign w:val="center"/>
                </w:tcPr>
                <w:p w14:paraId="23880F39">
                  <w:pPr>
                    <w:keepNext w:val="0"/>
                    <w:keepLines w:val="0"/>
                    <w:pageBreakBefore w:val="0"/>
                    <w:widowControl w:val="0"/>
                    <w:tabs>
                      <w:tab w:val="left" w:pos="1200"/>
                    </w:tabs>
                    <w:kinsoku/>
                    <w:wordWrap/>
                    <w:overflowPunct/>
                    <w:topLinePunct w:val="0"/>
                    <w:bidi w:val="0"/>
                    <w:adjustRightInd w:val="0"/>
                    <w:snapToGrid w:val="0"/>
                    <w:spacing w:line="240" w:lineRule="auto"/>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地下水</w:t>
                  </w:r>
                </w:p>
              </w:tc>
              <w:tc>
                <w:tcPr>
                  <w:tcW w:w="3800" w:type="pct"/>
                  <w:gridSpan w:val="9"/>
                  <w:noWrap/>
                  <w:vAlign w:val="center"/>
                </w:tcPr>
                <w:p w14:paraId="5FBCA969">
                  <w:pPr>
                    <w:keepNext w:val="0"/>
                    <w:keepLines w:val="0"/>
                    <w:pageBreakBefore w:val="0"/>
                    <w:widowControl w:val="0"/>
                    <w:tabs>
                      <w:tab w:val="left" w:pos="1200"/>
                    </w:tabs>
                    <w:kinsoku/>
                    <w:wordWrap/>
                    <w:overflowPunct/>
                    <w:topLinePunct w:val="0"/>
                    <w:bidi w:val="0"/>
                    <w:adjustRightInd w:val="0"/>
                    <w:snapToGrid w:val="0"/>
                    <w:spacing w:line="240" w:lineRule="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一、分散式饮用水井</w:t>
                  </w:r>
                </w:p>
              </w:tc>
              <w:tc>
                <w:tcPr>
                  <w:tcW w:w="872" w:type="pct"/>
                  <w:gridSpan w:val="2"/>
                  <w:noWrap/>
                  <w:vAlign w:val="center"/>
                </w:tcPr>
                <w:p w14:paraId="6686FCD4">
                  <w:pPr>
                    <w:keepNext w:val="0"/>
                    <w:keepLines w:val="0"/>
                    <w:pageBreakBefore w:val="0"/>
                    <w:widowControl w:val="0"/>
                    <w:tabs>
                      <w:tab w:val="left" w:pos="1200"/>
                    </w:tabs>
                    <w:kinsoku/>
                    <w:wordWrap/>
                    <w:overflowPunct/>
                    <w:topLinePunct w:val="0"/>
                    <w:bidi w:val="0"/>
                    <w:adjustRightInd w:val="0"/>
                    <w:snapToGrid w:val="0"/>
                    <w:spacing w:line="240" w:lineRule="auto"/>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保护级别</w:t>
                  </w:r>
                </w:p>
              </w:tc>
            </w:tr>
            <w:tr w14:paraId="66C7EF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26" w:type="pct"/>
                  <w:vMerge w:val="continue"/>
                  <w:noWrap/>
                  <w:vAlign w:val="center"/>
                </w:tcPr>
                <w:p w14:paraId="58711E33">
                  <w:pPr>
                    <w:keepNext w:val="0"/>
                    <w:keepLines w:val="0"/>
                    <w:pageBreakBefore w:val="0"/>
                    <w:widowControl w:val="0"/>
                    <w:tabs>
                      <w:tab w:val="left" w:pos="1200"/>
                    </w:tabs>
                    <w:kinsoku/>
                    <w:wordWrap/>
                    <w:overflowPunct/>
                    <w:topLinePunct w:val="0"/>
                    <w:bidi w:val="0"/>
                    <w:adjustRightInd w:val="0"/>
                    <w:snapToGrid w:val="0"/>
                    <w:spacing w:line="240" w:lineRule="auto"/>
                    <w:jc w:val="center"/>
                    <w:rPr>
                      <w:rFonts w:hint="default" w:ascii="Times New Roman" w:hAnsi="Times New Roman" w:cs="Times New Roman"/>
                      <w:color w:val="000000" w:themeColor="text1"/>
                      <w:sz w:val="21"/>
                      <w:szCs w:val="21"/>
                      <w:highlight w:val="none"/>
                      <w14:textFill>
                        <w14:solidFill>
                          <w14:schemeClr w14:val="tx1"/>
                        </w14:solidFill>
                      </w14:textFill>
                    </w:rPr>
                  </w:pPr>
                </w:p>
              </w:tc>
              <w:tc>
                <w:tcPr>
                  <w:tcW w:w="318" w:type="pct"/>
                  <w:noWrap/>
                  <w:vAlign w:val="center"/>
                </w:tcPr>
                <w:p w14:paraId="05EFDFD8">
                  <w:pPr>
                    <w:pStyle w:val="120"/>
                    <w:keepNext w:val="0"/>
                    <w:keepLines w:val="0"/>
                    <w:pageBreakBefore w:val="0"/>
                    <w:widowControl w:val="0"/>
                    <w:kinsoku/>
                    <w:wordWrap/>
                    <w:overflowPunct/>
                    <w:topLinePunct w:val="0"/>
                    <w:bidi w:val="0"/>
                    <w:spacing w:after="0" w:line="240" w:lineRule="auto"/>
                    <w:ind w:firstLine="0" w:firstLineChars="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pacing w:val="0"/>
                      <w:sz w:val="21"/>
                      <w:szCs w:val="21"/>
                      <w:highlight w:val="none"/>
                      <w14:textFill>
                        <w14:solidFill>
                          <w14:schemeClr w14:val="tx1"/>
                        </w14:solidFill>
                      </w14:textFill>
                    </w:rPr>
                    <w:t>名称</w:t>
                  </w:r>
                </w:p>
              </w:tc>
              <w:tc>
                <w:tcPr>
                  <w:tcW w:w="433" w:type="pct"/>
                  <w:gridSpan w:val="2"/>
                  <w:noWrap/>
                  <w:vAlign w:val="center"/>
                </w:tcPr>
                <w:p w14:paraId="0A6187D0">
                  <w:pPr>
                    <w:pStyle w:val="120"/>
                    <w:keepNext w:val="0"/>
                    <w:keepLines w:val="0"/>
                    <w:pageBreakBefore w:val="0"/>
                    <w:widowControl w:val="0"/>
                    <w:kinsoku/>
                    <w:wordWrap/>
                    <w:overflowPunct/>
                    <w:topLinePunct w:val="0"/>
                    <w:bidi w:val="0"/>
                    <w:spacing w:after="0" w:line="240" w:lineRule="auto"/>
                    <w:ind w:firstLine="0" w:firstLineChars="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pacing w:val="0"/>
                      <w:sz w:val="21"/>
                      <w:szCs w:val="21"/>
                      <w:highlight w:val="none"/>
                      <w14:textFill>
                        <w14:solidFill>
                          <w14:schemeClr w14:val="tx1"/>
                        </w14:solidFill>
                      </w14:textFill>
                    </w:rPr>
                    <w:t>方位</w:t>
                  </w:r>
                </w:p>
              </w:tc>
              <w:tc>
                <w:tcPr>
                  <w:tcW w:w="483" w:type="pct"/>
                  <w:gridSpan w:val="2"/>
                  <w:noWrap/>
                  <w:vAlign w:val="center"/>
                </w:tcPr>
                <w:p w14:paraId="1F617CAB">
                  <w:pPr>
                    <w:pStyle w:val="120"/>
                    <w:keepNext w:val="0"/>
                    <w:keepLines w:val="0"/>
                    <w:pageBreakBefore w:val="0"/>
                    <w:widowControl w:val="0"/>
                    <w:kinsoku/>
                    <w:wordWrap/>
                    <w:overflowPunct/>
                    <w:topLinePunct w:val="0"/>
                    <w:bidi w:val="0"/>
                    <w:spacing w:after="0" w:line="240" w:lineRule="auto"/>
                    <w:ind w:firstLine="0" w:firstLineChars="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pacing w:val="0"/>
                      <w:sz w:val="21"/>
                      <w:szCs w:val="21"/>
                      <w:highlight w:val="none"/>
                      <w14:textFill>
                        <w14:solidFill>
                          <w14:schemeClr w14:val="tx1"/>
                        </w14:solidFill>
                      </w14:textFill>
                    </w:rPr>
                    <w:t>距离</w:t>
                  </w:r>
                </w:p>
              </w:tc>
              <w:tc>
                <w:tcPr>
                  <w:tcW w:w="1371" w:type="pct"/>
                  <w:gridSpan w:val="2"/>
                  <w:noWrap/>
                  <w:vAlign w:val="center"/>
                </w:tcPr>
                <w:p w14:paraId="50466864">
                  <w:pPr>
                    <w:pStyle w:val="120"/>
                    <w:keepNext w:val="0"/>
                    <w:keepLines w:val="0"/>
                    <w:pageBreakBefore w:val="0"/>
                    <w:widowControl w:val="0"/>
                    <w:kinsoku/>
                    <w:wordWrap/>
                    <w:overflowPunct/>
                    <w:topLinePunct w:val="0"/>
                    <w:bidi w:val="0"/>
                    <w:spacing w:after="0" w:line="240" w:lineRule="auto"/>
                    <w:ind w:firstLine="0" w:firstLineChars="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pacing w:val="0"/>
                      <w:sz w:val="21"/>
                      <w:szCs w:val="21"/>
                      <w:highlight w:val="none"/>
                      <w14:textFill>
                        <w14:solidFill>
                          <w14:schemeClr w14:val="tx1"/>
                        </w14:solidFill>
                      </w14:textFill>
                    </w:rPr>
                    <w:t>井深（m）</w:t>
                  </w:r>
                </w:p>
              </w:tc>
              <w:tc>
                <w:tcPr>
                  <w:tcW w:w="1194" w:type="pct"/>
                  <w:gridSpan w:val="2"/>
                  <w:noWrap/>
                  <w:vAlign w:val="center"/>
                </w:tcPr>
                <w:p w14:paraId="4BE18DC8">
                  <w:pPr>
                    <w:pStyle w:val="120"/>
                    <w:keepNext w:val="0"/>
                    <w:keepLines w:val="0"/>
                    <w:pageBreakBefore w:val="0"/>
                    <w:widowControl w:val="0"/>
                    <w:kinsoku/>
                    <w:wordWrap/>
                    <w:overflowPunct/>
                    <w:topLinePunct w:val="0"/>
                    <w:bidi w:val="0"/>
                    <w:spacing w:after="0" w:line="240" w:lineRule="auto"/>
                    <w:ind w:firstLine="0" w:firstLineChars="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pacing w:val="0"/>
                      <w:sz w:val="21"/>
                      <w:szCs w:val="21"/>
                      <w:highlight w:val="none"/>
                      <w14:textFill>
                        <w14:solidFill>
                          <w14:schemeClr w14:val="tx1"/>
                        </w14:solidFill>
                      </w14:textFill>
                    </w:rPr>
                    <w:t>开采层位</w:t>
                  </w:r>
                </w:p>
              </w:tc>
              <w:tc>
                <w:tcPr>
                  <w:tcW w:w="872" w:type="pct"/>
                  <w:gridSpan w:val="2"/>
                  <w:vMerge w:val="restart"/>
                  <w:noWrap/>
                  <w:vAlign w:val="center"/>
                </w:tcPr>
                <w:p w14:paraId="64585AE6">
                  <w:pPr>
                    <w:keepNext w:val="0"/>
                    <w:keepLines w:val="0"/>
                    <w:pageBreakBefore w:val="0"/>
                    <w:widowControl w:val="0"/>
                    <w:tabs>
                      <w:tab w:val="left" w:pos="1200"/>
                    </w:tabs>
                    <w:kinsoku/>
                    <w:wordWrap/>
                    <w:overflowPunct/>
                    <w:topLinePunct w:val="0"/>
                    <w:bidi w:val="0"/>
                    <w:adjustRightInd w:val="0"/>
                    <w:snapToGrid w:val="0"/>
                    <w:spacing w:line="240" w:lineRule="auto"/>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《地下水质量标准》</w:t>
                  </w:r>
                </w:p>
                <w:p w14:paraId="5A04FD37">
                  <w:pPr>
                    <w:keepNext w:val="0"/>
                    <w:keepLines w:val="0"/>
                    <w:pageBreakBefore w:val="0"/>
                    <w:widowControl w:val="0"/>
                    <w:tabs>
                      <w:tab w:val="left" w:pos="1200"/>
                    </w:tabs>
                    <w:kinsoku/>
                    <w:wordWrap/>
                    <w:overflowPunct/>
                    <w:topLinePunct w:val="0"/>
                    <w:bidi w:val="0"/>
                    <w:adjustRightInd w:val="0"/>
                    <w:snapToGrid w:val="0"/>
                    <w:spacing w:line="240" w:lineRule="auto"/>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（GB/T14848-2017）Ⅲ类标准</w:t>
                  </w:r>
                </w:p>
              </w:tc>
            </w:tr>
            <w:tr w14:paraId="5F2ADB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26" w:type="pct"/>
                  <w:vMerge w:val="continue"/>
                  <w:noWrap/>
                  <w:vAlign w:val="center"/>
                </w:tcPr>
                <w:p w14:paraId="1578D611">
                  <w:pPr>
                    <w:keepNext w:val="0"/>
                    <w:keepLines w:val="0"/>
                    <w:pageBreakBefore w:val="0"/>
                    <w:widowControl w:val="0"/>
                    <w:tabs>
                      <w:tab w:val="left" w:pos="1200"/>
                    </w:tabs>
                    <w:kinsoku/>
                    <w:wordWrap/>
                    <w:overflowPunct/>
                    <w:topLinePunct w:val="0"/>
                    <w:bidi w:val="0"/>
                    <w:adjustRightInd w:val="0"/>
                    <w:snapToGrid w:val="0"/>
                    <w:spacing w:line="240" w:lineRule="auto"/>
                    <w:jc w:val="center"/>
                    <w:rPr>
                      <w:rFonts w:hint="default" w:ascii="Times New Roman" w:hAnsi="Times New Roman" w:cs="Times New Roman"/>
                      <w:color w:val="000000" w:themeColor="text1"/>
                      <w:sz w:val="21"/>
                      <w:szCs w:val="21"/>
                      <w:highlight w:val="none"/>
                      <w14:textFill>
                        <w14:solidFill>
                          <w14:schemeClr w14:val="tx1"/>
                        </w14:solidFill>
                      </w14:textFill>
                    </w:rPr>
                  </w:pPr>
                </w:p>
              </w:tc>
              <w:tc>
                <w:tcPr>
                  <w:tcW w:w="318" w:type="pct"/>
                  <w:noWrap/>
                  <w:vAlign w:val="center"/>
                </w:tcPr>
                <w:p w14:paraId="2CE0A057">
                  <w:pPr>
                    <w:pStyle w:val="120"/>
                    <w:keepNext w:val="0"/>
                    <w:keepLines w:val="0"/>
                    <w:pageBreakBefore w:val="0"/>
                    <w:widowControl w:val="0"/>
                    <w:kinsoku/>
                    <w:wordWrap/>
                    <w:overflowPunct/>
                    <w:topLinePunct w:val="0"/>
                    <w:bidi w:val="0"/>
                    <w:spacing w:after="0" w:line="240" w:lineRule="auto"/>
                    <w:ind w:firstLine="0" w:firstLineChars="0"/>
                    <w:jc w:val="cente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pacing w:val="0"/>
                      <w:sz w:val="21"/>
                      <w:szCs w:val="21"/>
                      <w:highlight w:val="none"/>
                      <w:lang w:val="en-US" w:eastAsia="zh-CN"/>
                      <w14:textFill>
                        <w14:solidFill>
                          <w14:schemeClr w14:val="tx1"/>
                        </w14:solidFill>
                      </w14:textFill>
                    </w:rPr>
                    <w:t>/</w:t>
                  </w:r>
                </w:p>
              </w:tc>
              <w:tc>
                <w:tcPr>
                  <w:tcW w:w="433" w:type="pct"/>
                  <w:gridSpan w:val="2"/>
                  <w:noWrap/>
                  <w:vAlign w:val="center"/>
                </w:tcPr>
                <w:p w14:paraId="322CE014">
                  <w:pPr>
                    <w:pStyle w:val="120"/>
                    <w:keepNext w:val="0"/>
                    <w:keepLines w:val="0"/>
                    <w:pageBreakBefore w:val="0"/>
                    <w:widowControl w:val="0"/>
                    <w:kinsoku/>
                    <w:wordWrap/>
                    <w:overflowPunct/>
                    <w:topLinePunct w:val="0"/>
                    <w:bidi w:val="0"/>
                    <w:spacing w:after="0" w:line="240" w:lineRule="auto"/>
                    <w:ind w:firstLine="0" w:firstLineChars="0"/>
                    <w:jc w:val="cente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pacing w:val="0"/>
                      <w:sz w:val="21"/>
                      <w:szCs w:val="21"/>
                      <w:highlight w:val="none"/>
                      <w:lang w:val="en-US" w:eastAsia="zh-CN"/>
                      <w14:textFill>
                        <w14:solidFill>
                          <w14:schemeClr w14:val="tx1"/>
                        </w14:solidFill>
                      </w14:textFill>
                    </w:rPr>
                    <w:t>/</w:t>
                  </w:r>
                </w:p>
              </w:tc>
              <w:tc>
                <w:tcPr>
                  <w:tcW w:w="483" w:type="pct"/>
                  <w:gridSpan w:val="2"/>
                  <w:noWrap/>
                  <w:vAlign w:val="center"/>
                </w:tcPr>
                <w:p w14:paraId="3F8714D8">
                  <w:pPr>
                    <w:pStyle w:val="120"/>
                    <w:keepNext w:val="0"/>
                    <w:keepLines w:val="0"/>
                    <w:pageBreakBefore w:val="0"/>
                    <w:widowControl w:val="0"/>
                    <w:kinsoku/>
                    <w:wordWrap/>
                    <w:overflowPunct/>
                    <w:topLinePunct w:val="0"/>
                    <w:bidi w:val="0"/>
                    <w:spacing w:after="0" w:line="240" w:lineRule="auto"/>
                    <w:ind w:firstLine="0" w:firstLineChars="0"/>
                    <w:jc w:val="cente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pacing w:val="0"/>
                      <w:sz w:val="21"/>
                      <w:szCs w:val="21"/>
                      <w:highlight w:val="none"/>
                      <w:lang w:val="en-US" w:eastAsia="zh-CN"/>
                      <w14:textFill>
                        <w14:solidFill>
                          <w14:schemeClr w14:val="tx1"/>
                        </w14:solidFill>
                      </w14:textFill>
                    </w:rPr>
                    <w:t>/</w:t>
                  </w:r>
                </w:p>
              </w:tc>
              <w:tc>
                <w:tcPr>
                  <w:tcW w:w="1371" w:type="pct"/>
                  <w:gridSpan w:val="2"/>
                  <w:noWrap/>
                  <w:vAlign w:val="center"/>
                </w:tcPr>
                <w:p w14:paraId="19E561DA">
                  <w:pPr>
                    <w:pStyle w:val="120"/>
                    <w:keepNext w:val="0"/>
                    <w:keepLines w:val="0"/>
                    <w:pageBreakBefore w:val="0"/>
                    <w:widowControl w:val="0"/>
                    <w:kinsoku/>
                    <w:wordWrap/>
                    <w:overflowPunct/>
                    <w:topLinePunct w:val="0"/>
                    <w:bidi w:val="0"/>
                    <w:spacing w:after="0" w:line="240" w:lineRule="auto"/>
                    <w:ind w:firstLine="0" w:firstLine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w:t>
                  </w:r>
                </w:p>
              </w:tc>
              <w:tc>
                <w:tcPr>
                  <w:tcW w:w="1194" w:type="pct"/>
                  <w:gridSpan w:val="2"/>
                  <w:noWrap/>
                  <w:vAlign w:val="center"/>
                </w:tcPr>
                <w:p w14:paraId="1612012D">
                  <w:pPr>
                    <w:pStyle w:val="120"/>
                    <w:keepNext w:val="0"/>
                    <w:keepLines w:val="0"/>
                    <w:pageBreakBefore w:val="0"/>
                    <w:widowControl w:val="0"/>
                    <w:kinsoku/>
                    <w:wordWrap/>
                    <w:overflowPunct/>
                    <w:topLinePunct w:val="0"/>
                    <w:bidi w:val="0"/>
                    <w:spacing w:after="0" w:line="240" w:lineRule="auto"/>
                    <w:ind w:firstLine="0" w:firstLineChars="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pacing w:val="0"/>
                      <w:sz w:val="21"/>
                      <w:szCs w:val="21"/>
                      <w:highlight w:val="none"/>
                      <w:lang w:val="en-US" w:eastAsia="zh-CN"/>
                      <w14:textFill>
                        <w14:solidFill>
                          <w14:schemeClr w14:val="tx1"/>
                        </w14:solidFill>
                      </w14:textFill>
                    </w:rPr>
                    <w:t>/</w:t>
                  </w:r>
                </w:p>
              </w:tc>
              <w:tc>
                <w:tcPr>
                  <w:tcW w:w="872" w:type="pct"/>
                  <w:gridSpan w:val="2"/>
                  <w:vMerge w:val="continue"/>
                  <w:noWrap/>
                  <w:vAlign w:val="center"/>
                </w:tcPr>
                <w:p w14:paraId="13255ABA">
                  <w:pPr>
                    <w:keepNext w:val="0"/>
                    <w:keepLines w:val="0"/>
                    <w:pageBreakBefore w:val="0"/>
                    <w:widowControl w:val="0"/>
                    <w:tabs>
                      <w:tab w:val="left" w:pos="1200"/>
                    </w:tabs>
                    <w:kinsoku/>
                    <w:wordWrap/>
                    <w:overflowPunct/>
                    <w:topLinePunct w:val="0"/>
                    <w:bidi w:val="0"/>
                    <w:adjustRightInd w:val="0"/>
                    <w:snapToGrid w:val="0"/>
                    <w:spacing w:line="240" w:lineRule="auto"/>
                    <w:jc w:val="center"/>
                    <w:rPr>
                      <w:rFonts w:hint="default" w:ascii="Times New Roman" w:hAnsi="Times New Roman" w:cs="Times New Roman"/>
                      <w:color w:val="000000" w:themeColor="text1"/>
                      <w:sz w:val="21"/>
                      <w:szCs w:val="21"/>
                      <w:highlight w:val="none"/>
                      <w14:textFill>
                        <w14:solidFill>
                          <w14:schemeClr w14:val="tx1"/>
                        </w14:solidFill>
                      </w14:textFill>
                    </w:rPr>
                  </w:pPr>
                </w:p>
              </w:tc>
            </w:tr>
            <w:tr w14:paraId="277D4B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26" w:type="pct"/>
                  <w:vMerge w:val="continue"/>
                  <w:noWrap/>
                  <w:vAlign w:val="center"/>
                </w:tcPr>
                <w:p w14:paraId="46353B0E">
                  <w:pPr>
                    <w:keepNext w:val="0"/>
                    <w:keepLines w:val="0"/>
                    <w:pageBreakBefore w:val="0"/>
                    <w:widowControl w:val="0"/>
                    <w:tabs>
                      <w:tab w:val="left" w:pos="1200"/>
                    </w:tabs>
                    <w:kinsoku/>
                    <w:wordWrap/>
                    <w:overflowPunct/>
                    <w:topLinePunct w:val="0"/>
                    <w:autoSpaceDE w:val="0"/>
                    <w:autoSpaceDN w:val="0"/>
                    <w:bidi w:val="0"/>
                    <w:adjustRightInd w:val="0"/>
                    <w:snapToGrid w:val="0"/>
                    <w:spacing w:line="240" w:lineRule="auto"/>
                    <w:jc w:val="center"/>
                    <w:rPr>
                      <w:rFonts w:hint="default" w:ascii="Times New Roman" w:hAnsi="Times New Roman" w:cs="Times New Roman"/>
                      <w:color w:val="000000" w:themeColor="text1"/>
                      <w:sz w:val="21"/>
                      <w:szCs w:val="21"/>
                      <w:highlight w:val="none"/>
                      <w14:textFill>
                        <w14:solidFill>
                          <w14:schemeClr w14:val="tx1"/>
                        </w14:solidFill>
                      </w14:textFill>
                    </w:rPr>
                  </w:pPr>
                </w:p>
              </w:tc>
              <w:tc>
                <w:tcPr>
                  <w:tcW w:w="3800" w:type="pct"/>
                  <w:gridSpan w:val="9"/>
                  <w:noWrap/>
                  <w:vAlign w:val="center"/>
                </w:tcPr>
                <w:p w14:paraId="2FBE45C4">
                  <w:pPr>
                    <w:keepNext w:val="0"/>
                    <w:keepLines w:val="0"/>
                    <w:pageBreakBefore w:val="0"/>
                    <w:widowControl w:val="0"/>
                    <w:tabs>
                      <w:tab w:val="left" w:pos="1200"/>
                    </w:tabs>
                    <w:kinsoku/>
                    <w:wordWrap/>
                    <w:overflowPunct/>
                    <w:topLinePunct w:val="0"/>
                    <w:autoSpaceDE w:val="0"/>
                    <w:autoSpaceDN w:val="0"/>
                    <w:bidi w:val="0"/>
                    <w:adjustRightInd w:val="0"/>
                    <w:snapToGrid w:val="0"/>
                    <w:spacing w:line="240" w:lineRule="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二、含水层</w:t>
                  </w:r>
                </w:p>
              </w:tc>
              <w:tc>
                <w:tcPr>
                  <w:tcW w:w="872" w:type="pct"/>
                  <w:gridSpan w:val="2"/>
                  <w:vMerge w:val="continue"/>
                  <w:noWrap/>
                  <w:vAlign w:val="center"/>
                </w:tcPr>
                <w:p w14:paraId="7C06BE75">
                  <w:pPr>
                    <w:keepNext w:val="0"/>
                    <w:keepLines w:val="0"/>
                    <w:pageBreakBefore w:val="0"/>
                    <w:widowControl w:val="0"/>
                    <w:tabs>
                      <w:tab w:val="left" w:pos="1200"/>
                    </w:tabs>
                    <w:kinsoku/>
                    <w:wordWrap/>
                    <w:overflowPunct/>
                    <w:topLinePunct w:val="0"/>
                    <w:autoSpaceDE w:val="0"/>
                    <w:autoSpaceDN w:val="0"/>
                    <w:bidi w:val="0"/>
                    <w:adjustRightInd w:val="0"/>
                    <w:snapToGrid w:val="0"/>
                    <w:spacing w:line="240" w:lineRule="auto"/>
                    <w:jc w:val="center"/>
                    <w:rPr>
                      <w:rFonts w:hint="default" w:ascii="Times New Roman" w:hAnsi="Times New Roman" w:cs="Times New Roman"/>
                      <w:color w:val="000000" w:themeColor="text1"/>
                      <w:sz w:val="21"/>
                      <w:szCs w:val="21"/>
                      <w:highlight w:val="none"/>
                      <w14:textFill>
                        <w14:solidFill>
                          <w14:schemeClr w14:val="tx1"/>
                        </w14:solidFill>
                      </w14:textFill>
                    </w:rPr>
                  </w:pPr>
                </w:p>
              </w:tc>
            </w:tr>
            <w:tr w14:paraId="4B3BB2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26" w:type="pct"/>
                  <w:vMerge w:val="continue"/>
                  <w:noWrap/>
                  <w:vAlign w:val="center"/>
                </w:tcPr>
                <w:p w14:paraId="529794FA">
                  <w:pPr>
                    <w:keepNext w:val="0"/>
                    <w:keepLines w:val="0"/>
                    <w:pageBreakBefore w:val="0"/>
                    <w:widowControl w:val="0"/>
                    <w:tabs>
                      <w:tab w:val="left" w:pos="1200"/>
                    </w:tabs>
                    <w:kinsoku/>
                    <w:wordWrap/>
                    <w:overflowPunct/>
                    <w:topLinePunct w:val="0"/>
                    <w:autoSpaceDE w:val="0"/>
                    <w:autoSpaceDN w:val="0"/>
                    <w:bidi w:val="0"/>
                    <w:adjustRightInd w:val="0"/>
                    <w:snapToGrid w:val="0"/>
                    <w:spacing w:line="240" w:lineRule="auto"/>
                    <w:jc w:val="center"/>
                    <w:rPr>
                      <w:rFonts w:hint="default" w:ascii="Times New Roman" w:hAnsi="Times New Roman" w:cs="Times New Roman"/>
                      <w:color w:val="000000" w:themeColor="text1"/>
                      <w:sz w:val="21"/>
                      <w:szCs w:val="21"/>
                      <w:highlight w:val="none"/>
                      <w14:textFill>
                        <w14:solidFill>
                          <w14:schemeClr w14:val="tx1"/>
                        </w14:solidFill>
                      </w14:textFill>
                    </w:rPr>
                  </w:pPr>
                </w:p>
              </w:tc>
              <w:tc>
                <w:tcPr>
                  <w:tcW w:w="3800" w:type="pct"/>
                  <w:gridSpan w:val="9"/>
                  <w:noWrap/>
                  <w:vAlign w:val="center"/>
                </w:tcPr>
                <w:p w14:paraId="7FD17477">
                  <w:pPr>
                    <w:keepNext w:val="0"/>
                    <w:keepLines w:val="0"/>
                    <w:pageBreakBefore w:val="0"/>
                    <w:widowControl w:val="0"/>
                    <w:suppressLineNumbers w:val="0"/>
                    <w:kinsoku/>
                    <w:wordWrap/>
                    <w:overflowPunct/>
                    <w:topLinePunct w:val="0"/>
                    <w:bidi w:val="0"/>
                    <w:jc w:val="lef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厂界外500m范围内无地下水集中式饮用水水源和热水、矿泉水、温泉等特殊地下水资源</w:t>
                  </w:r>
                </w:p>
              </w:tc>
              <w:tc>
                <w:tcPr>
                  <w:tcW w:w="872" w:type="pct"/>
                  <w:gridSpan w:val="2"/>
                  <w:vMerge w:val="continue"/>
                  <w:noWrap/>
                  <w:vAlign w:val="center"/>
                </w:tcPr>
                <w:p w14:paraId="163ADACB">
                  <w:pPr>
                    <w:keepNext w:val="0"/>
                    <w:keepLines w:val="0"/>
                    <w:pageBreakBefore w:val="0"/>
                    <w:widowControl w:val="0"/>
                    <w:tabs>
                      <w:tab w:val="left" w:pos="1200"/>
                    </w:tabs>
                    <w:kinsoku/>
                    <w:wordWrap/>
                    <w:overflowPunct/>
                    <w:topLinePunct w:val="0"/>
                    <w:autoSpaceDE w:val="0"/>
                    <w:autoSpaceDN w:val="0"/>
                    <w:bidi w:val="0"/>
                    <w:adjustRightInd w:val="0"/>
                    <w:snapToGrid w:val="0"/>
                    <w:spacing w:line="240" w:lineRule="auto"/>
                    <w:jc w:val="center"/>
                    <w:rPr>
                      <w:rFonts w:hint="default" w:ascii="Times New Roman" w:hAnsi="Times New Roman" w:cs="Times New Roman"/>
                      <w:color w:val="000000" w:themeColor="text1"/>
                      <w:sz w:val="21"/>
                      <w:szCs w:val="21"/>
                      <w:highlight w:val="none"/>
                      <w14:textFill>
                        <w14:solidFill>
                          <w14:schemeClr w14:val="tx1"/>
                        </w14:solidFill>
                      </w14:textFill>
                    </w:rPr>
                  </w:pPr>
                </w:p>
              </w:tc>
            </w:tr>
            <w:tr w14:paraId="6BAC7C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26" w:type="pct"/>
                  <w:noWrap/>
                  <w:vAlign w:val="center"/>
                </w:tcPr>
                <w:p w14:paraId="45E8C495">
                  <w:pPr>
                    <w:keepNext w:val="0"/>
                    <w:keepLines w:val="0"/>
                    <w:pageBreakBefore w:val="0"/>
                    <w:widowControl w:val="0"/>
                    <w:tabs>
                      <w:tab w:val="left" w:pos="1200"/>
                    </w:tabs>
                    <w:kinsoku/>
                    <w:wordWrap/>
                    <w:overflowPunct/>
                    <w:topLinePunct w:val="0"/>
                    <w:bidi w:val="0"/>
                    <w:adjustRightInd w:val="0"/>
                    <w:snapToGrid w:val="0"/>
                    <w:spacing w:line="240" w:lineRule="auto"/>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声环境</w:t>
                  </w:r>
                </w:p>
              </w:tc>
              <w:tc>
                <w:tcPr>
                  <w:tcW w:w="752" w:type="pct"/>
                  <w:gridSpan w:val="3"/>
                  <w:noWrap/>
                  <w:vAlign w:val="center"/>
                </w:tcPr>
                <w:p w14:paraId="48ACBA29">
                  <w:pPr>
                    <w:keepNext w:val="0"/>
                    <w:keepLines w:val="0"/>
                    <w:pageBreakBefore w:val="0"/>
                    <w:widowControl w:val="0"/>
                    <w:tabs>
                      <w:tab w:val="left" w:pos="1200"/>
                    </w:tabs>
                    <w:kinsoku/>
                    <w:wordWrap/>
                    <w:overflowPunct/>
                    <w:topLinePunct w:val="0"/>
                    <w:bidi w:val="0"/>
                    <w:adjustRightInd w:val="0"/>
                    <w:snapToGrid w:val="0"/>
                    <w:spacing w:line="240" w:lineRule="auto"/>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厂界外</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5</w:t>
                  </w:r>
                  <w:r>
                    <w:rPr>
                      <w:rFonts w:hint="default" w:ascii="Times New Roman" w:hAnsi="Times New Roman" w:cs="Times New Roman"/>
                      <w:color w:val="000000" w:themeColor="text1"/>
                      <w:sz w:val="21"/>
                      <w:szCs w:val="21"/>
                      <w:highlight w:val="none"/>
                      <w14:textFill>
                        <w14:solidFill>
                          <w14:schemeClr w14:val="tx1"/>
                        </w14:solidFill>
                      </w14:textFill>
                    </w:rPr>
                    <w:t>0m范围内无敏感点</w:t>
                  </w:r>
                </w:p>
              </w:tc>
              <w:tc>
                <w:tcPr>
                  <w:tcW w:w="2471" w:type="pct"/>
                  <w:gridSpan w:val="5"/>
                  <w:noWrap/>
                  <w:vAlign w:val="center"/>
                </w:tcPr>
                <w:p w14:paraId="05AE1620">
                  <w:pPr>
                    <w:keepNext w:val="0"/>
                    <w:keepLines w:val="0"/>
                    <w:pageBreakBefore w:val="0"/>
                    <w:widowControl w:val="0"/>
                    <w:tabs>
                      <w:tab w:val="left" w:pos="1200"/>
                    </w:tabs>
                    <w:kinsoku/>
                    <w:wordWrap/>
                    <w:overflowPunct/>
                    <w:topLinePunct w:val="0"/>
                    <w:bidi w:val="0"/>
                    <w:adjustRightInd w:val="0"/>
                    <w:snapToGrid w:val="0"/>
                    <w:spacing w:line="240" w:lineRule="auto"/>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《声环境质量标准》（GB3096-2008）3类区标准</w:t>
                  </w:r>
                </w:p>
              </w:tc>
              <w:tc>
                <w:tcPr>
                  <w:tcW w:w="576" w:type="pct"/>
                  <w:noWrap/>
                  <w:vAlign w:val="center"/>
                </w:tcPr>
                <w:p w14:paraId="696EF9A8">
                  <w:pPr>
                    <w:keepNext w:val="0"/>
                    <w:keepLines w:val="0"/>
                    <w:pageBreakBefore w:val="0"/>
                    <w:widowControl w:val="0"/>
                    <w:tabs>
                      <w:tab w:val="left" w:pos="1200"/>
                    </w:tabs>
                    <w:kinsoku/>
                    <w:wordWrap/>
                    <w:overflowPunct/>
                    <w:topLinePunct w:val="0"/>
                    <w:bidi w:val="0"/>
                    <w:adjustRightInd w:val="0"/>
                    <w:snapToGrid w:val="0"/>
                    <w:spacing w:line="240" w:lineRule="auto"/>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3类区</w:t>
                  </w:r>
                </w:p>
              </w:tc>
              <w:tc>
                <w:tcPr>
                  <w:tcW w:w="386" w:type="pct"/>
                  <w:noWrap/>
                  <w:vAlign w:val="center"/>
                </w:tcPr>
                <w:p w14:paraId="36B6DC2F">
                  <w:pPr>
                    <w:keepNext w:val="0"/>
                    <w:keepLines w:val="0"/>
                    <w:pageBreakBefore w:val="0"/>
                    <w:widowControl w:val="0"/>
                    <w:tabs>
                      <w:tab w:val="left" w:pos="1200"/>
                    </w:tabs>
                    <w:kinsoku/>
                    <w:wordWrap/>
                    <w:overflowPunct/>
                    <w:topLinePunct w:val="0"/>
                    <w:bidi w:val="0"/>
                    <w:adjustRightInd w:val="0"/>
                    <w:snapToGrid w:val="0"/>
                    <w:spacing w:line="240" w:lineRule="auto"/>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w:t>
                  </w:r>
                </w:p>
              </w:tc>
              <w:tc>
                <w:tcPr>
                  <w:tcW w:w="486" w:type="pct"/>
                  <w:noWrap/>
                  <w:vAlign w:val="center"/>
                </w:tcPr>
                <w:p w14:paraId="02CA85E5">
                  <w:pPr>
                    <w:keepNext w:val="0"/>
                    <w:keepLines w:val="0"/>
                    <w:pageBreakBefore w:val="0"/>
                    <w:widowControl w:val="0"/>
                    <w:tabs>
                      <w:tab w:val="left" w:pos="1200"/>
                    </w:tabs>
                    <w:kinsoku/>
                    <w:wordWrap/>
                    <w:overflowPunct/>
                    <w:topLinePunct w:val="0"/>
                    <w:bidi w:val="0"/>
                    <w:adjustRightInd w:val="0"/>
                    <w:snapToGrid w:val="0"/>
                    <w:spacing w:line="240" w:lineRule="auto"/>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w:t>
                  </w:r>
                </w:p>
              </w:tc>
            </w:tr>
          </w:tbl>
          <w:p w14:paraId="38738056">
            <w:pPr>
              <w:pStyle w:val="81"/>
              <w:spacing w:line="360" w:lineRule="auto"/>
              <w:ind w:firstLine="480"/>
              <w:rPr>
                <w:rFonts w:hint="default" w:ascii="Times New Roman" w:hAnsi="Times New Roman" w:eastAsia="宋体" w:cs="Times New Roman"/>
                <w:color w:val="000000" w:themeColor="text1"/>
                <w:kern w:val="0"/>
                <w:szCs w:val="24"/>
                <w:highlight w:val="none"/>
                <w:lang w:bidi="en-US"/>
                <w14:textFill>
                  <w14:solidFill>
                    <w14:schemeClr w14:val="tx1"/>
                  </w14:solidFill>
                </w14:textFill>
              </w:rPr>
            </w:pPr>
          </w:p>
        </w:tc>
      </w:tr>
      <w:tr w14:paraId="7D3E8D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0" w:type="dxa"/>
            <w:noWrap w:val="0"/>
            <w:tcMar>
              <w:left w:w="28" w:type="dxa"/>
              <w:right w:w="28" w:type="dxa"/>
            </w:tcMar>
            <w:vAlign w:val="center"/>
          </w:tcPr>
          <w:p w14:paraId="1F26DF99">
            <w:pPr>
              <w:adjustRightInd w:val="0"/>
              <w:snapToGrid w:val="0"/>
              <w:jc w:val="center"/>
              <w:rPr>
                <w:rFonts w:hint="default" w:ascii="Times New Roman" w:hAnsi="Times New Roman" w:eastAsia="宋体" w:cs="Times New Roman"/>
                <w:b/>
                <w:bCs/>
                <w:color w:val="000000" w:themeColor="text1"/>
                <w:kern w:val="0"/>
                <w:sz w:val="24"/>
                <w:highlight w:val="none"/>
                <w14:textFill>
                  <w14:solidFill>
                    <w14:schemeClr w14:val="tx1"/>
                  </w14:solidFill>
                </w14:textFill>
              </w:rPr>
            </w:pPr>
            <w:r>
              <w:rPr>
                <w:rFonts w:hint="default" w:ascii="Times New Roman" w:hAnsi="Times New Roman" w:eastAsia="宋体" w:cs="Times New Roman"/>
                <w:b/>
                <w:bCs/>
                <w:color w:val="000000" w:themeColor="text1"/>
                <w:kern w:val="0"/>
                <w:sz w:val="24"/>
                <w:highlight w:val="none"/>
                <w14:textFill>
                  <w14:solidFill>
                    <w14:schemeClr w14:val="tx1"/>
                  </w14:solidFill>
                </w14:textFill>
              </w:rPr>
              <w:t>污染</w:t>
            </w:r>
          </w:p>
          <w:p w14:paraId="40A04CE0">
            <w:pPr>
              <w:adjustRightInd w:val="0"/>
              <w:snapToGrid w:val="0"/>
              <w:jc w:val="center"/>
              <w:rPr>
                <w:rFonts w:hint="default" w:ascii="Times New Roman" w:hAnsi="Times New Roman" w:eastAsia="宋体" w:cs="Times New Roman"/>
                <w:b/>
                <w:bCs/>
                <w:color w:val="000000" w:themeColor="text1"/>
                <w:kern w:val="0"/>
                <w:sz w:val="24"/>
                <w:highlight w:val="none"/>
                <w14:textFill>
                  <w14:solidFill>
                    <w14:schemeClr w14:val="tx1"/>
                  </w14:solidFill>
                </w14:textFill>
              </w:rPr>
            </w:pPr>
            <w:r>
              <w:rPr>
                <w:rFonts w:hint="default" w:ascii="Times New Roman" w:hAnsi="Times New Roman" w:eastAsia="宋体" w:cs="Times New Roman"/>
                <w:b/>
                <w:bCs/>
                <w:color w:val="000000" w:themeColor="text1"/>
                <w:kern w:val="0"/>
                <w:sz w:val="24"/>
                <w:highlight w:val="none"/>
                <w14:textFill>
                  <w14:solidFill>
                    <w14:schemeClr w14:val="tx1"/>
                  </w14:solidFill>
                </w14:textFill>
              </w:rPr>
              <w:t>物排</w:t>
            </w:r>
          </w:p>
          <w:p w14:paraId="29D609C4">
            <w:pPr>
              <w:adjustRightInd w:val="0"/>
              <w:snapToGrid w:val="0"/>
              <w:jc w:val="center"/>
              <w:rPr>
                <w:rFonts w:hint="default" w:ascii="Times New Roman" w:hAnsi="Times New Roman" w:eastAsia="宋体" w:cs="Times New Roman"/>
                <w:b/>
                <w:bCs/>
                <w:color w:val="000000" w:themeColor="text1"/>
                <w:kern w:val="0"/>
                <w:sz w:val="24"/>
                <w:highlight w:val="none"/>
                <w14:textFill>
                  <w14:solidFill>
                    <w14:schemeClr w14:val="tx1"/>
                  </w14:solidFill>
                </w14:textFill>
              </w:rPr>
            </w:pPr>
            <w:r>
              <w:rPr>
                <w:rFonts w:hint="default" w:ascii="Times New Roman" w:hAnsi="Times New Roman" w:eastAsia="宋体" w:cs="Times New Roman"/>
                <w:b/>
                <w:bCs/>
                <w:color w:val="000000" w:themeColor="text1"/>
                <w:kern w:val="0"/>
                <w:sz w:val="24"/>
                <w:highlight w:val="none"/>
                <w14:textFill>
                  <w14:solidFill>
                    <w14:schemeClr w14:val="tx1"/>
                  </w14:solidFill>
                </w14:textFill>
              </w:rPr>
              <w:t>放控</w:t>
            </w:r>
          </w:p>
          <w:p w14:paraId="4115A1B3">
            <w:pPr>
              <w:adjustRightInd w:val="0"/>
              <w:snapToGrid w:val="0"/>
              <w:jc w:val="center"/>
              <w:rPr>
                <w:rFonts w:hint="default" w:ascii="Times New Roman" w:hAnsi="Times New Roman" w:eastAsia="宋体" w:cs="Times New Roman"/>
                <w:b/>
                <w:bCs/>
                <w:color w:val="000000" w:themeColor="text1"/>
                <w:kern w:val="0"/>
                <w:sz w:val="24"/>
                <w:highlight w:val="none"/>
                <w14:textFill>
                  <w14:solidFill>
                    <w14:schemeClr w14:val="tx1"/>
                  </w14:solidFill>
                </w14:textFill>
              </w:rPr>
            </w:pPr>
            <w:r>
              <w:rPr>
                <w:rFonts w:hint="eastAsia" w:cs="Times New Roman"/>
                <w:b/>
                <w:bCs/>
                <w:color w:val="000000" w:themeColor="text1"/>
                <w:kern w:val="0"/>
                <w:sz w:val="24"/>
                <w:highlight w:val="none"/>
                <w:lang w:eastAsia="zh-CN"/>
                <w14:textFill>
                  <w14:solidFill>
                    <w14:schemeClr w14:val="tx1"/>
                  </w14:solidFill>
                </w14:textFill>
              </w:rPr>
              <w:t>指标</w:t>
            </w:r>
          </w:p>
          <w:p w14:paraId="4E96768E">
            <w:pPr>
              <w:adjustRightInd w:val="0"/>
              <w:snapToGrid w:val="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r>
              <w:rPr>
                <w:rFonts w:hint="default" w:ascii="Times New Roman" w:hAnsi="Times New Roman" w:eastAsia="宋体" w:cs="Times New Roman"/>
                <w:b/>
                <w:bCs/>
                <w:color w:val="000000" w:themeColor="text1"/>
                <w:kern w:val="0"/>
                <w:sz w:val="24"/>
                <w:highlight w:val="none"/>
                <w14:textFill>
                  <w14:solidFill>
                    <w14:schemeClr w14:val="tx1"/>
                  </w14:solidFill>
                </w14:textFill>
              </w:rPr>
              <w:t>准</w:t>
            </w:r>
          </w:p>
        </w:tc>
        <w:tc>
          <w:tcPr>
            <w:tcW w:w="8190" w:type="dxa"/>
            <w:noWrap w:val="0"/>
            <w:vAlign w:val="center"/>
          </w:tcPr>
          <w:p w14:paraId="2219A71E">
            <w:pPr>
              <w:keepNext w:val="0"/>
              <w:keepLines w:val="0"/>
              <w:pageBreakBefore w:val="0"/>
              <w:widowControl w:val="0"/>
              <w:kinsoku/>
              <w:wordWrap/>
              <w:overflowPunct/>
              <w:topLinePunct w:val="0"/>
              <w:autoSpaceDN/>
              <w:bidi w:val="0"/>
              <w:spacing w:line="360" w:lineRule="auto"/>
              <w:ind w:firstLine="482" w:firstLineChars="200"/>
              <w:rPr>
                <w:rFonts w:hint="default" w:ascii="Times New Roman" w:hAnsi="Times New Roman" w:eastAsia="宋体" w:cs="Times New Roman"/>
                <w:b/>
                <w:bCs/>
                <w:color w:val="000000" w:themeColor="text1"/>
                <w:sz w:val="24"/>
                <w:highlight w:val="none"/>
                <w14:textFill>
                  <w14:solidFill>
                    <w14:schemeClr w14:val="tx1"/>
                  </w14:solidFill>
                </w14:textFill>
              </w:rPr>
            </w:pPr>
            <w:r>
              <w:rPr>
                <w:rFonts w:hint="default" w:ascii="Times New Roman" w:hAnsi="Times New Roman" w:eastAsia="宋体" w:cs="Times New Roman"/>
                <w:b/>
                <w:bCs/>
                <w:color w:val="000000" w:themeColor="text1"/>
                <w:sz w:val="24"/>
                <w:highlight w:val="none"/>
                <w:lang w:eastAsia="zh-CN"/>
                <w14:textFill>
                  <w14:solidFill>
                    <w14:schemeClr w14:val="tx1"/>
                  </w14:solidFill>
                </w14:textFill>
              </w:rPr>
              <w:t>1.</w:t>
            </w:r>
            <w:r>
              <w:rPr>
                <w:rFonts w:hint="default" w:ascii="Times New Roman" w:hAnsi="Times New Roman" w:eastAsia="宋体" w:cs="Times New Roman"/>
                <w:b/>
                <w:bCs/>
                <w:color w:val="000000" w:themeColor="text1"/>
                <w:sz w:val="24"/>
                <w:highlight w:val="none"/>
                <w14:textFill>
                  <w14:solidFill>
                    <w14:schemeClr w14:val="tx1"/>
                  </w14:solidFill>
                </w14:textFill>
              </w:rPr>
              <w:t>大气污染物排放标准</w:t>
            </w:r>
          </w:p>
          <w:p w14:paraId="5801A2FB">
            <w:pPr>
              <w:pStyle w:val="97"/>
              <w:keepNext w:val="0"/>
              <w:keepLines w:val="0"/>
              <w:pageBreakBefore w:val="0"/>
              <w:widowControl w:val="0"/>
              <w:kinsoku/>
              <w:wordWrap/>
              <w:overflowPunct/>
              <w:topLinePunct w:val="0"/>
              <w:autoSpaceDE w:val="0"/>
              <w:autoSpaceDN/>
              <w:bidi w:val="0"/>
              <w:spacing w:before="0" w:beforeAutospacing="0" w:after="0" w:afterAutospacing="0" w:line="360" w:lineRule="auto"/>
              <w:ind w:left="0" w:firstLine="480" w:firstLineChars="200"/>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施工期废气排放执行《大气污染物综合排放标准》（GB16297-1996）表2中无组织排放监控浓度限值。</w:t>
            </w:r>
          </w:p>
          <w:p w14:paraId="5921C4A5">
            <w:pPr>
              <w:spacing w:line="360" w:lineRule="auto"/>
              <w:ind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运营期生产、原料存储、转运、装卸及包装等执行《耐火材料工业大气污染物排放标准》（GB46790-2025）表1大气污染物排放限值；厂区</w:t>
            </w:r>
            <w:r>
              <w:rPr>
                <w:rFonts w:hint="eastAsia" w:cs="Times New Roman"/>
                <w:color w:val="000000" w:themeColor="text1"/>
                <w:sz w:val="24"/>
                <w:szCs w:val="24"/>
                <w:highlight w:val="none"/>
                <w:lang w:val="en-US" w:eastAsia="zh-CN"/>
                <w14:textFill>
                  <w14:solidFill>
                    <w14:schemeClr w14:val="tx1"/>
                  </w14:solidFill>
                </w14:textFill>
              </w:rPr>
              <w:t>内</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无组织粉尘执行《耐火材料工业大气污染物排放标准》（GB46790-2025）表4厂区内无组织排放监控浓度限值</w:t>
            </w:r>
            <w:r>
              <w:rPr>
                <w:rFonts w:hint="eastAsia"/>
                <w:color w:val="000000" w:themeColor="text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厂</w:t>
            </w:r>
            <w:r>
              <w:rPr>
                <w:rFonts w:hint="eastAsia" w:cs="Times New Roman"/>
                <w:color w:val="000000" w:themeColor="text1"/>
                <w:sz w:val="24"/>
                <w:szCs w:val="24"/>
                <w:highlight w:val="none"/>
                <w:lang w:val="en-US" w:eastAsia="zh-CN"/>
                <w14:textFill>
                  <w14:solidFill>
                    <w14:schemeClr w14:val="tx1"/>
                  </w14:solidFill>
                </w14:textFill>
              </w:rPr>
              <w:t>界外</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无组织粉尘</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颗粒物</w:t>
            </w:r>
            <w:r>
              <w:rPr>
                <w:rFonts w:hint="eastAsia" w:cs="Times New Roman"/>
                <w:color w:val="000000" w:themeColor="text1"/>
                <w:sz w:val="24"/>
                <w:szCs w:val="24"/>
                <w:highlight w:val="none"/>
                <w:lang w:val="en-US" w:eastAsia="zh-CN"/>
                <w14:textFill>
                  <w14:solidFill>
                    <w14:schemeClr w14:val="tx1"/>
                  </w14:solidFill>
                </w14:textFill>
              </w:rPr>
              <w:t>执行</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《大气污染物综合排放标准》（GB16297-1996）表</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2中</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无组织排放</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限值</w:t>
            </w:r>
            <w:r>
              <w:rPr>
                <w:rFonts w:hint="eastAsia" w:cs="Times New Roman"/>
                <w:color w:val="000000" w:themeColor="text1"/>
                <w:sz w:val="24"/>
                <w:szCs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运营期氨气排放执行《恶臭污染物排放标准》（GB14554-93）表1排放限值。</w:t>
            </w:r>
          </w:p>
          <w:p w14:paraId="2D76CDA1">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t>表3-</w:t>
            </w:r>
            <w:r>
              <w:rPr>
                <w:rFonts w:hint="eastAsia" w:cs="Times New Roman"/>
                <w:b/>
                <w:bCs/>
                <w:color w:val="000000" w:themeColor="text1"/>
                <w:sz w:val="24"/>
                <w:highlight w:val="none"/>
                <w:lang w:val="en-US" w:eastAsia="zh-CN"/>
                <w14:textFill>
                  <w14:solidFill>
                    <w14:schemeClr w14:val="tx1"/>
                  </w14:solidFill>
                </w14:textFill>
              </w:rPr>
              <w:t>8</w:t>
            </w:r>
            <w:r>
              <w:rPr>
                <w:rFonts w:hint="default" w:ascii="Times New Roman" w:hAnsi="Times New Roman" w:eastAsia="宋体" w:cs="Times New Roman"/>
                <w:b/>
                <w:bCs/>
                <w:color w:val="000000" w:themeColor="text1"/>
                <w:kern w:val="2"/>
                <w:sz w:val="24"/>
                <w:szCs w:val="24"/>
                <w:highlight w:val="none"/>
                <w:lang w:val="en-US" w:eastAsia="zh-CN" w:bidi="ar-SA"/>
                <w14:textFill>
                  <w14:solidFill>
                    <w14:schemeClr w14:val="tx1"/>
                  </w14:solidFill>
                </w14:textFill>
              </w:rPr>
              <w:t>耐火材料工业大气污染物排放标准</w:t>
            </w:r>
          </w:p>
          <w:tbl>
            <w:tblPr>
              <w:tblStyle w:val="2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8"/>
              <w:gridCol w:w="688"/>
              <w:gridCol w:w="931"/>
              <w:gridCol w:w="1197"/>
              <w:gridCol w:w="1657"/>
              <w:gridCol w:w="1291"/>
              <w:gridCol w:w="1070"/>
              <w:gridCol w:w="729"/>
            </w:tblGrid>
            <w:tr w14:paraId="3CC2D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 w:type="pct"/>
                  <w:vMerge w:val="restart"/>
                  <w:noWrap w:val="0"/>
                  <w:vAlign w:val="center"/>
                </w:tcPr>
                <w:p w14:paraId="38254D03">
                  <w:pPr>
                    <w:keepNext w:val="0"/>
                    <w:keepLines w:val="0"/>
                    <w:pageBreakBefore w:val="0"/>
                    <w:widowControl w:val="0"/>
                    <w:tabs>
                      <w:tab w:val="left" w:pos="-108"/>
                      <w:tab w:val="left" w:pos="627"/>
                      <w:tab w:val="left" w:pos="942"/>
                    </w:tabs>
                    <w:kinsoku/>
                    <w:wordWrap/>
                    <w:overflowPunct/>
                    <w:topLinePunct w:val="0"/>
                    <w:autoSpaceDE/>
                    <w:autoSpaceDN/>
                    <w:bidi w:val="0"/>
                    <w:adjustRightInd/>
                    <w:snapToGrid/>
                    <w:spacing w:line="240" w:lineRule="auto"/>
                    <w:jc w:val="center"/>
                    <w:textAlignment w:val="auto"/>
                    <w:outlineLvl w:val="1"/>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序号</w:t>
                  </w:r>
                </w:p>
              </w:tc>
              <w:tc>
                <w:tcPr>
                  <w:tcW w:w="432" w:type="pct"/>
                  <w:vMerge w:val="restart"/>
                  <w:noWrap w:val="0"/>
                  <w:vAlign w:val="center"/>
                </w:tcPr>
                <w:p w14:paraId="74867EA1">
                  <w:pPr>
                    <w:keepNext w:val="0"/>
                    <w:keepLines w:val="0"/>
                    <w:pageBreakBefore w:val="0"/>
                    <w:widowControl w:val="0"/>
                    <w:tabs>
                      <w:tab w:val="left" w:pos="-108"/>
                      <w:tab w:val="left" w:pos="627"/>
                      <w:tab w:val="left" w:pos="942"/>
                    </w:tabs>
                    <w:kinsoku/>
                    <w:wordWrap/>
                    <w:overflowPunct/>
                    <w:topLinePunct w:val="0"/>
                    <w:autoSpaceDE/>
                    <w:autoSpaceDN/>
                    <w:bidi w:val="0"/>
                    <w:adjustRightInd/>
                    <w:snapToGrid/>
                    <w:spacing w:line="240" w:lineRule="auto"/>
                    <w:jc w:val="center"/>
                    <w:textAlignment w:val="auto"/>
                    <w:outlineLvl w:val="1"/>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污染物</w:t>
                  </w:r>
                </w:p>
                <w:p w14:paraId="7C30997A">
                  <w:pPr>
                    <w:keepNext w:val="0"/>
                    <w:keepLines w:val="0"/>
                    <w:pageBreakBefore w:val="0"/>
                    <w:widowControl w:val="0"/>
                    <w:tabs>
                      <w:tab w:val="left" w:pos="-108"/>
                      <w:tab w:val="left" w:pos="627"/>
                      <w:tab w:val="left" w:pos="942"/>
                    </w:tabs>
                    <w:kinsoku/>
                    <w:wordWrap/>
                    <w:overflowPunct/>
                    <w:topLinePunct w:val="0"/>
                    <w:autoSpaceDE/>
                    <w:autoSpaceDN/>
                    <w:bidi w:val="0"/>
                    <w:adjustRightInd/>
                    <w:snapToGrid/>
                    <w:spacing w:line="240" w:lineRule="auto"/>
                    <w:jc w:val="center"/>
                    <w:textAlignment w:val="auto"/>
                    <w:outlineLvl w:val="1"/>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项目</w:t>
                  </w:r>
                </w:p>
              </w:tc>
              <w:tc>
                <w:tcPr>
                  <w:tcW w:w="3188" w:type="pct"/>
                  <w:gridSpan w:val="4"/>
                  <w:noWrap w:val="0"/>
                  <w:vAlign w:val="center"/>
                </w:tcPr>
                <w:p w14:paraId="51639337">
                  <w:pPr>
                    <w:keepNext w:val="0"/>
                    <w:keepLines w:val="0"/>
                    <w:pageBreakBefore w:val="0"/>
                    <w:widowControl w:val="0"/>
                    <w:tabs>
                      <w:tab w:val="left" w:pos="-108"/>
                      <w:tab w:val="left" w:pos="627"/>
                      <w:tab w:val="left" w:pos="942"/>
                    </w:tabs>
                    <w:kinsoku/>
                    <w:wordWrap/>
                    <w:overflowPunct/>
                    <w:topLinePunct w:val="0"/>
                    <w:autoSpaceDE/>
                    <w:autoSpaceDN/>
                    <w:bidi w:val="0"/>
                    <w:adjustRightInd/>
                    <w:snapToGrid/>
                    <w:spacing w:line="240" w:lineRule="auto"/>
                    <w:jc w:val="center"/>
                    <w:textAlignment w:val="auto"/>
                    <w:outlineLvl w:val="1"/>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隧道窑、梭式窑、竖窑、回转窑等窑炉进行干燥、热处理、焙烧等生产工序</w:t>
                  </w:r>
                  <w:r>
                    <w:rPr>
                      <w:rFonts w:hint="default" w:ascii="Times New Roman" w:hAnsi="Times New Roman" w:eastAsia="宋体" w:cs="Times New Roman"/>
                      <w:b w:val="0"/>
                      <w:bCs w:val="0"/>
                      <w:color w:val="000000" w:themeColor="text1"/>
                      <w:sz w:val="21"/>
                      <w:szCs w:val="21"/>
                      <w:highlight w:val="none"/>
                      <w:vertAlign w:val="superscript"/>
                      <w:lang w:val="en-US" w:eastAsia="zh-CN"/>
                      <w14:textFill>
                        <w14:solidFill>
                          <w14:schemeClr w14:val="tx1"/>
                        </w14:solidFill>
                      </w14:textFill>
                    </w:rPr>
                    <w:t>ab</w:t>
                  </w:r>
                </w:p>
              </w:tc>
              <w:tc>
                <w:tcPr>
                  <w:tcW w:w="672" w:type="pct"/>
                  <w:vMerge w:val="restart"/>
                  <w:noWrap w:val="0"/>
                  <w:vAlign w:val="center"/>
                </w:tcPr>
                <w:p w14:paraId="0DCD4C73">
                  <w:pPr>
                    <w:keepNext w:val="0"/>
                    <w:keepLines w:val="0"/>
                    <w:pageBreakBefore w:val="0"/>
                    <w:widowControl w:val="0"/>
                    <w:tabs>
                      <w:tab w:val="left" w:pos="-108"/>
                      <w:tab w:val="left" w:pos="627"/>
                      <w:tab w:val="left" w:pos="942"/>
                    </w:tabs>
                    <w:kinsoku/>
                    <w:wordWrap/>
                    <w:overflowPunct/>
                    <w:topLinePunct w:val="0"/>
                    <w:autoSpaceDE/>
                    <w:autoSpaceDN/>
                    <w:bidi w:val="0"/>
                    <w:adjustRightInd/>
                    <w:snapToGrid/>
                    <w:spacing w:line="240" w:lineRule="auto"/>
                    <w:jc w:val="center"/>
                    <w:textAlignment w:val="auto"/>
                    <w:outlineLvl w:val="1"/>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原料破碎、筛分、配料、混料及其他生产工序</w:t>
                  </w:r>
                </w:p>
              </w:tc>
              <w:tc>
                <w:tcPr>
                  <w:tcW w:w="457" w:type="pct"/>
                  <w:vMerge w:val="restart"/>
                  <w:noWrap w:val="0"/>
                  <w:vAlign w:val="center"/>
                </w:tcPr>
                <w:p w14:paraId="04DABBF4">
                  <w:pPr>
                    <w:keepNext w:val="0"/>
                    <w:keepLines w:val="0"/>
                    <w:pageBreakBefore w:val="0"/>
                    <w:widowControl w:val="0"/>
                    <w:tabs>
                      <w:tab w:val="left" w:pos="-108"/>
                      <w:tab w:val="left" w:pos="627"/>
                      <w:tab w:val="left" w:pos="942"/>
                    </w:tabs>
                    <w:kinsoku/>
                    <w:wordWrap/>
                    <w:overflowPunct/>
                    <w:topLinePunct w:val="0"/>
                    <w:autoSpaceDE/>
                    <w:autoSpaceDN/>
                    <w:bidi w:val="0"/>
                    <w:adjustRightInd/>
                    <w:snapToGrid/>
                    <w:spacing w:line="240" w:lineRule="auto"/>
                    <w:jc w:val="center"/>
                    <w:textAlignment w:val="auto"/>
                    <w:outlineLvl w:val="1"/>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污染物排放监控位置</w:t>
                  </w:r>
                </w:p>
              </w:tc>
            </w:tr>
            <w:tr w14:paraId="261E5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 w:type="pct"/>
                  <w:vMerge w:val="continue"/>
                  <w:noWrap w:val="0"/>
                  <w:vAlign w:val="center"/>
                </w:tcPr>
                <w:p w14:paraId="39D62E96">
                  <w:pPr>
                    <w:keepNext w:val="0"/>
                    <w:keepLines w:val="0"/>
                    <w:pageBreakBefore w:val="0"/>
                    <w:widowControl w:val="0"/>
                    <w:tabs>
                      <w:tab w:val="left" w:pos="-108"/>
                      <w:tab w:val="left" w:pos="627"/>
                      <w:tab w:val="left" w:pos="942"/>
                    </w:tabs>
                    <w:kinsoku/>
                    <w:wordWrap/>
                    <w:overflowPunct/>
                    <w:topLinePunct w:val="0"/>
                    <w:autoSpaceDE/>
                    <w:autoSpaceDN/>
                    <w:bidi w:val="0"/>
                    <w:adjustRightInd/>
                    <w:snapToGrid/>
                    <w:spacing w:line="240" w:lineRule="auto"/>
                    <w:jc w:val="center"/>
                    <w:textAlignment w:val="auto"/>
                    <w:outlineLvl w:val="1"/>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p>
              </w:tc>
              <w:tc>
                <w:tcPr>
                  <w:tcW w:w="432" w:type="pct"/>
                  <w:vMerge w:val="continue"/>
                  <w:noWrap w:val="0"/>
                  <w:vAlign w:val="center"/>
                </w:tcPr>
                <w:p w14:paraId="79270BAE">
                  <w:pPr>
                    <w:keepNext w:val="0"/>
                    <w:keepLines w:val="0"/>
                    <w:pageBreakBefore w:val="0"/>
                    <w:widowControl w:val="0"/>
                    <w:tabs>
                      <w:tab w:val="left" w:pos="-108"/>
                      <w:tab w:val="left" w:pos="627"/>
                      <w:tab w:val="left" w:pos="942"/>
                    </w:tabs>
                    <w:kinsoku/>
                    <w:wordWrap/>
                    <w:overflowPunct/>
                    <w:topLinePunct w:val="0"/>
                    <w:autoSpaceDE/>
                    <w:autoSpaceDN/>
                    <w:bidi w:val="0"/>
                    <w:adjustRightInd/>
                    <w:snapToGrid/>
                    <w:spacing w:line="240" w:lineRule="auto"/>
                    <w:jc w:val="center"/>
                    <w:textAlignment w:val="auto"/>
                    <w:outlineLvl w:val="1"/>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p>
              </w:tc>
              <w:tc>
                <w:tcPr>
                  <w:tcW w:w="584" w:type="pct"/>
                  <w:noWrap w:val="0"/>
                  <w:vAlign w:val="center"/>
                </w:tcPr>
                <w:p w14:paraId="6A67063E">
                  <w:pPr>
                    <w:keepNext w:val="0"/>
                    <w:keepLines w:val="0"/>
                    <w:pageBreakBefore w:val="0"/>
                    <w:widowControl w:val="0"/>
                    <w:tabs>
                      <w:tab w:val="left" w:pos="-108"/>
                      <w:tab w:val="left" w:pos="627"/>
                      <w:tab w:val="left" w:pos="942"/>
                    </w:tabs>
                    <w:kinsoku/>
                    <w:wordWrap/>
                    <w:overflowPunct/>
                    <w:topLinePunct w:val="0"/>
                    <w:autoSpaceDE/>
                    <w:autoSpaceDN/>
                    <w:bidi w:val="0"/>
                    <w:adjustRightInd/>
                    <w:snapToGrid/>
                    <w:spacing w:line="240" w:lineRule="auto"/>
                    <w:jc w:val="center"/>
                    <w:textAlignment w:val="auto"/>
                    <w:outlineLvl w:val="1"/>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t≤500℃</w:t>
                  </w:r>
                </w:p>
              </w:tc>
              <w:tc>
                <w:tcPr>
                  <w:tcW w:w="751" w:type="pct"/>
                  <w:noWrap w:val="0"/>
                  <w:vAlign w:val="center"/>
                </w:tcPr>
                <w:p w14:paraId="407732C8">
                  <w:pPr>
                    <w:keepNext w:val="0"/>
                    <w:keepLines w:val="0"/>
                    <w:pageBreakBefore w:val="0"/>
                    <w:widowControl w:val="0"/>
                    <w:tabs>
                      <w:tab w:val="left" w:pos="-108"/>
                      <w:tab w:val="left" w:pos="627"/>
                      <w:tab w:val="left" w:pos="942"/>
                    </w:tabs>
                    <w:kinsoku/>
                    <w:wordWrap/>
                    <w:overflowPunct/>
                    <w:topLinePunct w:val="0"/>
                    <w:autoSpaceDE/>
                    <w:autoSpaceDN/>
                    <w:bidi w:val="0"/>
                    <w:adjustRightInd/>
                    <w:snapToGrid/>
                    <w:spacing w:line="240" w:lineRule="auto"/>
                    <w:jc w:val="center"/>
                    <w:textAlignment w:val="auto"/>
                    <w:outlineLvl w:val="1"/>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500℃&lt;t≤1200℃</w:t>
                  </w:r>
                </w:p>
              </w:tc>
              <w:tc>
                <w:tcPr>
                  <w:tcW w:w="1040" w:type="pct"/>
                  <w:noWrap w:val="0"/>
                  <w:vAlign w:val="center"/>
                </w:tcPr>
                <w:p w14:paraId="1A22B5E9">
                  <w:pPr>
                    <w:keepNext w:val="0"/>
                    <w:keepLines w:val="0"/>
                    <w:pageBreakBefore w:val="0"/>
                    <w:widowControl w:val="0"/>
                    <w:tabs>
                      <w:tab w:val="left" w:pos="-108"/>
                      <w:tab w:val="left" w:pos="627"/>
                      <w:tab w:val="left" w:pos="942"/>
                    </w:tabs>
                    <w:kinsoku/>
                    <w:wordWrap/>
                    <w:overflowPunct/>
                    <w:topLinePunct w:val="0"/>
                    <w:autoSpaceDE/>
                    <w:autoSpaceDN/>
                    <w:bidi w:val="0"/>
                    <w:adjustRightInd/>
                    <w:snapToGrid/>
                    <w:spacing w:line="240" w:lineRule="auto"/>
                    <w:jc w:val="center"/>
                    <w:textAlignment w:val="auto"/>
                    <w:outlineLvl w:val="1"/>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1200℃&lt;t≤1700℃</w:t>
                  </w:r>
                </w:p>
              </w:tc>
              <w:tc>
                <w:tcPr>
                  <w:tcW w:w="810" w:type="pct"/>
                  <w:noWrap w:val="0"/>
                  <w:vAlign w:val="center"/>
                </w:tcPr>
                <w:p w14:paraId="00A04815">
                  <w:pPr>
                    <w:keepNext w:val="0"/>
                    <w:keepLines w:val="0"/>
                    <w:pageBreakBefore w:val="0"/>
                    <w:widowControl w:val="0"/>
                    <w:tabs>
                      <w:tab w:val="left" w:pos="-108"/>
                      <w:tab w:val="left" w:pos="627"/>
                      <w:tab w:val="left" w:pos="942"/>
                    </w:tabs>
                    <w:kinsoku/>
                    <w:wordWrap/>
                    <w:overflowPunct/>
                    <w:topLinePunct w:val="0"/>
                    <w:autoSpaceDE/>
                    <w:autoSpaceDN/>
                    <w:bidi w:val="0"/>
                    <w:adjustRightInd/>
                    <w:snapToGrid/>
                    <w:spacing w:line="240" w:lineRule="auto"/>
                    <w:jc w:val="center"/>
                    <w:textAlignment w:val="auto"/>
                    <w:outlineLvl w:val="1"/>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t＞1700℃</w:t>
                  </w:r>
                </w:p>
              </w:tc>
              <w:tc>
                <w:tcPr>
                  <w:tcW w:w="672" w:type="pct"/>
                  <w:vMerge w:val="continue"/>
                  <w:noWrap w:val="0"/>
                  <w:vAlign w:val="top"/>
                </w:tcPr>
                <w:p w14:paraId="55C50A13">
                  <w:pPr>
                    <w:keepNext w:val="0"/>
                    <w:keepLines w:val="0"/>
                    <w:pageBreakBefore w:val="0"/>
                    <w:widowControl w:val="0"/>
                    <w:tabs>
                      <w:tab w:val="left" w:pos="-108"/>
                      <w:tab w:val="left" w:pos="627"/>
                      <w:tab w:val="left" w:pos="942"/>
                    </w:tabs>
                    <w:kinsoku/>
                    <w:wordWrap/>
                    <w:overflowPunct/>
                    <w:topLinePunct w:val="0"/>
                    <w:autoSpaceDE/>
                    <w:autoSpaceDN/>
                    <w:bidi w:val="0"/>
                    <w:adjustRightInd/>
                    <w:snapToGrid/>
                    <w:spacing w:line="240" w:lineRule="auto"/>
                    <w:jc w:val="center"/>
                    <w:textAlignment w:val="auto"/>
                    <w:outlineLvl w:val="1"/>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p>
              </w:tc>
              <w:tc>
                <w:tcPr>
                  <w:tcW w:w="457" w:type="pct"/>
                  <w:vMerge w:val="continue"/>
                  <w:noWrap w:val="0"/>
                  <w:vAlign w:val="top"/>
                </w:tcPr>
                <w:p w14:paraId="459C2B6E">
                  <w:pPr>
                    <w:keepNext w:val="0"/>
                    <w:keepLines w:val="0"/>
                    <w:pageBreakBefore w:val="0"/>
                    <w:widowControl w:val="0"/>
                    <w:tabs>
                      <w:tab w:val="left" w:pos="-108"/>
                      <w:tab w:val="left" w:pos="627"/>
                      <w:tab w:val="left" w:pos="942"/>
                    </w:tabs>
                    <w:kinsoku/>
                    <w:wordWrap/>
                    <w:overflowPunct/>
                    <w:topLinePunct w:val="0"/>
                    <w:autoSpaceDE/>
                    <w:autoSpaceDN/>
                    <w:bidi w:val="0"/>
                    <w:adjustRightInd/>
                    <w:snapToGrid/>
                    <w:spacing w:line="240" w:lineRule="auto"/>
                    <w:jc w:val="center"/>
                    <w:textAlignment w:val="auto"/>
                    <w:outlineLvl w:val="1"/>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p>
              </w:tc>
            </w:tr>
            <w:tr w14:paraId="1732D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 w:type="pct"/>
                  <w:noWrap w:val="0"/>
                  <w:vAlign w:val="top"/>
                </w:tcPr>
                <w:p w14:paraId="781D3F56">
                  <w:pPr>
                    <w:keepNext w:val="0"/>
                    <w:keepLines w:val="0"/>
                    <w:pageBreakBefore w:val="0"/>
                    <w:widowControl w:val="0"/>
                    <w:tabs>
                      <w:tab w:val="left" w:pos="-108"/>
                      <w:tab w:val="left" w:pos="627"/>
                      <w:tab w:val="left" w:pos="942"/>
                    </w:tabs>
                    <w:kinsoku/>
                    <w:wordWrap/>
                    <w:overflowPunct/>
                    <w:topLinePunct w:val="0"/>
                    <w:autoSpaceDE/>
                    <w:autoSpaceDN/>
                    <w:bidi w:val="0"/>
                    <w:adjustRightInd/>
                    <w:snapToGrid/>
                    <w:spacing w:line="240" w:lineRule="auto"/>
                    <w:jc w:val="center"/>
                    <w:textAlignment w:val="auto"/>
                    <w:outlineLvl w:val="1"/>
                    <w:rPr>
                      <w:rFonts w:hint="default" w:ascii="Times New Roman" w:hAnsi="Times New Roman" w:eastAsia="宋体" w:cs="Times New Roman"/>
                      <w:b w:val="0"/>
                      <w:bCs w:val="0"/>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1</w:t>
                  </w:r>
                </w:p>
              </w:tc>
              <w:tc>
                <w:tcPr>
                  <w:tcW w:w="432" w:type="pct"/>
                  <w:noWrap w:val="0"/>
                  <w:vAlign w:val="center"/>
                </w:tcPr>
                <w:p w14:paraId="3EE42E17">
                  <w:pPr>
                    <w:keepNext w:val="0"/>
                    <w:keepLines w:val="0"/>
                    <w:pageBreakBefore w:val="0"/>
                    <w:widowControl w:val="0"/>
                    <w:tabs>
                      <w:tab w:val="left" w:pos="-108"/>
                      <w:tab w:val="left" w:pos="627"/>
                      <w:tab w:val="left" w:pos="942"/>
                    </w:tabs>
                    <w:kinsoku/>
                    <w:wordWrap/>
                    <w:overflowPunct/>
                    <w:topLinePunct w:val="0"/>
                    <w:autoSpaceDE/>
                    <w:autoSpaceDN/>
                    <w:bidi w:val="0"/>
                    <w:adjustRightInd/>
                    <w:snapToGrid/>
                    <w:spacing w:line="240" w:lineRule="auto"/>
                    <w:jc w:val="center"/>
                    <w:textAlignment w:val="auto"/>
                    <w:outlineLvl w:val="1"/>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颗粒物</w:t>
                  </w:r>
                </w:p>
              </w:tc>
              <w:tc>
                <w:tcPr>
                  <w:tcW w:w="584" w:type="pct"/>
                  <w:noWrap w:val="0"/>
                  <w:vAlign w:val="center"/>
                </w:tcPr>
                <w:p w14:paraId="03F8ED1E">
                  <w:pPr>
                    <w:keepNext w:val="0"/>
                    <w:keepLines w:val="0"/>
                    <w:pageBreakBefore w:val="0"/>
                    <w:widowControl w:val="0"/>
                    <w:tabs>
                      <w:tab w:val="left" w:pos="-108"/>
                      <w:tab w:val="left" w:pos="627"/>
                      <w:tab w:val="left" w:pos="942"/>
                    </w:tabs>
                    <w:kinsoku/>
                    <w:wordWrap/>
                    <w:overflowPunct/>
                    <w:topLinePunct w:val="0"/>
                    <w:autoSpaceDE/>
                    <w:autoSpaceDN/>
                    <w:bidi w:val="0"/>
                    <w:adjustRightInd/>
                    <w:snapToGrid/>
                    <w:spacing w:line="240" w:lineRule="auto"/>
                    <w:jc w:val="center"/>
                    <w:textAlignment w:val="auto"/>
                    <w:outlineLvl w:val="1"/>
                    <w:rPr>
                      <w:rFonts w:hint="default" w:ascii="Times New Roman" w:hAnsi="Times New Roman" w:eastAsia="宋体" w:cs="Times New Roman"/>
                      <w:b w:val="0"/>
                      <w:bCs w:val="0"/>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20</w:t>
                  </w:r>
                </w:p>
              </w:tc>
              <w:tc>
                <w:tcPr>
                  <w:tcW w:w="751" w:type="pct"/>
                  <w:noWrap w:val="0"/>
                  <w:vAlign w:val="center"/>
                </w:tcPr>
                <w:p w14:paraId="7997C96F">
                  <w:pPr>
                    <w:keepNext w:val="0"/>
                    <w:keepLines w:val="0"/>
                    <w:pageBreakBefore w:val="0"/>
                    <w:widowControl w:val="0"/>
                    <w:tabs>
                      <w:tab w:val="left" w:pos="-108"/>
                      <w:tab w:val="left" w:pos="627"/>
                      <w:tab w:val="left" w:pos="942"/>
                    </w:tabs>
                    <w:kinsoku/>
                    <w:wordWrap/>
                    <w:overflowPunct/>
                    <w:topLinePunct w:val="0"/>
                    <w:autoSpaceDE/>
                    <w:autoSpaceDN/>
                    <w:bidi w:val="0"/>
                    <w:adjustRightInd/>
                    <w:snapToGrid/>
                    <w:spacing w:line="240" w:lineRule="auto"/>
                    <w:jc w:val="center"/>
                    <w:textAlignment w:val="auto"/>
                    <w:outlineLvl w:val="1"/>
                    <w:rPr>
                      <w:rFonts w:hint="default" w:ascii="Times New Roman" w:hAnsi="Times New Roman" w:eastAsia="宋体" w:cs="Times New Roman"/>
                      <w:b w:val="0"/>
                      <w:bCs w:val="0"/>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20</w:t>
                  </w:r>
                </w:p>
              </w:tc>
              <w:tc>
                <w:tcPr>
                  <w:tcW w:w="1040" w:type="pct"/>
                  <w:noWrap w:val="0"/>
                  <w:vAlign w:val="center"/>
                </w:tcPr>
                <w:p w14:paraId="40127EA2">
                  <w:pPr>
                    <w:keepNext w:val="0"/>
                    <w:keepLines w:val="0"/>
                    <w:pageBreakBefore w:val="0"/>
                    <w:widowControl w:val="0"/>
                    <w:tabs>
                      <w:tab w:val="left" w:pos="-108"/>
                      <w:tab w:val="left" w:pos="627"/>
                      <w:tab w:val="left" w:pos="942"/>
                    </w:tabs>
                    <w:kinsoku/>
                    <w:wordWrap/>
                    <w:overflowPunct/>
                    <w:topLinePunct w:val="0"/>
                    <w:autoSpaceDE/>
                    <w:autoSpaceDN/>
                    <w:bidi w:val="0"/>
                    <w:adjustRightInd/>
                    <w:snapToGrid/>
                    <w:spacing w:line="240" w:lineRule="auto"/>
                    <w:jc w:val="center"/>
                    <w:textAlignment w:val="auto"/>
                    <w:outlineLvl w:val="1"/>
                    <w:rPr>
                      <w:rFonts w:hint="default" w:ascii="Times New Roman" w:hAnsi="Times New Roman" w:eastAsia="宋体" w:cs="Times New Roman"/>
                      <w:b w:val="0"/>
                      <w:bCs w:val="0"/>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20</w:t>
                  </w:r>
                </w:p>
              </w:tc>
              <w:tc>
                <w:tcPr>
                  <w:tcW w:w="810" w:type="pct"/>
                  <w:noWrap w:val="0"/>
                  <w:vAlign w:val="center"/>
                </w:tcPr>
                <w:p w14:paraId="6AA9331F">
                  <w:pPr>
                    <w:keepNext w:val="0"/>
                    <w:keepLines w:val="0"/>
                    <w:pageBreakBefore w:val="0"/>
                    <w:widowControl w:val="0"/>
                    <w:tabs>
                      <w:tab w:val="left" w:pos="-108"/>
                      <w:tab w:val="left" w:pos="627"/>
                      <w:tab w:val="left" w:pos="942"/>
                    </w:tabs>
                    <w:kinsoku/>
                    <w:wordWrap/>
                    <w:overflowPunct/>
                    <w:topLinePunct w:val="0"/>
                    <w:autoSpaceDE/>
                    <w:autoSpaceDN/>
                    <w:bidi w:val="0"/>
                    <w:adjustRightInd/>
                    <w:snapToGrid/>
                    <w:spacing w:line="240" w:lineRule="auto"/>
                    <w:jc w:val="center"/>
                    <w:textAlignment w:val="auto"/>
                    <w:outlineLvl w:val="1"/>
                    <w:rPr>
                      <w:rFonts w:hint="default" w:ascii="Times New Roman" w:hAnsi="Times New Roman" w:eastAsia="宋体" w:cs="Times New Roman"/>
                      <w:b w:val="0"/>
                      <w:bCs w:val="0"/>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20</w:t>
                  </w:r>
                </w:p>
              </w:tc>
              <w:tc>
                <w:tcPr>
                  <w:tcW w:w="672" w:type="pct"/>
                  <w:noWrap w:val="0"/>
                  <w:vAlign w:val="center"/>
                </w:tcPr>
                <w:p w14:paraId="75B43C20">
                  <w:pPr>
                    <w:keepNext w:val="0"/>
                    <w:keepLines w:val="0"/>
                    <w:pageBreakBefore w:val="0"/>
                    <w:widowControl w:val="0"/>
                    <w:tabs>
                      <w:tab w:val="left" w:pos="-108"/>
                      <w:tab w:val="left" w:pos="627"/>
                      <w:tab w:val="left" w:pos="942"/>
                    </w:tabs>
                    <w:kinsoku/>
                    <w:wordWrap/>
                    <w:overflowPunct/>
                    <w:topLinePunct w:val="0"/>
                    <w:autoSpaceDE/>
                    <w:autoSpaceDN/>
                    <w:bidi w:val="0"/>
                    <w:adjustRightInd/>
                    <w:snapToGrid/>
                    <w:spacing w:line="240" w:lineRule="auto"/>
                    <w:jc w:val="center"/>
                    <w:textAlignment w:val="auto"/>
                    <w:outlineLvl w:val="1"/>
                    <w:rPr>
                      <w:rFonts w:hint="default" w:ascii="Times New Roman" w:hAnsi="Times New Roman" w:eastAsia="宋体" w:cs="Times New Roman"/>
                      <w:b w:val="0"/>
                      <w:bCs w:val="0"/>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20</w:t>
                  </w:r>
                </w:p>
              </w:tc>
              <w:tc>
                <w:tcPr>
                  <w:tcW w:w="457" w:type="pct"/>
                  <w:vMerge w:val="restart"/>
                  <w:noWrap w:val="0"/>
                  <w:vAlign w:val="top"/>
                </w:tcPr>
                <w:p w14:paraId="458748CE">
                  <w:pPr>
                    <w:keepNext w:val="0"/>
                    <w:keepLines w:val="0"/>
                    <w:pageBreakBefore w:val="0"/>
                    <w:widowControl w:val="0"/>
                    <w:tabs>
                      <w:tab w:val="left" w:pos="-108"/>
                      <w:tab w:val="left" w:pos="627"/>
                      <w:tab w:val="left" w:pos="942"/>
                    </w:tabs>
                    <w:kinsoku/>
                    <w:wordWrap/>
                    <w:overflowPunct/>
                    <w:topLinePunct w:val="0"/>
                    <w:autoSpaceDE/>
                    <w:autoSpaceDN/>
                    <w:bidi w:val="0"/>
                    <w:adjustRightInd/>
                    <w:snapToGrid/>
                    <w:spacing w:line="240" w:lineRule="auto"/>
                    <w:jc w:val="center"/>
                    <w:textAlignment w:val="auto"/>
                    <w:outlineLvl w:val="1"/>
                    <w:rPr>
                      <w:rFonts w:hint="default" w:ascii="Times New Roman" w:hAnsi="Times New Roman" w:eastAsia="宋体" w:cs="Times New Roman"/>
                      <w:b w:val="0"/>
                      <w:bCs w:val="0"/>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highlight w:val="none"/>
                      <w:vertAlign w:val="baseline"/>
                      <w:lang w:val="en-US" w:eastAsia="zh-CN" w:bidi="ar-SA"/>
                      <w14:textFill>
                        <w14:solidFill>
                          <w14:schemeClr w14:val="tx1"/>
                        </w14:solidFill>
                      </w14:textFill>
                    </w:rPr>
                    <w:t>车间或</w:t>
                  </w:r>
                </w:p>
                <w:p w14:paraId="25EDD133">
                  <w:pPr>
                    <w:keepNext w:val="0"/>
                    <w:keepLines w:val="0"/>
                    <w:pageBreakBefore w:val="0"/>
                    <w:widowControl w:val="0"/>
                    <w:tabs>
                      <w:tab w:val="left" w:pos="-108"/>
                      <w:tab w:val="left" w:pos="627"/>
                      <w:tab w:val="left" w:pos="942"/>
                    </w:tabs>
                    <w:kinsoku/>
                    <w:wordWrap/>
                    <w:overflowPunct/>
                    <w:topLinePunct w:val="0"/>
                    <w:autoSpaceDE/>
                    <w:autoSpaceDN/>
                    <w:bidi w:val="0"/>
                    <w:adjustRightInd/>
                    <w:snapToGrid/>
                    <w:spacing w:line="240" w:lineRule="auto"/>
                    <w:jc w:val="center"/>
                    <w:textAlignment w:val="auto"/>
                    <w:outlineLvl w:val="1"/>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highlight w:val="none"/>
                      <w:vertAlign w:val="baseline"/>
                      <w:lang w:val="en-US" w:eastAsia="zh-CN" w:bidi="ar-SA"/>
                      <w14:textFill>
                        <w14:solidFill>
                          <w14:schemeClr w14:val="tx1"/>
                        </w14:solidFill>
                      </w14:textFill>
                    </w:rPr>
                    <w:t>生产设施排气筒</w:t>
                  </w:r>
                </w:p>
              </w:tc>
            </w:tr>
            <w:tr w14:paraId="3DA8C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 w:type="pct"/>
                  <w:noWrap w:val="0"/>
                  <w:vAlign w:val="top"/>
                </w:tcPr>
                <w:p w14:paraId="16756978">
                  <w:pPr>
                    <w:keepNext w:val="0"/>
                    <w:keepLines w:val="0"/>
                    <w:pageBreakBefore w:val="0"/>
                    <w:widowControl w:val="0"/>
                    <w:tabs>
                      <w:tab w:val="left" w:pos="-108"/>
                      <w:tab w:val="left" w:pos="627"/>
                      <w:tab w:val="left" w:pos="942"/>
                    </w:tabs>
                    <w:kinsoku/>
                    <w:wordWrap/>
                    <w:overflowPunct/>
                    <w:topLinePunct w:val="0"/>
                    <w:autoSpaceDE/>
                    <w:autoSpaceDN/>
                    <w:bidi w:val="0"/>
                    <w:adjustRightInd/>
                    <w:snapToGrid/>
                    <w:spacing w:line="240" w:lineRule="auto"/>
                    <w:jc w:val="center"/>
                    <w:textAlignment w:val="auto"/>
                    <w:outlineLvl w:val="1"/>
                    <w:rPr>
                      <w:rFonts w:hint="default" w:ascii="Times New Roman" w:hAnsi="Times New Roman" w:eastAsia="宋体" w:cs="Times New Roman"/>
                      <w:b w:val="0"/>
                      <w:bCs w:val="0"/>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2</w:t>
                  </w:r>
                </w:p>
              </w:tc>
              <w:tc>
                <w:tcPr>
                  <w:tcW w:w="432" w:type="pct"/>
                  <w:noWrap w:val="0"/>
                  <w:vAlign w:val="center"/>
                </w:tcPr>
                <w:p w14:paraId="5EA30F1C">
                  <w:pPr>
                    <w:keepNext w:val="0"/>
                    <w:keepLines w:val="0"/>
                    <w:pageBreakBefore w:val="0"/>
                    <w:widowControl w:val="0"/>
                    <w:tabs>
                      <w:tab w:val="left" w:pos="-108"/>
                      <w:tab w:val="left" w:pos="627"/>
                      <w:tab w:val="left" w:pos="942"/>
                    </w:tabs>
                    <w:kinsoku/>
                    <w:wordWrap/>
                    <w:overflowPunct/>
                    <w:topLinePunct w:val="0"/>
                    <w:autoSpaceDE/>
                    <w:autoSpaceDN/>
                    <w:bidi w:val="0"/>
                    <w:adjustRightInd/>
                    <w:snapToGrid/>
                    <w:spacing w:line="240" w:lineRule="auto"/>
                    <w:jc w:val="center"/>
                    <w:textAlignment w:val="auto"/>
                    <w:outlineLvl w:val="1"/>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二氧化硫</w:t>
                  </w:r>
                </w:p>
              </w:tc>
              <w:tc>
                <w:tcPr>
                  <w:tcW w:w="584" w:type="pct"/>
                  <w:noWrap w:val="0"/>
                  <w:vAlign w:val="center"/>
                </w:tcPr>
                <w:p w14:paraId="634A8F05">
                  <w:pPr>
                    <w:keepNext w:val="0"/>
                    <w:keepLines w:val="0"/>
                    <w:pageBreakBefore w:val="0"/>
                    <w:widowControl w:val="0"/>
                    <w:tabs>
                      <w:tab w:val="left" w:pos="-108"/>
                      <w:tab w:val="left" w:pos="627"/>
                      <w:tab w:val="left" w:pos="942"/>
                    </w:tabs>
                    <w:kinsoku/>
                    <w:wordWrap/>
                    <w:overflowPunct/>
                    <w:topLinePunct w:val="0"/>
                    <w:autoSpaceDE/>
                    <w:autoSpaceDN/>
                    <w:bidi w:val="0"/>
                    <w:adjustRightInd/>
                    <w:snapToGrid/>
                    <w:spacing w:line="240" w:lineRule="auto"/>
                    <w:jc w:val="center"/>
                    <w:textAlignment w:val="auto"/>
                    <w:outlineLvl w:val="1"/>
                    <w:rPr>
                      <w:rFonts w:hint="default" w:ascii="Times New Roman" w:hAnsi="Times New Roman" w:eastAsia="宋体" w:cs="Times New Roman"/>
                      <w:b w:val="0"/>
                      <w:bCs w:val="0"/>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w:t>
                  </w:r>
                </w:p>
              </w:tc>
              <w:tc>
                <w:tcPr>
                  <w:tcW w:w="751" w:type="pct"/>
                  <w:noWrap w:val="0"/>
                  <w:vAlign w:val="center"/>
                </w:tcPr>
                <w:p w14:paraId="18CD7D53">
                  <w:pPr>
                    <w:keepNext w:val="0"/>
                    <w:keepLines w:val="0"/>
                    <w:pageBreakBefore w:val="0"/>
                    <w:widowControl w:val="0"/>
                    <w:tabs>
                      <w:tab w:val="left" w:pos="-108"/>
                      <w:tab w:val="left" w:pos="627"/>
                      <w:tab w:val="left" w:pos="942"/>
                    </w:tabs>
                    <w:kinsoku/>
                    <w:wordWrap/>
                    <w:overflowPunct/>
                    <w:topLinePunct w:val="0"/>
                    <w:autoSpaceDE/>
                    <w:autoSpaceDN/>
                    <w:bidi w:val="0"/>
                    <w:adjustRightInd/>
                    <w:snapToGrid/>
                    <w:spacing w:line="240" w:lineRule="auto"/>
                    <w:jc w:val="center"/>
                    <w:textAlignment w:val="auto"/>
                    <w:outlineLvl w:val="1"/>
                    <w:rPr>
                      <w:rFonts w:hint="default" w:ascii="Times New Roman" w:hAnsi="Times New Roman" w:eastAsia="宋体" w:cs="Times New Roman"/>
                      <w:b w:val="0"/>
                      <w:bCs w:val="0"/>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highlight w:val="none"/>
                      <w:vertAlign w:val="baseline"/>
                      <w:lang w:val="en-US" w:eastAsia="zh-CN" w:bidi="ar-SA"/>
                      <w14:textFill>
                        <w14:solidFill>
                          <w14:schemeClr w14:val="tx1"/>
                        </w14:solidFill>
                      </w14:textFill>
                    </w:rPr>
                    <w:t>50</w:t>
                  </w:r>
                </w:p>
              </w:tc>
              <w:tc>
                <w:tcPr>
                  <w:tcW w:w="1040" w:type="pct"/>
                  <w:noWrap w:val="0"/>
                  <w:vAlign w:val="center"/>
                </w:tcPr>
                <w:p w14:paraId="6C8388A1">
                  <w:pPr>
                    <w:keepNext w:val="0"/>
                    <w:keepLines w:val="0"/>
                    <w:pageBreakBefore w:val="0"/>
                    <w:widowControl w:val="0"/>
                    <w:tabs>
                      <w:tab w:val="left" w:pos="-108"/>
                      <w:tab w:val="left" w:pos="627"/>
                      <w:tab w:val="left" w:pos="942"/>
                    </w:tabs>
                    <w:kinsoku/>
                    <w:wordWrap/>
                    <w:overflowPunct/>
                    <w:topLinePunct w:val="0"/>
                    <w:autoSpaceDE/>
                    <w:autoSpaceDN/>
                    <w:bidi w:val="0"/>
                    <w:adjustRightInd/>
                    <w:snapToGrid/>
                    <w:spacing w:line="240" w:lineRule="auto"/>
                    <w:jc w:val="center"/>
                    <w:textAlignment w:val="auto"/>
                    <w:outlineLvl w:val="1"/>
                    <w:rPr>
                      <w:rFonts w:hint="default" w:ascii="Times New Roman" w:hAnsi="Times New Roman" w:eastAsia="宋体" w:cs="Times New Roman"/>
                      <w:b w:val="0"/>
                      <w:bCs w:val="0"/>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highlight w:val="none"/>
                      <w:vertAlign w:val="baseline"/>
                      <w:lang w:val="en-US" w:eastAsia="zh-CN" w:bidi="ar-SA"/>
                      <w14:textFill>
                        <w14:solidFill>
                          <w14:schemeClr w14:val="tx1"/>
                        </w14:solidFill>
                      </w14:textFill>
                    </w:rPr>
                    <w:t>50</w:t>
                  </w:r>
                </w:p>
              </w:tc>
              <w:tc>
                <w:tcPr>
                  <w:tcW w:w="810" w:type="pct"/>
                  <w:noWrap w:val="0"/>
                  <w:vAlign w:val="center"/>
                </w:tcPr>
                <w:p w14:paraId="7A28043B">
                  <w:pPr>
                    <w:keepNext w:val="0"/>
                    <w:keepLines w:val="0"/>
                    <w:pageBreakBefore w:val="0"/>
                    <w:widowControl w:val="0"/>
                    <w:tabs>
                      <w:tab w:val="left" w:pos="-108"/>
                      <w:tab w:val="left" w:pos="627"/>
                      <w:tab w:val="left" w:pos="942"/>
                    </w:tabs>
                    <w:kinsoku/>
                    <w:wordWrap/>
                    <w:overflowPunct/>
                    <w:topLinePunct w:val="0"/>
                    <w:autoSpaceDE/>
                    <w:autoSpaceDN/>
                    <w:bidi w:val="0"/>
                    <w:adjustRightInd/>
                    <w:snapToGrid/>
                    <w:spacing w:line="240" w:lineRule="auto"/>
                    <w:jc w:val="center"/>
                    <w:textAlignment w:val="auto"/>
                    <w:outlineLvl w:val="1"/>
                    <w:rPr>
                      <w:rFonts w:hint="default" w:ascii="Times New Roman" w:hAnsi="Times New Roman" w:eastAsia="宋体" w:cs="Times New Roman"/>
                      <w:b w:val="0"/>
                      <w:bCs w:val="0"/>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highlight w:val="none"/>
                      <w:vertAlign w:val="baseline"/>
                      <w:lang w:val="en-US" w:eastAsia="zh-CN" w:bidi="ar-SA"/>
                      <w14:textFill>
                        <w14:solidFill>
                          <w14:schemeClr w14:val="tx1"/>
                        </w14:solidFill>
                      </w14:textFill>
                    </w:rPr>
                    <w:t>50</w:t>
                  </w:r>
                </w:p>
              </w:tc>
              <w:tc>
                <w:tcPr>
                  <w:tcW w:w="672" w:type="pct"/>
                  <w:noWrap w:val="0"/>
                  <w:vAlign w:val="center"/>
                </w:tcPr>
                <w:p w14:paraId="036D66C7">
                  <w:pPr>
                    <w:keepNext w:val="0"/>
                    <w:keepLines w:val="0"/>
                    <w:pageBreakBefore w:val="0"/>
                    <w:widowControl w:val="0"/>
                    <w:tabs>
                      <w:tab w:val="left" w:pos="-108"/>
                      <w:tab w:val="left" w:pos="627"/>
                      <w:tab w:val="left" w:pos="942"/>
                    </w:tabs>
                    <w:kinsoku/>
                    <w:wordWrap/>
                    <w:overflowPunct/>
                    <w:topLinePunct w:val="0"/>
                    <w:autoSpaceDE/>
                    <w:autoSpaceDN/>
                    <w:bidi w:val="0"/>
                    <w:adjustRightInd/>
                    <w:snapToGrid/>
                    <w:spacing w:line="240" w:lineRule="auto"/>
                    <w:jc w:val="center"/>
                    <w:textAlignment w:val="auto"/>
                    <w:outlineLvl w:val="1"/>
                    <w:rPr>
                      <w:rFonts w:hint="default" w:ascii="Times New Roman" w:hAnsi="Times New Roman" w:eastAsia="宋体" w:cs="Times New Roman"/>
                      <w:b w:val="0"/>
                      <w:bCs w:val="0"/>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highlight w:val="none"/>
                      <w:vertAlign w:val="baseline"/>
                      <w:lang w:val="en-US" w:eastAsia="zh-CN" w:bidi="ar-SA"/>
                      <w14:textFill>
                        <w14:solidFill>
                          <w14:schemeClr w14:val="tx1"/>
                        </w14:solidFill>
                      </w14:textFill>
                    </w:rPr>
                    <w:t>/</w:t>
                  </w:r>
                </w:p>
              </w:tc>
              <w:tc>
                <w:tcPr>
                  <w:tcW w:w="457" w:type="pct"/>
                  <w:vMerge w:val="continue"/>
                  <w:noWrap w:val="0"/>
                  <w:vAlign w:val="top"/>
                </w:tcPr>
                <w:p w14:paraId="0CF3F225">
                  <w:pPr>
                    <w:keepNext w:val="0"/>
                    <w:keepLines w:val="0"/>
                    <w:pageBreakBefore w:val="0"/>
                    <w:widowControl w:val="0"/>
                    <w:tabs>
                      <w:tab w:val="left" w:pos="-108"/>
                      <w:tab w:val="left" w:pos="627"/>
                      <w:tab w:val="left" w:pos="942"/>
                    </w:tabs>
                    <w:kinsoku/>
                    <w:wordWrap/>
                    <w:overflowPunct/>
                    <w:topLinePunct w:val="0"/>
                    <w:autoSpaceDE/>
                    <w:autoSpaceDN/>
                    <w:bidi w:val="0"/>
                    <w:adjustRightInd/>
                    <w:snapToGrid/>
                    <w:spacing w:line="240" w:lineRule="auto"/>
                    <w:jc w:val="center"/>
                    <w:textAlignment w:val="auto"/>
                    <w:outlineLvl w:val="1"/>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p>
              </w:tc>
            </w:tr>
            <w:tr w14:paraId="09C7B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 w:type="pct"/>
                  <w:noWrap w:val="0"/>
                  <w:vAlign w:val="center"/>
                </w:tcPr>
                <w:p w14:paraId="57CD2215">
                  <w:pPr>
                    <w:keepNext w:val="0"/>
                    <w:keepLines w:val="0"/>
                    <w:pageBreakBefore w:val="0"/>
                    <w:widowControl w:val="0"/>
                    <w:tabs>
                      <w:tab w:val="left" w:pos="-108"/>
                      <w:tab w:val="left" w:pos="627"/>
                      <w:tab w:val="left" w:pos="942"/>
                    </w:tabs>
                    <w:kinsoku/>
                    <w:wordWrap/>
                    <w:overflowPunct/>
                    <w:topLinePunct w:val="0"/>
                    <w:autoSpaceDE/>
                    <w:autoSpaceDN/>
                    <w:bidi w:val="0"/>
                    <w:adjustRightInd/>
                    <w:snapToGrid/>
                    <w:spacing w:line="240" w:lineRule="auto"/>
                    <w:jc w:val="center"/>
                    <w:textAlignment w:val="auto"/>
                    <w:outlineLvl w:val="1"/>
                    <w:rPr>
                      <w:rFonts w:hint="default" w:ascii="Times New Roman" w:hAnsi="Times New Roman" w:eastAsia="宋体" w:cs="Times New Roman"/>
                      <w:b w:val="0"/>
                      <w:bCs w:val="0"/>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3</w:t>
                  </w:r>
                </w:p>
              </w:tc>
              <w:tc>
                <w:tcPr>
                  <w:tcW w:w="432" w:type="pct"/>
                  <w:noWrap w:val="0"/>
                  <w:vAlign w:val="center"/>
                </w:tcPr>
                <w:p w14:paraId="131B9A41">
                  <w:pPr>
                    <w:keepNext w:val="0"/>
                    <w:keepLines w:val="0"/>
                    <w:pageBreakBefore w:val="0"/>
                    <w:widowControl w:val="0"/>
                    <w:tabs>
                      <w:tab w:val="left" w:pos="-108"/>
                      <w:tab w:val="left" w:pos="627"/>
                      <w:tab w:val="left" w:pos="942"/>
                    </w:tabs>
                    <w:kinsoku/>
                    <w:wordWrap/>
                    <w:overflowPunct/>
                    <w:topLinePunct w:val="0"/>
                    <w:autoSpaceDE/>
                    <w:autoSpaceDN/>
                    <w:bidi w:val="0"/>
                    <w:adjustRightInd/>
                    <w:snapToGrid/>
                    <w:spacing w:line="240" w:lineRule="auto"/>
                    <w:jc w:val="center"/>
                    <w:textAlignment w:val="auto"/>
                    <w:outlineLvl w:val="1"/>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氮氧化物</w:t>
                  </w:r>
                </w:p>
              </w:tc>
              <w:tc>
                <w:tcPr>
                  <w:tcW w:w="584" w:type="pct"/>
                  <w:noWrap w:val="0"/>
                  <w:vAlign w:val="center"/>
                </w:tcPr>
                <w:p w14:paraId="5F84FD68">
                  <w:pPr>
                    <w:keepNext w:val="0"/>
                    <w:keepLines w:val="0"/>
                    <w:pageBreakBefore w:val="0"/>
                    <w:widowControl w:val="0"/>
                    <w:tabs>
                      <w:tab w:val="left" w:pos="-108"/>
                      <w:tab w:val="left" w:pos="627"/>
                      <w:tab w:val="left" w:pos="942"/>
                    </w:tabs>
                    <w:kinsoku/>
                    <w:wordWrap/>
                    <w:overflowPunct/>
                    <w:topLinePunct w:val="0"/>
                    <w:autoSpaceDE/>
                    <w:autoSpaceDN/>
                    <w:bidi w:val="0"/>
                    <w:adjustRightInd/>
                    <w:snapToGrid/>
                    <w:spacing w:line="240" w:lineRule="auto"/>
                    <w:jc w:val="center"/>
                    <w:textAlignment w:val="auto"/>
                    <w:outlineLvl w:val="1"/>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w:t>
                  </w:r>
                </w:p>
              </w:tc>
              <w:tc>
                <w:tcPr>
                  <w:tcW w:w="751" w:type="pct"/>
                  <w:noWrap w:val="0"/>
                  <w:vAlign w:val="center"/>
                </w:tcPr>
                <w:p w14:paraId="14A2C113">
                  <w:pPr>
                    <w:keepNext w:val="0"/>
                    <w:keepLines w:val="0"/>
                    <w:pageBreakBefore w:val="0"/>
                    <w:widowControl w:val="0"/>
                    <w:tabs>
                      <w:tab w:val="left" w:pos="-108"/>
                      <w:tab w:val="left" w:pos="627"/>
                      <w:tab w:val="left" w:pos="942"/>
                    </w:tabs>
                    <w:kinsoku/>
                    <w:wordWrap/>
                    <w:overflowPunct/>
                    <w:topLinePunct w:val="0"/>
                    <w:autoSpaceDE/>
                    <w:autoSpaceDN/>
                    <w:bidi w:val="0"/>
                    <w:adjustRightInd/>
                    <w:snapToGrid/>
                    <w:spacing w:line="240" w:lineRule="auto"/>
                    <w:jc w:val="center"/>
                    <w:textAlignment w:val="auto"/>
                    <w:outlineLvl w:val="1"/>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50</w:t>
                  </w:r>
                  <w:r>
                    <w:rPr>
                      <w:rFonts w:hint="default" w:ascii="Times New Roman" w:hAnsi="Times New Roman" w:eastAsia="宋体" w:cs="Times New Roman"/>
                      <w:b w:val="0"/>
                      <w:bCs w:val="0"/>
                      <w:color w:val="000000" w:themeColor="text1"/>
                      <w:sz w:val="21"/>
                      <w:szCs w:val="21"/>
                      <w:highlight w:val="none"/>
                      <w:vertAlign w:val="superscript"/>
                      <w:lang w:val="en-US" w:eastAsia="zh-CN"/>
                      <w14:textFill>
                        <w14:solidFill>
                          <w14:schemeClr w14:val="tx1"/>
                        </w14:solidFill>
                      </w14:textFill>
                    </w:rPr>
                    <w:t>d</w:t>
                  </w:r>
                </w:p>
                <w:p w14:paraId="0754AAC9">
                  <w:pPr>
                    <w:keepNext w:val="0"/>
                    <w:keepLines w:val="0"/>
                    <w:pageBreakBefore w:val="0"/>
                    <w:widowControl w:val="0"/>
                    <w:tabs>
                      <w:tab w:val="left" w:pos="-108"/>
                      <w:tab w:val="left" w:pos="627"/>
                      <w:tab w:val="left" w:pos="942"/>
                    </w:tabs>
                    <w:kinsoku/>
                    <w:wordWrap/>
                    <w:overflowPunct/>
                    <w:topLinePunct w:val="0"/>
                    <w:autoSpaceDE/>
                    <w:autoSpaceDN/>
                    <w:bidi w:val="0"/>
                    <w:adjustRightInd/>
                    <w:snapToGrid/>
                    <w:spacing w:line="240" w:lineRule="auto"/>
                    <w:jc w:val="center"/>
                    <w:textAlignment w:val="auto"/>
                    <w:outlineLvl w:val="1"/>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(100</w:t>
                  </w:r>
                  <w:r>
                    <w:rPr>
                      <w:rFonts w:hint="default" w:ascii="Times New Roman" w:hAnsi="Times New Roman" w:eastAsia="宋体" w:cs="Times New Roman"/>
                      <w:b w:val="0"/>
                      <w:bCs w:val="0"/>
                      <w:color w:val="000000" w:themeColor="text1"/>
                      <w:sz w:val="21"/>
                      <w:szCs w:val="21"/>
                      <w:highlight w:val="none"/>
                      <w:vertAlign w:val="superscript"/>
                      <w:lang w:val="en-US" w:eastAsia="zh-CN"/>
                      <w14:textFill>
                        <w14:solidFill>
                          <w14:schemeClr w14:val="tx1"/>
                        </w14:solidFill>
                      </w14:textFill>
                    </w:rPr>
                    <w:t>e)</w:t>
                  </w:r>
                </w:p>
              </w:tc>
              <w:tc>
                <w:tcPr>
                  <w:tcW w:w="1040" w:type="pct"/>
                  <w:noWrap w:val="0"/>
                  <w:vAlign w:val="center"/>
                </w:tcPr>
                <w:p w14:paraId="565850F7">
                  <w:pPr>
                    <w:keepNext w:val="0"/>
                    <w:keepLines w:val="0"/>
                    <w:pageBreakBefore w:val="0"/>
                    <w:widowControl w:val="0"/>
                    <w:tabs>
                      <w:tab w:val="left" w:pos="-108"/>
                      <w:tab w:val="left" w:pos="627"/>
                      <w:tab w:val="left" w:pos="942"/>
                    </w:tabs>
                    <w:kinsoku/>
                    <w:wordWrap/>
                    <w:overflowPunct/>
                    <w:topLinePunct w:val="0"/>
                    <w:autoSpaceDE/>
                    <w:autoSpaceDN/>
                    <w:bidi w:val="0"/>
                    <w:adjustRightInd/>
                    <w:snapToGrid/>
                    <w:spacing w:line="240" w:lineRule="auto"/>
                    <w:jc w:val="center"/>
                    <w:textAlignment w:val="auto"/>
                    <w:outlineLvl w:val="1"/>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100</w:t>
                  </w:r>
                  <w:r>
                    <w:rPr>
                      <w:rFonts w:hint="default" w:ascii="Times New Roman" w:hAnsi="Times New Roman" w:eastAsia="宋体" w:cs="Times New Roman"/>
                      <w:b w:val="0"/>
                      <w:bCs w:val="0"/>
                      <w:color w:val="000000" w:themeColor="text1"/>
                      <w:sz w:val="21"/>
                      <w:szCs w:val="21"/>
                      <w:highlight w:val="none"/>
                      <w:vertAlign w:val="superscript"/>
                      <w:lang w:val="en-US" w:eastAsia="zh-CN"/>
                      <w14:textFill>
                        <w14:solidFill>
                          <w14:schemeClr w14:val="tx1"/>
                        </w14:solidFill>
                      </w14:textFill>
                    </w:rPr>
                    <w:t>d</w:t>
                  </w:r>
                </w:p>
                <w:p w14:paraId="7F222CEE">
                  <w:pPr>
                    <w:keepNext w:val="0"/>
                    <w:keepLines w:val="0"/>
                    <w:pageBreakBefore w:val="0"/>
                    <w:widowControl w:val="0"/>
                    <w:tabs>
                      <w:tab w:val="left" w:pos="-108"/>
                      <w:tab w:val="left" w:pos="627"/>
                      <w:tab w:val="left" w:pos="942"/>
                    </w:tabs>
                    <w:kinsoku/>
                    <w:wordWrap/>
                    <w:overflowPunct/>
                    <w:topLinePunct w:val="0"/>
                    <w:autoSpaceDE/>
                    <w:autoSpaceDN/>
                    <w:bidi w:val="0"/>
                    <w:adjustRightInd/>
                    <w:snapToGrid/>
                    <w:spacing w:line="240" w:lineRule="auto"/>
                    <w:jc w:val="center"/>
                    <w:textAlignment w:val="auto"/>
                    <w:outlineLvl w:val="1"/>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(150</w:t>
                  </w:r>
                  <w:r>
                    <w:rPr>
                      <w:rFonts w:hint="default" w:ascii="Times New Roman" w:hAnsi="Times New Roman" w:eastAsia="宋体" w:cs="Times New Roman"/>
                      <w:b w:val="0"/>
                      <w:bCs w:val="0"/>
                      <w:color w:val="000000" w:themeColor="text1"/>
                      <w:sz w:val="21"/>
                      <w:szCs w:val="21"/>
                      <w:highlight w:val="none"/>
                      <w:vertAlign w:val="superscript"/>
                      <w:lang w:val="en-US" w:eastAsia="zh-CN"/>
                      <w14:textFill>
                        <w14:solidFill>
                          <w14:schemeClr w14:val="tx1"/>
                        </w14:solidFill>
                      </w14:textFill>
                    </w:rPr>
                    <w:t>e)</w:t>
                  </w:r>
                </w:p>
              </w:tc>
              <w:tc>
                <w:tcPr>
                  <w:tcW w:w="810" w:type="pct"/>
                  <w:noWrap w:val="0"/>
                  <w:vAlign w:val="center"/>
                </w:tcPr>
                <w:p w14:paraId="2C998A2E">
                  <w:pPr>
                    <w:keepNext w:val="0"/>
                    <w:keepLines w:val="0"/>
                    <w:pageBreakBefore w:val="0"/>
                    <w:widowControl w:val="0"/>
                    <w:tabs>
                      <w:tab w:val="left" w:pos="-108"/>
                      <w:tab w:val="left" w:pos="627"/>
                      <w:tab w:val="left" w:pos="942"/>
                    </w:tabs>
                    <w:kinsoku/>
                    <w:wordWrap/>
                    <w:overflowPunct/>
                    <w:topLinePunct w:val="0"/>
                    <w:autoSpaceDE/>
                    <w:autoSpaceDN/>
                    <w:bidi w:val="0"/>
                    <w:adjustRightInd/>
                    <w:snapToGrid/>
                    <w:spacing w:line="240" w:lineRule="auto"/>
                    <w:jc w:val="center"/>
                    <w:textAlignment w:val="auto"/>
                    <w:outlineLvl w:val="1"/>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200</w:t>
                  </w:r>
                  <w:r>
                    <w:rPr>
                      <w:rFonts w:hint="default" w:ascii="Times New Roman" w:hAnsi="Times New Roman" w:eastAsia="宋体" w:cs="Times New Roman"/>
                      <w:b w:val="0"/>
                      <w:bCs w:val="0"/>
                      <w:color w:val="000000" w:themeColor="text1"/>
                      <w:sz w:val="21"/>
                      <w:szCs w:val="21"/>
                      <w:highlight w:val="none"/>
                      <w:vertAlign w:val="superscript"/>
                      <w:lang w:val="en-US" w:eastAsia="zh-CN"/>
                      <w14:textFill>
                        <w14:solidFill>
                          <w14:schemeClr w14:val="tx1"/>
                        </w14:solidFill>
                      </w14:textFill>
                    </w:rPr>
                    <w:t>d</w:t>
                  </w:r>
                </w:p>
                <w:p w14:paraId="1014C621">
                  <w:pPr>
                    <w:keepNext w:val="0"/>
                    <w:keepLines w:val="0"/>
                    <w:pageBreakBefore w:val="0"/>
                    <w:widowControl w:val="0"/>
                    <w:tabs>
                      <w:tab w:val="left" w:pos="-108"/>
                      <w:tab w:val="left" w:pos="627"/>
                      <w:tab w:val="left" w:pos="942"/>
                    </w:tabs>
                    <w:kinsoku/>
                    <w:wordWrap/>
                    <w:overflowPunct/>
                    <w:topLinePunct w:val="0"/>
                    <w:autoSpaceDE/>
                    <w:autoSpaceDN/>
                    <w:bidi w:val="0"/>
                    <w:adjustRightInd/>
                    <w:snapToGrid/>
                    <w:spacing w:line="240" w:lineRule="auto"/>
                    <w:jc w:val="center"/>
                    <w:textAlignment w:val="auto"/>
                    <w:outlineLvl w:val="1"/>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(250</w:t>
                  </w:r>
                  <w:r>
                    <w:rPr>
                      <w:rFonts w:hint="default" w:ascii="Times New Roman" w:hAnsi="Times New Roman" w:eastAsia="宋体" w:cs="Times New Roman"/>
                      <w:b w:val="0"/>
                      <w:bCs w:val="0"/>
                      <w:color w:val="000000" w:themeColor="text1"/>
                      <w:sz w:val="21"/>
                      <w:szCs w:val="21"/>
                      <w:highlight w:val="none"/>
                      <w:vertAlign w:val="superscript"/>
                      <w:lang w:val="en-US" w:eastAsia="zh-CN"/>
                      <w14:textFill>
                        <w14:solidFill>
                          <w14:schemeClr w14:val="tx1"/>
                        </w14:solidFill>
                      </w14:textFill>
                    </w:rPr>
                    <w:t>e)</w:t>
                  </w:r>
                </w:p>
              </w:tc>
              <w:tc>
                <w:tcPr>
                  <w:tcW w:w="672" w:type="pct"/>
                  <w:noWrap w:val="0"/>
                  <w:vAlign w:val="center"/>
                </w:tcPr>
                <w:p w14:paraId="269F5C3F">
                  <w:pPr>
                    <w:keepNext w:val="0"/>
                    <w:keepLines w:val="0"/>
                    <w:pageBreakBefore w:val="0"/>
                    <w:widowControl w:val="0"/>
                    <w:tabs>
                      <w:tab w:val="left" w:pos="-108"/>
                      <w:tab w:val="left" w:pos="627"/>
                      <w:tab w:val="left" w:pos="942"/>
                    </w:tabs>
                    <w:kinsoku/>
                    <w:wordWrap/>
                    <w:overflowPunct/>
                    <w:topLinePunct w:val="0"/>
                    <w:autoSpaceDE/>
                    <w:autoSpaceDN/>
                    <w:bidi w:val="0"/>
                    <w:adjustRightInd/>
                    <w:snapToGrid/>
                    <w:spacing w:line="240" w:lineRule="auto"/>
                    <w:jc w:val="center"/>
                    <w:textAlignment w:val="auto"/>
                    <w:outlineLvl w:val="1"/>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w:t>
                  </w:r>
                </w:p>
              </w:tc>
              <w:tc>
                <w:tcPr>
                  <w:tcW w:w="457" w:type="pct"/>
                  <w:vMerge w:val="continue"/>
                  <w:noWrap w:val="0"/>
                  <w:vAlign w:val="top"/>
                </w:tcPr>
                <w:p w14:paraId="4E2F56DB">
                  <w:pPr>
                    <w:keepNext w:val="0"/>
                    <w:keepLines w:val="0"/>
                    <w:pageBreakBefore w:val="0"/>
                    <w:widowControl w:val="0"/>
                    <w:tabs>
                      <w:tab w:val="left" w:pos="-108"/>
                      <w:tab w:val="left" w:pos="627"/>
                      <w:tab w:val="left" w:pos="942"/>
                    </w:tabs>
                    <w:kinsoku/>
                    <w:wordWrap/>
                    <w:overflowPunct/>
                    <w:topLinePunct w:val="0"/>
                    <w:autoSpaceDE/>
                    <w:autoSpaceDN/>
                    <w:bidi w:val="0"/>
                    <w:adjustRightInd/>
                    <w:snapToGrid/>
                    <w:spacing w:line="240" w:lineRule="auto"/>
                    <w:jc w:val="center"/>
                    <w:textAlignment w:val="auto"/>
                    <w:outlineLvl w:val="1"/>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p>
              </w:tc>
            </w:tr>
            <w:tr w14:paraId="71B1D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 w:type="pct"/>
                  <w:noWrap w:val="0"/>
                  <w:vAlign w:val="center"/>
                </w:tcPr>
                <w:p w14:paraId="689A1459">
                  <w:pPr>
                    <w:keepNext w:val="0"/>
                    <w:keepLines w:val="0"/>
                    <w:pageBreakBefore w:val="0"/>
                    <w:widowControl w:val="0"/>
                    <w:tabs>
                      <w:tab w:val="left" w:pos="-108"/>
                      <w:tab w:val="left" w:pos="627"/>
                      <w:tab w:val="left" w:pos="942"/>
                    </w:tabs>
                    <w:kinsoku/>
                    <w:wordWrap/>
                    <w:overflowPunct/>
                    <w:topLinePunct w:val="0"/>
                    <w:autoSpaceDE/>
                    <w:autoSpaceDN/>
                    <w:bidi w:val="0"/>
                    <w:adjustRightInd/>
                    <w:snapToGrid/>
                    <w:spacing w:line="240" w:lineRule="auto"/>
                    <w:jc w:val="center"/>
                    <w:textAlignment w:val="auto"/>
                    <w:outlineLvl w:val="1"/>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4</w:t>
                  </w:r>
                </w:p>
              </w:tc>
              <w:tc>
                <w:tcPr>
                  <w:tcW w:w="432" w:type="pct"/>
                  <w:noWrap w:val="0"/>
                  <w:vAlign w:val="center"/>
                </w:tcPr>
                <w:p w14:paraId="1193D912">
                  <w:pPr>
                    <w:keepNext w:val="0"/>
                    <w:keepLines w:val="0"/>
                    <w:pageBreakBefore w:val="0"/>
                    <w:widowControl w:val="0"/>
                    <w:tabs>
                      <w:tab w:val="left" w:pos="-108"/>
                      <w:tab w:val="left" w:pos="627"/>
                      <w:tab w:val="left" w:pos="942"/>
                    </w:tabs>
                    <w:kinsoku/>
                    <w:wordWrap/>
                    <w:overflowPunct/>
                    <w:topLinePunct w:val="0"/>
                    <w:autoSpaceDE/>
                    <w:autoSpaceDN/>
                    <w:bidi w:val="0"/>
                    <w:adjustRightInd/>
                    <w:snapToGrid/>
                    <w:spacing w:line="240" w:lineRule="auto"/>
                    <w:jc w:val="center"/>
                    <w:textAlignment w:val="auto"/>
                    <w:outlineLvl w:val="1"/>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氨</w:t>
                  </w:r>
                </w:p>
              </w:tc>
              <w:tc>
                <w:tcPr>
                  <w:tcW w:w="584" w:type="pct"/>
                  <w:noWrap w:val="0"/>
                  <w:vAlign w:val="center"/>
                </w:tcPr>
                <w:p w14:paraId="7ACA87B6">
                  <w:pPr>
                    <w:keepNext w:val="0"/>
                    <w:keepLines w:val="0"/>
                    <w:pageBreakBefore w:val="0"/>
                    <w:widowControl w:val="0"/>
                    <w:tabs>
                      <w:tab w:val="left" w:pos="-108"/>
                      <w:tab w:val="left" w:pos="627"/>
                      <w:tab w:val="left" w:pos="942"/>
                    </w:tabs>
                    <w:kinsoku/>
                    <w:wordWrap/>
                    <w:overflowPunct/>
                    <w:topLinePunct w:val="0"/>
                    <w:autoSpaceDE/>
                    <w:autoSpaceDN/>
                    <w:bidi w:val="0"/>
                    <w:adjustRightInd/>
                    <w:snapToGrid/>
                    <w:spacing w:line="240" w:lineRule="auto"/>
                    <w:jc w:val="center"/>
                    <w:textAlignment w:val="auto"/>
                    <w:outlineLvl w:val="1"/>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w:t>
                  </w:r>
                </w:p>
              </w:tc>
              <w:tc>
                <w:tcPr>
                  <w:tcW w:w="751" w:type="pct"/>
                  <w:noWrap w:val="0"/>
                  <w:vAlign w:val="center"/>
                </w:tcPr>
                <w:p w14:paraId="2A96713B">
                  <w:pPr>
                    <w:keepNext w:val="0"/>
                    <w:keepLines w:val="0"/>
                    <w:pageBreakBefore w:val="0"/>
                    <w:widowControl w:val="0"/>
                    <w:tabs>
                      <w:tab w:val="left" w:pos="-108"/>
                      <w:tab w:val="left" w:pos="627"/>
                      <w:tab w:val="left" w:pos="942"/>
                    </w:tabs>
                    <w:kinsoku/>
                    <w:wordWrap/>
                    <w:overflowPunct/>
                    <w:topLinePunct w:val="0"/>
                    <w:autoSpaceDE/>
                    <w:autoSpaceDN/>
                    <w:bidi w:val="0"/>
                    <w:adjustRightInd/>
                    <w:snapToGrid/>
                    <w:spacing w:line="240" w:lineRule="auto"/>
                    <w:jc w:val="center"/>
                    <w:textAlignment w:val="auto"/>
                    <w:outlineLvl w:val="1"/>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8</w:t>
                  </w:r>
                  <w:r>
                    <w:rPr>
                      <w:rFonts w:hint="eastAsia" w:ascii="Times New Roman" w:hAnsi="Times New Roman" w:eastAsia="宋体" w:cs="Times New Roman"/>
                      <w:b w:val="0"/>
                      <w:bCs w:val="0"/>
                      <w:color w:val="000000" w:themeColor="text1"/>
                      <w:sz w:val="21"/>
                      <w:szCs w:val="21"/>
                      <w:highlight w:val="none"/>
                      <w:vertAlign w:val="superscript"/>
                      <w:lang w:val="en-US" w:eastAsia="zh-CN"/>
                      <w14:textFill>
                        <w14:solidFill>
                          <w14:schemeClr w14:val="tx1"/>
                        </w14:solidFill>
                      </w14:textFill>
                    </w:rPr>
                    <w:t>j</w:t>
                  </w:r>
                </w:p>
              </w:tc>
              <w:tc>
                <w:tcPr>
                  <w:tcW w:w="1040" w:type="pct"/>
                  <w:noWrap w:val="0"/>
                  <w:vAlign w:val="center"/>
                </w:tcPr>
                <w:p w14:paraId="5CD8516E">
                  <w:pPr>
                    <w:keepNext w:val="0"/>
                    <w:keepLines w:val="0"/>
                    <w:pageBreakBefore w:val="0"/>
                    <w:widowControl w:val="0"/>
                    <w:tabs>
                      <w:tab w:val="left" w:pos="-108"/>
                      <w:tab w:val="left" w:pos="627"/>
                      <w:tab w:val="left" w:pos="942"/>
                    </w:tabs>
                    <w:kinsoku/>
                    <w:wordWrap/>
                    <w:overflowPunct/>
                    <w:topLinePunct w:val="0"/>
                    <w:autoSpaceDE/>
                    <w:autoSpaceDN/>
                    <w:bidi w:val="0"/>
                    <w:adjustRightInd/>
                    <w:snapToGrid/>
                    <w:spacing w:line="240" w:lineRule="auto"/>
                    <w:jc w:val="center"/>
                    <w:textAlignment w:val="auto"/>
                    <w:outlineLvl w:val="1"/>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8</w:t>
                  </w:r>
                  <w:r>
                    <w:rPr>
                      <w:rFonts w:hint="eastAsia" w:ascii="Times New Roman" w:hAnsi="Times New Roman" w:eastAsia="宋体" w:cs="Times New Roman"/>
                      <w:b w:val="0"/>
                      <w:bCs w:val="0"/>
                      <w:color w:val="000000" w:themeColor="text1"/>
                      <w:sz w:val="21"/>
                      <w:szCs w:val="21"/>
                      <w:highlight w:val="none"/>
                      <w:vertAlign w:val="superscript"/>
                      <w:lang w:val="en-US" w:eastAsia="zh-CN"/>
                      <w14:textFill>
                        <w14:solidFill>
                          <w14:schemeClr w14:val="tx1"/>
                        </w14:solidFill>
                      </w14:textFill>
                    </w:rPr>
                    <w:t>j</w:t>
                  </w:r>
                </w:p>
              </w:tc>
              <w:tc>
                <w:tcPr>
                  <w:tcW w:w="810" w:type="pct"/>
                  <w:noWrap w:val="0"/>
                  <w:vAlign w:val="center"/>
                </w:tcPr>
                <w:p w14:paraId="75600B02">
                  <w:pPr>
                    <w:keepNext w:val="0"/>
                    <w:keepLines w:val="0"/>
                    <w:pageBreakBefore w:val="0"/>
                    <w:widowControl w:val="0"/>
                    <w:tabs>
                      <w:tab w:val="left" w:pos="-108"/>
                      <w:tab w:val="left" w:pos="627"/>
                      <w:tab w:val="left" w:pos="942"/>
                    </w:tabs>
                    <w:kinsoku/>
                    <w:wordWrap/>
                    <w:overflowPunct/>
                    <w:topLinePunct w:val="0"/>
                    <w:autoSpaceDE/>
                    <w:autoSpaceDN/>
                    <w:bidi w:val="0"/>
                    <w:adjustRightInd/>
                    <w:snapToGrid/>
                    <w:spacing w:line="240" w:lineRule="auto"/>
                    <w:jc w:val="center"/>
                    <w:textAlignment w:val="auto"/>
                    <w:outlineLvl w:val="1"/>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8</w:t>
                  </w:r>
                  <w:r>
                    <w:rPr>
                      <w:rFonts w:hint="eastAsia" w:ascii="Times New Roman" w:hAnsi="Times New Roman" w:eastAsia="宋体" w:cs="Times New Roman"/>
                      <w:b w:val="0"/>
                      <w:bCs w:val="0"/>
                      <w:color w:val="000000" w:themeColor="text1"/>
                      <w:sz w:val="21"/>
                      <w:szCs w:val="21"/>
                      <w:highlight w:val="none"/>
                      <w:vertAlign w:val="superscript"/>
                      <w:lang w:val="en-US" w:eastAsia="zh-CN"/>
                      <w14:textFill>
                        <w14:solidFill>
                          <w14:schemeClr w14:val="tx1"/>
                        </w14:solidFill>
                      </w14:textFill>
                    </w:rPr>
                    <w:t>j</w:t>
                  </w:r>
                </w:p>
              </w:tc>
              <w:tc>
                <w:tcPr>
                  <w:tcW w:w="672" w:type="pct"/>
                  <w:noWrap w:val="0"/>
                  <w:vAlign w:val="center"/>
                </w:tcPr>
                <w:p w14:paraId="16C8DC2E">
                  <w:pPr>
                    <w:keepNext w:val="0"/>
                    <w:keepLines w:val="0"/>
                    <w:pageBreakBefore w:val="0"/>
                    <w:widowControl w:val="0"/>
                    <w:tabs>
                      <w:tab w:val="left" w:pos="-108"/>
                      <w:tab w:val="left" w:pos="627"/>
                      <w:tab w:val="left" w:pos="942"/>
                    </w:tabs>
                    <w:kinsoku/>
                    <w:wordWrap/>
                    <w:overflowPunct/>
                    <w:topLinePunct w:val="0"/>
                    <w:autoSpaceDE/>
                    <w:autoSpaceDN/>
                    <w:bidi w:val="0"/>
                    <w:adjustRightInd/>
                    <w:snapToGrid/>
                    <w:spacing w:line="240" w:lineRule="auto"/>
                    <w:jc w:val="center"/>
                    <w:textAlignment w:val="auto"/>
                    <w:outlineLvl w:val="1"/>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w:t>
                  </w:r>
                </w:p>
              </w:tc>
              <w:tc>
                <w:tcPr>
                  <w:tcW w:w="457" w:type="pct"/>
                  <w:vMerge w:val="continue"/>
                  <w:noWrap w:val="0"/>
                  <w:vAlign w:val="top"/>
                </w:tcPr>
                <w:p w14:paraId="03CFA638">
                  <w:pPr>
                    <w:keepNext w:val="0"/>
                    <w:keepLines w:val="0"/>
                    <w:pageBreakBefore w:val="0"/>
                    <w:widowControl w:val="0"/>
                    <w:tabs>
                      <w:tab w:val="left" w:pos="-108"/>
                      <w:tab w:val="left" w:pos="627"/>
                      <w:tab w:val="left" w:pos="942"/>
                    </w:tabs>
                    <w:kinsoku/>
                    <w:wordWrap/>
                    <w:overflowPunct/>
                    <w:topLinePunct w:val="0"/>
                    <w:autoSpaceDE/>
                    <w:autoSpaceDN/>
                    <w:bidi w:val="0"/>
                    <w:adjustRightInd/>
                    <w:snapToGrid/>
                    <w:spacing w:line="240" w:lineRule="auto"/>
                    <w:jc w:val="center"/>
                    <w:textAlignment w:val="auto"/>
                    <w:outlineLvl w:val="1"/>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p>
              </w:tc>
            </w:tr>
            <w:tr w14:paraId="7AA2A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8"/>
                  <w:noWrap w:val="0"/>
                  <w:vAlign w:val="top"/>
                </w:tcPr>
                <w:p w14:paraId="5CABBC40">
                  <w:pPr>
                    <w:keepNext w:val="0"/>
                    <w:keepLines w:val="0"/>
                    <w:widowControl/>
                    <w:suppressLineNumbers w:val="0"/>
                    <w:jc w:val="left"/>
                    <w:rPr>
                      <w:rFonts w:hint="default" w:ascii="Times New Roman" w:hAnsi="Times New Roman" w:cs="Times New Roman"/>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val="0"/>
                      <w:color w:val="000000" w:themeColor="text1"/>
                      <w:sz w:val="18"/>
                      <w:szCs w:val="18"/>
                      <w:highlight w:val="none"/>
                      <w:vertAlign w:val="baseline"/>
                      <w:lang w:val="en-US" w:eastAsia="zh-CN"/>
                      <w14:textFill>
                        <w14:solidFill>
                          <w14:schemeClr w14:val="tx1"/>
                        </w14:solidFill>
                      </w14:textFill>
                    </w:rPr>
                    <w:t>注：a</w:t>
                  </w:r>
                  <w:r>
                    <w:rPr>
                      <w:rFonts w:hint="default" w:ascii="Times New Roman" w:hAnsi="Times New Roman" w:eastAsia="宋体" w:cs="Times New Roman"/>
                      <w:color w:val="000000" w:themeColor="text1"/>
                      <w:kern w:val="0"/>
                      <w:sz w:val="18"/>
                      <w:szCs w:val="18"/>
                      <w:highlight w:val="none"/>
                      <w:lang w:val="en-US" w:eastAsia="zh-CN" w:bidi="ar"/>
                      <w14:textFill>
                        <w14:solidFill>
                          <w14:schemeClr w14:val="tx1"/>
                        </w14:solidFill>
                      </w14:textFill>
                    </w:rPr>
                    <w:t>窑炉温度（</w:t>
                  </w:r>
                  <w:r>
                    <w:rPr>
                      <w:rFonts w:hint="default" w:ascii="Times New Roman" w:hAnsi="Times New Roman" w:eastAsia="宋体" w:cs="Times New Roman"/>
                      <w:i/>
                      <w:iCs/>
                      <w:color w:val="000000" w:themeColor="text1"/>
                      <w:kern w:val="0"/>
                      <w:sz w:val="18"/>
                      <w:szCs w:val="18"/>
                      <w:highlight w:val="none"/>
                      <w:lang w:val="en-US" w:eastAsia="zh-CN" w:bidi="ar"/>
                      <w14:textFill>
                        <w14:solidFill>
                          <w14:schemeClr w14:val="tx1"/>
                        </w14:solidFill>
                      </w14:textFill>
                    </w:rPr>
                    <w:t>t</w:t>
                  </w:r>
                  <w:r>
                    <w:rPr>
                      <w:rFonts w:hint="default" w:ascii="Times New Roman" w:hAnsi="Times New Roman" w:eastAsia="宋体" w:cs="Times New Roman"/>
                      <w:color w:val="000000" w:themeColor="text1"/>
                      <w:kern w:val="0"/>
                      <w:sz w:val="18"/>
                      <w:szCs w:val="18"/>
                      <w:highlight w:val="none"/>
                      <w:lang w:val="en-US" w:eastAsia="zh-CN" w:bidi="ar"/>
                      <w14:textFill>
                        <w14:solidFill>
                          <w14:schemeClr w14:val="tx1"/>
                        </w14:solidFill>
                      </w14:textFill>
                    </w:rPr>
                    <w:t>）根据附录A或环评文件、排污许可证、设计文件中最高的窑炉烧成或焙烧温度确定。b全电隧道窑、全电梭式窑仅执行颗粒物排放限值。</w:t>
                  </w:r>
                </w:p>
                <w:p w14:paraId="3A60D988">
                  <w:pPr>
                    <w:keepNext w:val="0"/>
                    <w:keepLines w:val="0"/>
                    <w:widowControl/>
                    <w:suppressLineNumbers w:val="0"/>
                    <w:jc w:val="left"/>
                    <w:rPr>
                      <w:rFonts w:hint="default" w:ascii="Times New Roman" w:hAnsi="Times New Roman" w:cs="Times New Roman"/>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val="0"/>
                      <w:color w:val="000000" w:themeColor="text1"/>
                      <w:sz w:val="18"/>
                      <w:szCs w:val="18"/>
                      <w:highlight w:val="none"/>
                      <w:vertAlign w:val="baseline"/>
                      <w:lang w:val="en-US" w:eastAsia="zh-CN"/>
                      <w14:textFill>
                        <w14:solidFill>
                          <w14:schemeClr w14:val="tx1"/>
                        </w14:solidFill>
                      </w14:textFill>
                    </w:rPr>
                    <w:t>d</w:t>
                  </w:r>
                  <w:r>
                    <w:rPr>
                      <w:rFonts w:hint="default" w:ascii="Times New Roman" w:hAnsi="Times New Roman" w:eastAsia="宋体" w:cs="Times New Roman"/>
                      <w:color w:val="000000" w:themeColor="text1"/>
                      <w:kern w:val="0"/>
                      <w:sz w:val="18"/>
                      <w:szCs w:val="18"/>
                      <w:highlight w:val="none"/>
                      <w:lang w:val="en-US" w:eastAsia="zh-CN" w:bidi="ar"/>
                      <w14:textFill>
                        <w14:solidFill>
                          <w14:schemeClr w14:val="tx1"/>
                        </w14:solidFill>
                      </w14:textFill>
                    </w:rPr>
                    <w:t>适用于新建企业和2030年1月1日以后的现有企业。</w:t>
                  </w:r>
                </w:p>
                <w:p w14:paraId="47DF4D3A">
                  <w:pPr>
                    <w:keepNext w:val="0"/>
                    <w:keepLines w:val="0"/>
                    <w:widowControl/>
                    <w:suppressLineNumbers w:val="0"/>
                    <w:jc w:val="left"/>
                    <w:rPr>
                      <w:rFonts w:hint="default" w:ascii="Times New Roman" w:hAnsi="Times New Roman" w:eastAsia="宋体" w:cs="Times New Roman"/>
                      <w:color w:val="000000" w:themeColor="text1"/>
                      <w:kern w:val="0"/>
                      <w:sz w:val="18"/>
                      <w:szCs w:val="18"/>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18"/>
                      <w:szCs w:val="18"/>
                      <w:highlight w:val="none"/>
                      <w:lang w:val="en-US" w:eastAsia="zh-CN" w:bidi="ar"/>
                      <w14:textFill>
                        <w14:solidFill>
                          <w14:schemeClr w14:val="tx1"/>
                        </w14:solidFill>
                      </w14:textFill>
                    </w:rPr>
                    <w:t>e适用于2030年1月1日以前的现有企业。</w:t>
                  </w:r>
                </w:p>
                <w:p w14:paraId="7A192412">
                  <w:pPr>
                    <w:pStyle w:val="9"/>
                    <w:keepNext w:val="0"/>
                    <w:keepLines w:val="0"/>
                    <w:pageBreakBefore w:val="0"/>
                    <w:widowControl w:val="0"/>
                    <w:kinsoku/>
                    <w:wordWrap/>
                    <w:overflowPunct/>
                    <w:topLinePunct w:val="0"/>
                    <w:autoSpaceDE/>
                    <w:autoSpaceDN/>
                    <w:bidi w:val="0"/>
                    <w:adjustRightInd/>
                    <w:snapToGrid/>
                    <w:spacing w:after="0"/>
                    <w:ind w:left="0" w:leftChars="0" w:firstLine="0" w:firstLineChars="0"/>
                    <w:textAlignment w:val="auto"/>
                    <w:rPr>
                      <w:rFonts w:hint="default"/>
                      <w:color w:val="000000" w:themeColor="text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18"/>
                      <w:szCs w:val="18"/>
                      <w:highlight w:val="none"/>
                      <w:vertAlign w:val="baseline"/>
                      <w:lang w:val="en-US" w:eastAsia="zh-CN"/>
                      <w14:textFill>
                        <w14:solidFill>
                          <w14:schemeClr w14:val="tx1"/>
                        </w14:solidFill>
                      </w14:textFill>
                    </w:rPr>
                    <w:t>j</w:t>
                  </w:r>
                  <w:r>
                    <w:rPr>
                      <w:rFonts w:hint="eastAsia" w:ascii="Times New Roman" w:hAnsi="Times New Roman" w:eastAsia="宋体" w:cs="Times New Roman"/>
                      <w:color w:val="000000" w:themeColor="text1"/>
                      <w:kern w:val="0"/>
                      <w:sz w:val="18"/>
                      <w:szCs w:val="18"/>
                      <w:highlight w:val="none"/>
                      <w:lang w:val="en-US" w:eastAsia="zh-CN" w:bidi="ar"/>
                      <w14:textFill>
                        <w14:solidFill>
                          <w14:schemeClr w14:val="tx1"/>
                        </w14:solidFill>
                      </w14:textFill>
                    </w:rPr>
                    <w:t>适用于烟气处理使用氨水、尿素等含氨物质。</w:t>
                  </w:r>
                </w:p>
              </w:tc>
            </w:tr>
          </w:tbl>
          <w:p w14:paraId="35E8A394">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
                <w:bCs/>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2"/>
                <w:sz w:val="24"/>
                <w:szCs w:val="24"/>
                <w:highlight w:val="none"/>
                <w:lang w:val="en-US" w:eastAsia="zh-CN" w:bidi="ar-SA"/>
                <w14:textFill>
                  <w14:solidFill>
                    <w14:schemeClr w14:val="tx1"/>
                  </w14:solidFill>
                </w14:textFill>
              </w:rPr>
              <w:t>表3-</w:t>
            </w:r>
            <w:r>
              <w:rPr>
                <w:rFonts w:hint="eastAsia" w:cs="Times New Roman"/>
                <w:b/>
                <w:bCs/>
                <w:color w:val="000000" w:themeColor="text1"/>
                <w:kern w:val="2"/>
                <w:sz w:val="24"/>
                <w:szCs w:val="24"/>
                <w:highlight w:val="none"/>
                <w:lang w:val="en-US" w:eastAsia="zh-CN" w:bidi="ar-SA"/>
                <w14:textFill>
                  <w14:solidFill>
                    <w14:schemeClr w14:val="tx1"/>
                  </w14:solidFill>
                </w14:textFill>
              </w:rPr>
              <w:t>9</w:t>
            </w:r>
            <w:r>
              <w:rPr>
                <w:rFonts w:hint="eastAsia" w:ascii="Times New Roman" w:hAnsi="Times New Roman" w:eastAsia="宋体" w:cs="Times New Roman"/>
                <w:b/>
                <w:bCs/>
                <w:color w:val="000000" w:themeColor="text1"/>
                <w:kern w:val="2"/>
                <w:sz w:val="24"/>
                <w:szCs w:val="24"/>
                <w:highlight w:val="none"/>
                <w:lang w:val="en-US" w:eastAsia="zh-CN" w:bidi="ar-SA"/>
                <w14:textFill>
                  <w14:solidFill>
                    <w14:schemeClr w14:val="tx1"/>
                  </w14:solidFill>
                </w14:textFill>
              </w:rPr>
              <w:t>基准氧含量</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50"/>
              <w:gridCol w:w="4250"/>
            </w:tblGrid>
            <w:tr w14:paraId="6D077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0" w:type="dxa"/>
                </w:tcPr>
                <w:p w14:paraId="5397651B">
                  <w:pPr>
                    <w:pStyle w:val="8"/>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color w:val="000000" w:themeColor="text1"/>
                      <w:sz w:val="21"/>
                      <w:szCs w:val="21"/>
                      <w:highlight w:val="none"/>
                      <w:vertAlign w:val="baseline"/>
                      <w:lang w:val="en-US" w:eastAsia="zh-CN"/>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窑炉类型</w:t>
                  </w:r>
                </w:p>
              </w:tc>
              <w:tc>
                <w:tcPr>
                  <w:tcW w:w="4250" w:type="dxa"/>
                </w:tcPr>
                <w:p w14:paraId="42216A2D">
                  <w:pPr>
                    <w:pStyle w:val="8"/>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color w:val="000000" w:themeColor="text1"/>
                      <w:sz w:val="21"/>
                      <w:szCs w:val="21"/>
                      <w:highlight w:val="none"/>
                      <w:vertAlign w:val="baseline"/>
                      <w:lang w:val="en-US" w:eastAsia="zh-CN"/>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烟气基准含氧量，%</w:t>
                  </w:r>
                </w:p>
              </w:tc>
            </w:tr>
            <w:tr w14:paraId="5B492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0" w:type="dxa"/>
                </w:tcPr>
                <w:p w14:paraId="696B27ED">
                  <w:pPr>
                    <w:pStyle w:val="8"/>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color w:val="000000" w:themeColor="text1"/>
                      <w:sz w:val="21"/>
                      <w:szCs w:val="21"/>
                      <w:highlight w:val="none"/>
                      <w:vertAlign w:val="baseline"/>
                      <w:lang w:val="en-US" w:eastAsia="zh-CN"/>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竖窑、回转窑</w:t>
                  </w:r>
                </w:p>
              </w:tc>
              <w:tc>
                <w:tcPr>
                  <w:tcW w:w="4250" w:type="dxa"/>
                </w:tcPr>
                <w:p w14:paraId="645FD41B">
                  <w:pPr>
                    <w:pStyle w:val="8"/>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color w:val="000000" w:themeColor="text1"/>
                      <w:sz w:val="21"/>
                      <w:szCs w:val="21"/>
                      <w:highlight w:val="none"/>
                      <w:vertAlign w:val="baseline"/>
                      <w:lang w:val="en-US" w:eastAsia="zh-CN"/>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16</w:t>
                  </w:r>
                </w:p>
              </w:tc>
            </w:tr>
          </w:tbl>
          <w:p w14:paraId="5617C6A8">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2"/>
                <w:sz w:val="24"/>
                <w:szCs w:val="24"/>
                <w:highlight w:val="none"/>
                <w:lang w:val="en-US" w:eastAsia="zh-CN" w:bidi="ar-SA"/>
                <w14:textFill>
                  <w14:solidFill>
                    <w14:schemeClr w14:val="tx1"/>
                  </w14:solidFill>
                </w14:textFill>
              </w:rPr>
              <w:t>表3-</w:t>
            </w:r>
            <w:r>
              <w:rPr>
                <w:rFonts w:hint="eastAsia" w:ascii="Times New Roman" w:hAnsi="Times New Roman" w:eastAsia="宋体" w:cs="Times New Roman"/>
                <w:b/>
                <w:bCs/>
                <w:color w:val="000000" w:themeColor="text1"/>
                <w:kern w:val="2"/>
                <w:sz w:val="24"/>
                <w:szCs w:val="24"/>
                <w:highlight w:val="none"/>
                <w:lang w:val="en-US" w:eastAsia="zh-CN" w:bidi="ar-SA"/>
                <w14:textFill>
                  <w14:solidFill>
                    <w14:schemeClr w14:val="tx1"/>
                  </w14:solidFill>
                </w14:textFill>
              </w:rPr>
              <w:t>1</w:t>
            </w:r>
            <w:r>
              <w:rPr>
                <w:rFonts w:hint="eastAsia" w:cs="Times New Roman"/>
                <w:b/>
                <w:bCs/>
                <w:color w:val="000000" w:themeColor="text1"/>
                <w:kern w:val="2"/>
                <w:sz w:val="24"/>
                <w:szCs w:val="24"/>
                <w:highlight w:val="none"/>
                <w:lang w:val="en-US" w:eastAsia="zh-CN" w:bidi="ar-SA"/>
                <w14:textFill>
                  <w14:solidFill>
                    <w14:schemeClr w14:val="tx1"/>
                  </w14:solidFill>
                </w14:textFill>
              </w:rPr>
              <w:t>0</w:t>
            </w:r>
            <w:r>
              <w:rPr>
                <w:rFonts w:hint="default" w:ascii="Times New Roman" w:hAnsi="Times New Roman" w:eastAsia="宋体" w:cs="Times New Roman"/>
                <w:b/>
                <w:bCs/>
                <w:color w:val="000000" w:themeColor="text1"/>
                <w:kern w:val="2"/>
                <w:sz w:val="24"/>
                <w:szCs w:val="24"/>
                <w:highlight w:val="none"/>
                <w:lang w:val="en-US" w:eastAsia="zh-CN" w:bidi="ar-SA"/>
                <w14:textFill>
                  <w14:solidFill>
                    <w14:schemeClr w14:val="tx1"/>
                  </w14:solidFill>
                </w14:textFill>
              </w:rPr>
              <w:t>耐火材料工业大气污染物排放标准</w:t>
            </w:r>
          </w:p>
          <w:tbl>
            <w:tblPr>
              <w:tblStyle w:val="2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258"/>
              <w:gridCol w:w="1467"/>
              <w:gridCol w:w="2648"/>
              <w:gridCol w:w="1957"/>
            </w:tblGrid>
            <w:tr w14:paraId="498A9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96" w:type="pct"/>
                  <w:noWrap w:val="0"/>
                  <w:vAlign w:val="center"/>
                </w:tcPr>
                <w:p w14:paraId="4CCC81AA">
                  <w:pPr>
                    <w:keepNext w:val="0"/>
                    <w:keepLines w:val="0"/>
                    <w:pageBreakBefore w:val="0"/>
                    <w:widowControl/>
                    <w:tabs>
                      <w:tab w:val="left" w:pos="-108"/>
                      <w:tab w:val="left" w:pos="627"/>
                      <w:tab w:val="left" w:pos="942"/>
                    </w:tabs>
                    <w:kinsoku/>
                    <w:wordWrap/>
                    <w:overflowPunct/>
                    <w:topLinePunct w:val="0"/>
                    <w:autoSpaceDE/>
                    <w:autoSpaceDN/>
                    <w:bidi w:val="0"/>
                    <w:adjustRightInd/>
                    <w:snapToGrid/>
                    <w:spacing w:line="240" w:lineRule="auto"/>
                    <w:jc w:val="center"/>
                    <w:textAlignment w:val="auto"/>
                    <w:outlineLvl w:val="1"/>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序号</w:t>
                  </w:r>
                </w:p>
              </w:tc>
              <w:tc>
                <w:tcPr>
                  <w:tcW w:w="790" w:type="pct"/>
                  <w:noWrap w:val="0"/>
                  <w:vAlign w:val="center"/>
                </w:tcPr>
                <w:p w14:paraId="02135B8E">
                  <w:pPr>
                    <w:keepNext w:val="0"/>
                    <w:keepLines w:val="0"/>
                    <w:pageBreakBefore w:val="0"/>
                    <w:widowControl/>
                    <w:tabs>
                      <w:tab w:val="left" w:pos="-108"/>
                      <w:tab w:val="left" w:pos="627"/>
                      <w:tab w:val="left" w:pos="942"/>
                    </w:tabs>
                    <w:kinsoku/>
                    <w:wordWrap/>
                    <w:overflowPunct/>
                    <w:topLinePunct w:val="0"/>
                    <w:autoSpaceDE/>
                    <w:autoSpaceDN/>
                    <w:bidi w:val="0"/>
                    <w:adjustRightInd/>
                    <w:snapToGrid/>
                    <w:spacing w:line="240" w:lineRule="auto"/>
                    <w:jc w:val="center"/>
                    <w:textAlignment w:val="auto"/>
                    <w:outlineLvl w:val="1"/>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污染物</w:t>
                  </w:r>
                </w:p>
                <w:p w14:paraId="0F0B6C6D">
                  <w:pPr>
                    <w:keepNext w:val="0"/>
                    <w:keepLines w:val="0"/>
                    <w:pageBreakBefore w:val="0"/>
                    <w:widowControl/>
                    <w:tabs>
                      <w:tab w:val="left" w:pos="-108"/>
                      <w:tab w:val="left" w:pos="627"/>
                      <w:tab w:val="left" w:pos="942"/>
                    </w:tabs>
                    <w:kinsoku/>
                    <w:wordWrap/>
                    <w:overflowPunct/>
                    <w:topLinePunct w:val="0"/>
                    <w:autoSpaceDE/>
                    <w:autoSpaceDN/>
                    <w:bidi w:val="0"/>
                    <w:adjustRightInd/>
                    <w:snapToGrid/>
                    <w:spacing w:line="240" w:lineRule="auto"/>
                    <w:jc w:val="center"/>
                    <w:textAlignment w:val="auto"/>
                    <w:outlineLvl w:val="1"/>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项目</w:t>
                  </w:r>
                </w:p>
              </w:tc>
              <w:tc>
                <w:tcPr>
                  <w:tcW w:w="921" w:type="pct"/>
                  <w:noWrap w:val="0"/>
                  <w:vAlign w:val="center"/>
                </w:tcPr>
                <w:p w14:paraId="55725D73">
                  <w:pPr>
                    <w:keepNext w:val="0"/>
                    <w:keepLines w:val="0"/>
                    <w:pageBreakBefore w:val="0"/>
                    <w:widowControl/>
                    <w:tabs>
                      <w:tab w:val="left" w:pos="-108"/>
                      <w:tab w:val="left" w:pos="627"/>
                      <w:tab w:val="left" w:pos="942"/>
                    </w:tabs>
                    <w:kinsoku/>
                    <w:wordWrap/>
                    <w:overflowPunct/>
                    <w:topLinePunct w:val="0"/>
                    <w:autoSpaceDE/>
                    <w:autoSpaceDN/>
                    <w:bidi w:val="0"/>
                    <w:adjustRightInd/>
                    <w:snapToGrid/>
                    <w:spacing w:line="240" w:lineRule="auto"/>
                    <w:jc w:val="center"/>
                    <w:textAlignment w:val="auto"/>
                    <w:outlineLvl w:val="1"/>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监控浓度</w:t>
                  </w:r>
                </w:p>
                <w:p w14:paraId="29F5B38F">
                  <w:pPr>
                    <w:keepNext w:val="0"/>
                    <w:keepLines w:val="0"/>
                    <w:pageBreakBefore w:val="0"/>
                    <w:widowControl/>
                    <w:tabs>
                      <w:tab w:val="left" w:pos="-108"/>
                      <w:tab w:val="left" w:pos="627"/>
                      <w:tab w:val="left" w:pos="942"/>
                    </w:tabs>
                    <w:kinsoku/>
                    <w:wordWrap/>
                    <w:overflowPunct/>
                    <w:topLinePunct w:val="0"/>
                    <w:autoSpaceDE/>
                    <w:autoSpaceDN/>
                    <w:bidi w:val="0"/>
                    <w:adjustRightInd/>
                    <w:snapToGrid/>
                    <w:spacing w:line="240" w:lineRule="auto"/>
                    <w:jc w:val="center"/>
                    <w:textAlignment w:val="auto"/>
                    <w:outlineLvl w:val="1"/>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限值</w:t>
                  </w:r>
                </w:p>
              </w:tc>
              <w:tc>
                <w:tcPr>
                  <w:tcW w:w="1663" w:type="pct"/>
                  <w:noWrap w:val="0"/>
                  <w:vAlign w:val="center"/>
                </w:tcPr>
                <w:p w14:paraId="46E31668">
                  <w:pPr>
                    <w:keepNext w:val="0"/>
                    <w:keepLines w:val="0"/>
                    <w:pageBreakBefore w:val="0"/>
                    <w:widowControl/>
                    <w:tabs>
                      <w:tab w:val="left" w:pos="-108"/>
                      <w:tab w:val="left" w:pos="627"/>
                      <w:tab w:val="left" w:pos="942"/>
                    </w:tabs>
                    <w:kinsoku/>
                    <w:wordWrap/>
                    <w:overflowPunct/>
                    <w:topLinePunct w:val="0"/>
                    <w:autoSpaceDE/>
                    <w:autoSpaceDN/>
                    <w:bidi w:val="0"/>
                    <w:adjustRightInd/>
                    <w:snapToGrid/>
                    <w:spacing w:line="240" w:lineRule="auto"/>
                    <w:jc w:val="center"/>
                    <w:textAlignment w:val="auto"/>
                    <w:outlineLvl w:val="1"/>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限值含义</w:t>
                  </w:r>
                </w:p>
              </w:tc>
              <w:tc>
                <w:tcPr>
                  <w:tcW w:w="1229" w:type="pct"/>
                  <w:noWrap w:val="0"/>
                  <w:vAlign w:val="center"/>
                </w:tcPr>
                <w:p w14:paraId="04CF27A3">
                  <w:pPr>
                    <w:keepNext w:val="0"/>
                    <w:keepLines w:val="0"/>
                    <w:pageBreakBefore w:val="0"/>
                    <w:widowControl/>
                    <w:tabs>
                      <w:tab w:val="left" w:pos="-108"/>
                      <w:tab w:val="left" w:pos="627"/>
                      <w:tab w:val="left" w:pos="942"/>
                    </w:tabs>
                    <w:kinsoku/>
                    <w:wordWrap/>
                    <w:overflowPunct/>
                    <w:topLinePunct w:val="0"/>
                    <w:autoSpaceDE/>
                    <w:autoSpaceDN/>
                    <w:bidi w:val="0"/>
                    <w:adjustRightInd/>
                    <w:snapToGrid/>
                    <w:spacing w:line="240" w:lineRule="auto"/>
                    <w:jc w:val="center"/>
                    <w:textAlignment w:val="auto"/>
                    <w:outlineLvl w:val="1"/>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无组织排放监控位置</w:t>
                  </w:r>
                </w:p>
              </w:tc>
            </w:tr>
            <w:tr w14:paraId="2F2D9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pct"/>
                  <w:noWrap w:val="0"/>
                  <w:vAlign w:val="center"/>
                </w:tcPr>
                <w:p w14:paraId="7B46E2B6">
                  <w:pPr>
                    <w:keepNext w:val="0"/>
                    <w:keepLines w:val="0"/>
                    <w:pageBreakBefore w:val="0"/>
                    <w:widowControl/>
                    <w:tabs>
                      <w:tab w:val="left" w:pos="-108"/>
                      <w:tab w:val="left" w:pos="627"/>
                      <w:tab w:val="left" w:pos="942"/>
                    </w:tabs>
                    <w:kinsoku/>
                    <w:wordWrap/>
                    <w:overflowPunct/>
                    <w:topLinePunct w:val="0"/>
                    <w:autoSpaceDE/>
                    <w:autoSpaceDN/>
                    <w:bidi w:val="0"/>
                    <w:adjustRightInd/>
                    <w:snapToGrid/>
                    <w:spacing w:line="240" w:lineRule="auto"/>
                    <w:jc w:val="center"/>
                    <w:textAlignment w:val="auto"/>
                    <w:outlineLvl w:val="1"/>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1</w:t>
                  </w:r>
                </w:p>
              </w:tc>
              <w:tc>
                <w:tcPr>
                  <w:tcW w:w="790" w:type="pct"/>
                  <w:vMerge w:val="restart"/>
                  <w:noWrap w:val="0"/>
                  <w:vAlign w:val="center"/>
                </w:tcPr>
                <w:p w14:paraId="211D2C9B">
                  <w:pPr>
                    <w:keepNext w:val="0"/>
                    <w:keepLines w:val="0"/>
                    <w:pageBreakBefore w:val="0"/>
                    <w:widowControl/>
                    <w:tabs>
                      <w:tab w:val="left" w:pos="-108"/>
                      <w:tab w:val="left" w:pos="627"/>
                      <w:tab w:val="left" w:pos="942"/>
                    </w:tabs>
                    <w:kinsoku/>
                    <w:wordWrap/>
                    <w:overflowPunct/>
                    <w:topLinePunct w:val="0"/>
                    <w:autoSpaceDE/>
                    <w:autoSpaceDN/>
                    <w:bidi w:val="0"/>
                    <w:adjustRightInd/>
                    <w:snapToGrid/>
                    <w:spacing w:line="240" w:lineRule="auto"/>
                    <w:jc w:val="center"/>
                    <w:textAlignment w:val="auto"/>
                    <w:outlineLvl w:val="1"/>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颗粒物</w:t>
                  </w:r>
                </w:p>
              </w:tc>
              <w:tc>
                <w:tcPr>
                  <w:tcW w:w="921" w:type="pct"/>
                  <w:noWrap w:val="0"/>
                  <w:vAlign w:val="center"/>
                </w:tcPr>
                <w:p w14:paraId="3E6DC6DA">
                  <w:pPr>
                    <w:keepNext w:val="0"/>
                    <w:keepLines w:val="0"/>
                    <w:pageBreakBefore w:val="0"/>
                    <w:widowControl/>
                    <w:tabs>
                      <w:tab w:val="left" w:pos="-108"/>
                      <w:tab w:val="left" w:pos="627"/>
                      <w:tab w:val="left" w:pos="942"/>
                    </w:tabs>
                    <w:kinsoku/>
                    <w:wordWrap/>
                    <w:overflowPunct/>
                    <w:topLinePunct w:val="0"/>
                    <w:autoSpaceDE/>
                    <w:autoSpaceDN/>
                    <w:bidi w:val="0"/>
                    <w:adjustRightInd/>
                    <w:snapToGrid/>
                    <w:spacing w:line="240" w:lineRule="auto"/>
                    <w:jc w:val="center"/>
                    <w:textAlignment w:val="auto"/>
                    <w:outlineLvl w:val="1"/>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3</w:t>
                  </w:r>
                </w:p>
              </w:tc>
              <w:tc>
                <w:tcPr>
                  <w:tcW w:w="1663" w:type="pct"/>
                  <w:noWrap w:val="0"/>
                  <w:vAlign w:val="center"/>
                </w:tcPr>
                <w:p w14:paraId="59E4E3B7">
                  <w:pPr>
                    <w:keepNext w:val="0"/>
                    <w:keepLines w:val="0"/>
                    <w:pageBreakBefore w:val="0"/>
                    <w:widowControl/>
                    <w:tabs>
                      <w:tab w:val="left" w:pos="-108"/>
                      <w:tab w:val="left" w:pos="627"/>
                      <w:tab w:val="left" w:pos="942"/>
                    </w:tabs>
                    <w:kinsoku/>
                    <w:wordWrap/>
                    <w:overflowPunct/>
                    <w:topLinePunct w:val="0"/>
                    <w:autoSpaceDE/>
                    <w:autoSpaceDN/>
                    <w:bidi w:val="0"/>
                    <w:adjustRightInd/>
                    <w:snapToGrid/>
                    <w:spacing w:line="240" w:lineRule="auto"/>
                    <w:jc w:val="center"/>
                    <w:textAlignment w:val="auto"/>
                    <w:outlineLvl w:val="1"/>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监控点处1h平均浓度值</w:t>
                  </w:r>
                </w:p>
              </w:tc>
              <w:tc>
                <w:tcPr>
                  <w:tcW w:w="1229" w:type="pct"/>
                  <w:vMerge w:val="restart"/>
                  <w:noWrap w:val="0"/>
                  <w:vAlign w:val="center"/>
                </w:tcPr>
                <w:p w14:paraId="287ABAAC">
                  <w:pPr>
                    <w:keepNext w:val="0"/>
                    <w:keepLines w:val="0"/>
                    <w:pageBreakBefore w:val="0"/>
                    <w:widowControl/>
                    <w:tabs>
                      <w:tab w:val="left" w:pos="-108"/>
                      <w:tab w:val="left" w:pos="627"/>
                      <w:tab w:val="left" w:pos="942"/>
                    </w:tabs>
                    <w:kinsoku/>
                    <w:wordWrap/>
                    <w:overflowPunct/>
                    <w:topLinePunct w:val="0"/>
                    <w:autoSpaceDE/>
                    <w:autoSpaceDN/>
                    <w:bidi w:val="0"/>
                    <w:adjustRightInd/>
                    <w:snapToGrid/>
                    <w:spacing w:line="240" w:lineRule="auto"/>
                    <w:jc w:val="center"/>
                    <w:textAlignment w:val="auto"/>
                    <w:outlineLvl w:val="1"/>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在厂房外设置监控点</w:t>
                  </w:r>
                </w:p>
              </w:tc>
            </w:tr>
            <w:tr w14:paraId="750BE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pct"/>
                  <w:noWrap w:val="0"/>
                  <w:vAlign w:val="center"/>
                </w:tcPr>
                <w:p w14:paraId="09953A12">
                  <w:pPr>
                    <w:keepNext w:val="0"/>
                    <w:keepLines w:val="0"/>
                    <w:pageBreakBefore w:val="0"/>
                    <w:widowControl/>
                    <w:tabs>
                      <w:tab w:val="left" w:pos="-108"/>
                      <w:tab w:val="left" w:pos="627"/>
                      <w:tab w:val="left" w:pos="942"/>
                    </w:tabs>
                    <w:kinsoku/>
                    <w:wordWrap/>
                    <w:overflowPunct/>
                    <w:topLinePunct w:val="0"/>
                    <w:autoSpaceDE/>
                    <w:autoSpaceDN/>
                    <w:bidi w:val="0"/>
                    <w:adjustRightInd/>
                    <w:snapToGrid/>
                    <w:spacing w:line="240" w:lineRule="auto"/>
                    <w:jc w:val="center"/>
                    <w:textAlignment w:val="auto"/>
                    <w:outlineLvl w:val="1"/>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2</w:t>
                  </w:r>
                </w:p>
              </w:tc>
              <w:tc>
                <w:tcPr>
                  <w:tcW w:w="790" w:type="pct"/>
                  <w:vMerge w:val="continue"/>
                  <w:noWrap w:val="0"/>
                  <w:vAlign w:val="center"/>
                </w:tcPr>
                <w:p w14:paraId="44B61B72">
                  <w:pPr>
                    <w:keepNext w:val="0"/>
                    <w:keepLines w:val="0"/>
                    <w:pageBreakBefore w:val="0"/>
                    <w:widowControl/>
                    <w:tabs>
                      <w:tab w:val="left" w:pos="-108"/>
                      <w:tab w:val="left" w:pos="627"/>
                      <w:tab w:val="left" w:pos="942"/>
                    </w:tabs>
                    <w:kinsoku/>
                    <w:wordWrap/>
                    <w:overflowPunct/>
                    <w:topLinePunct w:val="0"/>
                    <w:autoSpaceDE/>
                    <w:autoSpaceDN/>
                    <w:bidi w:val="0"/>
                    <w:adjustRightInd/>
                    <w:snapToGrid/>
                    <w:spacing w:line="240" w:lineRule="auto"/>
                    <w:jc w:val="center"/>
                    <w:textAlignment w:val="auto"/>
                    <w:outlineLvl w:val="1"/>
                    <w:rPr>
                      <w:rFonts w:hint="default" w:ascii="Times New Roman" w:hAnsi="Times New Roman" w:eastAsia="宋体" w:cs="Times New Roman"/>
                      <w:b w:val="0"/>
                      <w:bCs w:val="0"/>
                      <w:color w:val="000000" w:themeColor="text1"/>
                      <w:sz w:val="21"/>
                      <w:szCs w:val="21"/>
                      <w:highlight w:val="none"/>
                      <w:vertAlign w:val="baseline"/>
                      <w14:textFill>
                        <w14:solidFill>
                          <w14:schemeClr w14:val="tx1"/>
                        </w14:solidFill>
                      </w14:textFill>
                    </w:rPr>
                  </w:pPr>
                </w:p>
              </w:tc>
              <w:tc>
                <w:tcPr>
                  <w:tcW w:w="921" w:type="pct"/>
                  <w:noWrap w:val="0"/>
                  <w:vAlign w:val="center"/>
                </w:tcPr>
                <w:p w14:paraId="7D197BDB">
                  <w:pPr>
                    <w:keepNext w:val="0"/>
                    <w:keepLines w:val="0"/>
                    <w:pageBreakBefore w:val="0"/>
                    <w:widowControl/>
                    <w:tabs>
                      <w:tab w:val="left" w:pos="-108"/>
                      <w:tab w:val="left" w:pos="627"/>
                      <w:tab w:val="left" w:pos="942"/>
                    </w:tabs>
                    <w:kinsoku/>
                    <w:wordWrap/>
                    <w:overflowPunct/>
                    <w:topLinePunct w:val="0"/>
                    <w:autoSpaceDE/>
                    <w:autoSpaceDN/>
                    <w:bidi w:val="0"/>
                    <w:adjustRightInd/>
                    <w:snapToGrid/>
                    <w:spacing w:line="240" w:lineRule="auto"/>
                    <w:jc w:val="center"/>
                    <w:textAlignment w:val="auto"/>
                    <w:outlineLvl w:val="1"/>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9</w:t>
                  </w:r>
                </w:p>
              </w:tc>
              <w:tc>
                <w:tcPr>
                  <w:tcW w:w="1663" w:type="pct"/>
                  <w:noWrap w:val="0"/>
                  <w:vAlign w:val="center"/>
                </w:tcPr>
                <w:p w14:paraId="1C132524">
                  <w:pPr>
                    <w:keepNext w:val="0"/>
                    <w:keepLines w:val="0"/>
                    <w:pageBreakBefore w:val="0"/>
                    <w:widowControl/>
                    <w:tabs>
                      <w:tab w:val="left" w:pos="-108"/>
                      <w:tab w:val="left" w:pos="627"/>
                      <w:tab w:val="left" w:pos="942"/>
                    </w:tabs>
                    <w:kinsoku/>
                    <w:wordWrap/>
                    <w:overflowPunct/>
                    <w:topLinePunct w:val="0"/>
                    <w:autoSpaceDE/>
                    <w:autoSpaceDN/>
                    <w:bidi w:val="0"/>
                    <w:adjustRightInd/>
                    <w:snapToGrid/>
                    <w:spacing w:line="240" w:lineRule="auto"/>
                    <w:jc w:val="center"/>
                    <w:textAlignment w:val="auto"/>
                    <w:outlineLvl w:val="1"/>
                    <w:rPr>
                      <w:rFonts w:hint="default" w:ascii="Times New Roman" w:hAnsi="Times New Roman" w:eastAsia="宋体" w:cs="Times New Roman"/>
                      <w:b w:val="0"/>
                      <w:bCs w:val="0"/>
                      <w:color w:val="000000" w:themeColor="text1"/>
                      <w:sz w:val="21"/>
                      <w:szCs w:val="21"/>
                      <w:highlight w:val="none"/>
                      <w:vertAlign w:val="baseli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监控点处任意一次浓度值</w:t>
                  </w:r>
                </w:p>
              </w:tc>
              <w:tc>
                <w:tcPr>
                  <w:tcW w:w="1229" w:type="pct"/>
                  <w:vMerge w:val="continue"/>
                  <w:noWrap w:val="0"/>
                  <w:vAlign w:val="center"/>
                </w:tcPr>
                <w:p w14:paraId="3F8A34CA">
                  <w:pPr>
                    <w:keepNext w:val="0"/>
                    <w:keepLines w:val="0"/>
                    <w:pageBreakBefore w:val="0"/>
                    <w:widowControl/>
                    <w:tabs>
                      <w:tab w:val="left" w:pos="-108"/>
                      <w:tab w:val="left" w:pos="627"/>
                      <w:tab w:val="left" w:pos="942"/>
                    </w:tabs>
                    <w:kinsoku/>
                    <w:wordWrap/>
                    <w:overflowPunct/>
                    <w:topLinePunct w:val="0"/>
                    <w:autoSpaceDE/>
                    <w:autoSpaceDN/>
                    <w:bidi w:val="0"/>
                    <w:adjustRightInd/>
                    <w:snapToGrid/>
                    <w:spacing w:line="240" w:lineRule="auto"/>
                    <w:jc w:val="center"/>
                    <w:textAlignment w:val="auto"/>
                    <w:outlineLvl w:val="1"/>
                    <w:rPr>
                      <w:rFonts w:hint="default" w:ascii="Times New Roman" w:hAnsi="Times New Roman" w:eastAsia="宋体" w:cs="Times New Roman"/>
                      <w:b w:val="0"/>
                      <w:bCs w:val="0"/>
                      <w:color w:val="000000" w:themeColor="text1"/>
                      <w:sz w:val="21"/>
                      <w:szCs w:val="21"/>
                      <w:highlight w:val="none"/>
                      <w:vertAlign w:val="baseline"/>
                      <w14:textFill>
                        <w14:solidFill>
                          <w14:schemeClr w14:val="tx1"/>
                        </w14:solidFill>
                      </w14:textFill>
                    </w:rPr>
                  </w:pPr>
                </w:p>
              </w:tc>
            </w:tr>
          </w:tbl>
          <w:p w14:paraId="73324111">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
                <w:bCs/>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bCs/>
                <w:color w:val="000000" w:themeColor="text1"/>
                <w:kern w:val="2"/>
                <w:sz w:val="24"/>
                <w:szCs w:val="24"/>
                <w:highlight w:val="none"/>
                <w:lang w:val="en-US" w:eastAsia="zh-CN" w:bidi="ar-SA"/>
                <w14:textFill>
                  <w14:solidFill>
                    <w14:schemeClr w14:val="tx1"/>
                  </w14:solidFill>
                </w14:textFill>
              </w:rPr>
              <w:t>表3-1</w:t>
            </w:r>
            <w:r>
              <w:rPr>
                <w:rFonts w:hint="eastAsia" w:cs="Times New Roman"/>
                <w:b/>
                <w:bCs/>
                <w:color w:val="000000" w:themeColor="text1"/>
                <w:kern w:val="2"/>
                <w:sz w:val="24"/>
                <w:szCs w:val="24"/>
                <w:highlight w:val="none"/>
                <w:lang w:val="en-US" w:eastAsia="zh-CN" w:bidi="ar-SA"/>
                <w14:textFill>
                  <w14:solidFill>
                    <w14:schemeClr w14:val="tx1"/>
                  </w14:solidFill>
                </w14:textFill>
              </w:rPr>
              <w:t>1</w:t>
            </w:r>
            <w:r>
              <w:rPr>
                <w:rFonts w:hint="eastAsia" w:ascii="Times New Roman" w:hAnsi="Times New Roman" w:eastAsia="宋体" w:cs="Times New Roman"/>
                <w:b/>
                <w:bCs/>
                <w:color w:val="000000" w:themeColor="text1"/>
                <w:kern w:val="2"/>
                <w:sz w:val="24"/>
                <w:szCs w:val="24"/>
                <w:highlight w:val="none"/>
                <w:lang w:val="en-US" w:eastAsia="zh-CN" w:bidi="ar-SA"/>
                <w14:textFill>
                  <w14:solidFill>
                    <w14:schemeClr w14:val="tx1"/>
                  </w14:solidFill>
                </w14:textFill>
              </w:rPr>
              <w:t>《大气污染物综合排放标准》</w:t>
            </w:r>
          </w:p>
          <w:tbl>
            <w:tblPr>
              <w:tblStyle w:val="2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
              <w:gridCol w:w="930"/>
              <w:gridCol w:w="1112"/>
              <w:gridCol w:w="855"/>
              <w:gridCol w:w="3675"/>
              <w:gridCol w:w="524"/>
            </w:tblGrid>
            <w:tr w14:paraId="13390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3" w:type="pct"/>
                  <w:noWrap w:val="0"/>
                  <w:vAlign w:val="center"/>
                </w:tcPr>
                <w:p w14:paraId="27FE84AC">
                  <w:pPr>
                    <w:pStyle w:val="119"/>
                    <w:keepNext w:val="0"/>
                    <w:keepLines w:val="0"/>
                    <w:pageBreakBefore w:val="0"/>
                    <w:widowControl w:val="0"/>
                    <w:kinsoku/>
                    <w:wordWrap/>
                    <w:overflowPunct/>
                    <w:topLinePunct w:val="0"/>
                    <w:autoSpaceDE/>
                    <w:autoSpaceDN/>
                    <w:bidi w:val="0"/>
                    <w:adjustRightInd w:val="0"/>
                    <w:snapToGrid w:val="0"/>
                    <w:spacing w:line="240" w:lineRule="auto"/>
                    <w:jc w:val="center"/>
                    <w:textAlignment w:val="center"/>
                    <w:rPr>
                      <w:rFonts w:hint="eastAsia" w:cs="Times New Roman"/>
                      <w:color w:val="000000" w:themeColor="text1"/>
                      <w:sz w:val="21"/>
                      <w:szCs w:val="21"/>
                      <w:highlight w:val="none"/>
                      <w:vertAlign w:val="baseline"/>
                      <w:lang w:val="en-US" w:eastAsia="zh-CN"/>
                      <w14:textFill>
                        <w14:solidFill>
                          <w14:schemeClr w14:val="tx1"/>
                        </w14:solidFill>
                      </w14:textFill>
                    </w:rPr>
                  </w:pPr>
                  <w:r>
                    <w:rPr>
                      <w:rFonts w:hint="eastAsia" w:cs="Times New Roman"/>
                      <w:color w:val="000000" w:themeColor="text1"/>
                      <w:sz w:val="21"/>
                      <w:szCs w:val="21"/>
                      <w:highlight w:val="none"/>
                      <w:vertAlign w:val="baseline"/>
                      <w:lang w:val="en-US" w:eastAsia="zh-CN"/>
                      <w14:textFill>
                        <w14:solidFill>
                          <w14:schemeClr w14:val="tx1"/>
                        </w14:solidFill>
                      </w14:textFill>
                    </w:rPr>
                    <w:t>排放</w:t>
                  </w:r>
                </w:p>
                <w:p w14:paraId="3711DF86">
                  <w:pPr>
                    <w:pStyle w:val="119"/>
                    <w:keepNext w:val="0"/>
                    <w:keepLines w:val="0"/>
                    <w:pageBreakBefore w:val="0"/>
                    <w:widowControl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cs="Times New Roman"/>
                      <w:color w:val="000000" w:themeColor="text1"/>
                      <w:sz w:val="21"/>
                      <w:szCs w:val="21"/>
                      <w:highlight w:val="none"/>
                      <w:vertAlign w:val="baseline"/>
                      <w:lang w:val="en-US" w:eastAsia="zh-CN"/>
                      <w14:textFill>
                        <w14:solidFill>
                          <w14:schemeClr w14:val="tx1"/>
                        </w14:solidFill>
                      </w14:textFill>
                    </w:rPr>
                    <w:t>形式</w:t>
                  </w:r>
                </w:p>
              </w:tc>
              <w:tc>
                <w:tcPr>
                  <w:tcW w:w="584" w:type="pct"/>
                  <w:noWrap w:val="0"/>
                  <w:vAlign w:val="center"/>
                </w:tcPr>
                <w:p w14:paraId="3B1FC5BB">
                  <w:pPr>
                    <w:pStyle w:val="119"/>
                    <w:keepNext w:val="0"/>
                    <w:keepLines w:val="0"/>
                    <w:pageBreakBefore w:val="0"/>
                    <w:widowControl w:val="0"/>
                    <w:kinsoku/>
                    <w:wordWrap/>
                    <w:overflowPunct/>
                    <w:topLinePunct w:val="0"/>
                    <w:autoSpaceDE/>
                    <w:autoSpaceDN/>
                    <w:bidi w:val="0"/>
                    <w:adjustRightInd w:val="0"/>
                    <w:snapToGrid w:val="0"/>
                    <w:spacing w:line="240" w:lineRule="auto"/>
                    <w:jc w:val="center"/>
                    <w:textAlignment w:val="cente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污染物</w:t>
                  </w:r>
                </w:p>
              </w:tc>
              <w:tc>
                <w:tcPr>
                  <w:tcW w:w="698" w:type="pct"/>
                  <w:shd w:val="clear" w:color="auto" w:fill="auto"/>
                  <w:noWrap w:val="0"/>
                  <w:vAlign w:val="center"/>
                </w:tcPr>
                <w:p w14:paraId="2117FCBA">
                  <w:pPr>
                    <w:pStyle w:val="119"/>
                    <w:keepNext w:val="0"/>
                    <w:keepLines w:val="0"/>
                    <w:pageBreakBefore w:val="0"/>
                    <w:widowControl w:val="0"/>
                    <w:kinsoku/>
                    <w:wordWrap/>
                    <w:overflowPunct/>
                    <w:topLinePunct w:val="0"/>
                    <w:autoSpaceDE/>
                    <w:autoSpaceDN/>
                    <w:bidi w:val="0"/>
                    <w:adjustRightInd w:val="0"/>
                    <w:snapToGrid w:val="0"/>
                    <w:spacing w:line="240" w:lineRule="auto"/>
                    <w:jc w:val="center"/>
                    <w:textAlignment w:val="center"/>
                    <w:rPr>
                      <w:rFonts w:hint="eastAsia" w:ascii="Times New Roman" w:hAnsi="Times New Roman" w:eastAsia="宋体" w:cs="Times New Roman"/>
                      <w:color w:val="000000" w:themeColor="text1"/>
                      <w:sz w:val="21"/>
                      <w:szCs w:val="21"/>
                      <w:highlight w:val="none"/>
                      <w:vertAlign w:val="baseline"/>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浓度限值mg/Nm</w:t>
                  </w:r>
                  <w:r>
                    <w:rPr>
                      <w:rFonts w:hint="eastAsia" w:ascii="Times New Roman" w:hAnsi="Times New Roman" w:eastAsia="宋体" w:cs="Times New Roman"/>
                      <w:color w:val="000000" w:themeColor="text1"/>
                      <w:sz w:val="21"/>
                      <w:szCs w:val="21"/>
                      <w:highlight w:val="none"/>
                      <w:vertAlign w:val="superscript"/>
                      <w:lang w:val="en-US" w:eastAsia="zh-CN"/>
                      <w14:textFill>
                        <w14:solidFill>
                          <w14:schemeClr w14:val="tx1"/>
                        </w14:solidFill>
                      </w14:textFill>
                    </w:rPr>
                    <w:t>3</w:t>
                  </w:r>
                </w:p>
              </w:tc>
              <w:tc>
                <w:tcPr>
                  <w:tcW w:w="536" w:type="pct"/>
                  <w:noWrap w:val="0"/>
                  <w:vAlign w:val="center"/>
                </w:tcPr>
                <w:p w14:paraId="377A2B31">
                  <w:pPr>
                    <w:pStyle w:val="119"/>
                    <w:keepNext w:val="0"/>
                    <w:keepLines w:val="0"/>
                    <w:pageBreakBefore w:val="0"/>
                    <w:widowControl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速率限值kg/h</w:t>
                  </w:r>
                </w:p>
              </w:tc>
              <w:tc>
                <w:tcPr>
                  <w:tcW w:w="2308" w:type="pct"/>
                  <w:noWrap w:val="0"/>
                  <w:vAlign w:val="center"/>
                </w:tcPr>
                <w:p w14:paraId="677CA993">
                  <w:pPr>
                    <w:pStyle w:val="119"/>
                    <w:keepNext w:val="0"/>
                    <w:keepLines w:val="0"/>
                    <w:pageBreakBefore w:val="0"/>
                    <w:widowControl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执行标准</w:t>
                  </w:r>
                </w:p>
              </w:tc>
              <w:tc>
                <w:tcPr>
                  <w:tcW w:w="329" w:type="pct"/>
                  <w:noWrap w:val="0"/>
                  <w:vAlign w:val="center"/>
                </w:tcPr>
                <w:p w14:paraId="60DDC37C">
                  <w:pPr>
                    <w:pStyle w:val="119"/>
                    <w:keepNext w:val="0"/>
                    <w:keepLines w:val="0"/>
                    <w:pageBreakBefore w:val="0"/>
                    <w:widowControl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备注</w:t>
                  </w:r>
                </w:p>
              </w:tc>
            </w:tr>
            <w:tr w14:paraId="7B160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3" w:type="pct"/>
                  <w:noWrap w:val="0"/>
                  <w:vAlign w:val="center"/>
                </w:tcPr>
                <w:p w14:paraId="4091A275">
                  <w:pPr>
                    <w:pStyle w:val="119"/>
                    <w:keepNext w:val="0"/>
                    <w:keepLines w:val="0"/>
                    <w:pageBreakBefore w:val="0"/>
                    <w:widowControl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无组织</w:t>
                  </w:r>
                </w:p>
              </w:tc>
              <w:tc>
                <w:tcPr>
                  <w:tcW w:w="584" w:type="pct"/>
                  <w:noWrap w:val="0"/>
                  <w:vAlign w:val="center"/>
                </w:tcPr>
                <w:p w14:paraId="054E2168">
                  <w:pPr>
                    <w:pStyle w:val="119"/>
                    <w:keepNext w:val="0"/>
                    <w:keepLines w:val="0"/>
                    <w:pageBreakBefore w:val="0"/>
                    <w:widowControl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颗粒物</w:t>
                  </w:r>
                </w:p>
              </w:tc>
              <w:tc>
                <w:tcPr>
                  <w:tcW w:w="698" w:type="pct"/>
                  <w:shd w:val="clear" w:color="auto" w:fill="auto"/>
                  <w:noWrap w:val="0"/>
                  <w:vAlign w:val="center"/>
                </w:tcPr>
                <w:p w14:paraId="0F496CD2">
                  <w:pPr>
                    <w:keepNext w:val="0"/>
                    <w:keepLines w:val="0"/>
                    <w:pageBreakBefore w:val="0"/>
                    <w:widowControl/>
                    <w:tabs>
                      <w:tab w:val="left" w:pos="-108"/>
                      <w:tab w:val="left" w:pos="627"/>
                      <w:tab w:val="left" w:pos="942"/>
                    </w:tabs>
                    <w:kinsoku/>
                    <w:wordWrap/>
                    <w:overflowPunct/>
                    <w:topLinePunct w:val="0"/>
                    <w:autoSpaceDE/>
                    <w:autoSpaceDN/>
                    <w:bidi w:val="0"/>
                    <w:adjustRightInd/>
                    <w:snapToGrid/>
                    <w:spacing w:line="240" w:lineRule="auto"/>
                    <w:jc w:val="center"/>
                    <w:textAlignment w:val="auto"/>
                    <w:outlineLvl w:val="1"/>
                    <w:rPr>
                      <w:rFonts w:hint="default" w:ascii="Times New Roman" w:hAnsi="Times New Roman" w:eastAsia="宋体" w:cs="Times New Roman"/>
                      <w:color w:val="000000" w:themeColor="text1"/>
                      <w:sz w:val="21"/>
                      <w:szCs w:val="21"/>
                      <w:highlight w:val="none"/>
                      <w:vertAlign w:val="baseli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1.0</w:t>
                  </w:r>
                </w:p>
              </w:tc>
              <w:tc>
                <w:tcPr>
                  <w:tcW w:w="536" w:type="pct"/>
                  <w:noWrap w:val="0"/>
                  <w:vAlign w:val="center"/>
                </w:tcPr>
                <w:p w14:paraId="61A6A3A5">
                  <w:pPr>
                    <w:pStyle w:val="119"/>
                    <w:keepNext w:val="0"/>
                    <w:keepLines w:val="0"/>
                    <w:pageBreakBefore w:val="0"/>
                    <w:widowControl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cs="Times New Roman"/>
                      <w:color w:val="000000" w:themeColor="text1"/>
                      <w:sz w:val="21"/>
                      <w:szCs w:val="21"/>
                      <w:highlight w:val="none"/>
                      <w:vertAlign w:val="baseline"/>
                      <w:lang w:val="en-US" w:eastAsia="zh-CN"/>
                      <w14:textFill>
                        <w14:solidFill>
                          <w14:schemeClr w14:val="tx1"/>
                        </w14:solidFill>
                      </w14:textFill>
                    </w:rPr>
                    <w:t>/</w:t>
                  </w:r>
                </w:p>
              </w:tc>
              <w:tc>
                <w:tcPr>
                  <w:tcW w:w="2308" w:type="pct"/>
                  <w:noWrap w:val="0"/>
                  <w:vAlign w:val="center"/>
                </w:tcPr>
                <w:p w14:paraId="242043E4">
                  <w:pPr>
                    <w:pStyle w:val="119"/>
                    <w:keepNext w:val="0"/>
                    <w:keepLines w:val="0"/>
                    <w:pageBreakBefore w:val="0"/>
                    <w:widowControl w:val="0"/>
                    <w:kinsoku/>
                    <w:wordWrap/>
                    <w:overflowPunct/>
                    <w:topLinePunct w:val="0"/>
                    <w:autoSpaceDE/>
                    <w:autoSpaceDN/>
                    <w:bidi w:val="0"/>
                    <w:adjustRightInd w:val="0"/>
                    <w:snapToGrid w:val="0"/>
                    <w:spacing w:line="240" w:lineRule="auto"/>
                    <w:jc w:val="center"/>
                    <w:textAlignment w:val="center"/>
                    <w:rPr>
                      <w:color w:val="000000" w:themeColor="text1"/>
                      <w:highlight w:val="none"/>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《大气污染物综合排放标准》（GB16297-1996）表</w:t>
                  </w: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2中</w:t>
                  </w: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无组织排放限值</w:t>
                  </w:r>
                </w:p>
              </w:tc>
              <w:tc>
                <w:tcPr>
                  <w:tcW w:w="329" w:type="pct"/>
                  <w:noWrap w:val="0"/>
                  <w:vAlign w:val="center"/>
                </w:tcPr>
                <w:p w14:paraId="3571C3B6">
                  <w:pPr>
                    <w:pStyle w:val="119"/>
                    <w:keepNext w:val="0"/>
                    <w:keepLines w:val="0"/>
                    <w:pageBreakBefore w:val="0"/>
                    <w:widowControl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p>
              </w:tc>
            </w:tr>
          </w:tbl>
          <w:p w14:paraId="36CC9320">
            <w:pPr>
              <w:pStyle w:val="8"/>
              <w:rPr>
                <w:rFonts w:hint="eastAsia"/>
                <w:color w:val="000000" w:themeColor="text1"/>
                <w:highlight w:val="none"/>
                <w14:textFill>
                  <w14:solidFill>
                    <w14:schemeClr w14:val="tx1"/>
                  </w14:solidFill>
                </w14:textFill>
              </w:rPr>
            </w:pPr>
          </w:p>
          <w:p w14:paraId="3D6D75DE">
            <w:pPr>
              <w:spacing w:line="240" w:lineRule="atLeast"/>
              <w:jc w:val="center"/>
              <w:rPr>
                <w:rFonts w:hint="eastAsia" w:ascii="Times New Roman" w:hAnsi="Times New Roman" w:eastAsia="宋体" w:cs="Times New Roman"/>
                <w:b/>
                <w:bCs/>
                <w:color w:val="000000" w:themeColor="text1"/>
                <w:sz w:val="24"/>
                <w:szCs w:val="24"/>
                <w:highlight w:val="none"/>
                <w:vertAlign w:val="superscript"/>
                <w:lang w:val="en-US" w:eastAsia="zh-CN"/>
                <w14:textFill>
                  <w14:solidFill>
                    <w14:schemeClr w14:val="tx1"/>
                  </w14:solidFill>
                </w14:textFill>
              </w:rPr>
            </w:pPr>
            <w:r>
              <w:rPr>
                <w:rFonts w:hint="eastAsia" w:ascii="Times New Roman" w:hAnsi="Times New Roman" w:eastAsia="宋体" w:cs="Times New Roman"/>
                <w:b/>
                <w:bCs/>
                <w:color w:val="000000" w:themeColor="text1"/>
                <w:sz w:val="24"/>
                <w:szCs w:val="24"/>
                <w:highlight w:val="none"/>
                <w:lang w:val="en-US" w:eastAsia="zh-CN"/>
                <w14:textFill>
                  <w14:solidFill>
                    <w14:schemeClr w14:val="tx1"/>
                  </w14:solidFill>
                </w14:textFill>
              </w:rPr>
              <w:t>表3-</w:t>
            </w:r>
            <w:r>
              <w:rPr>
                <w:rFonts w:hint="eastAsia" w:cs="Times New Roman"/>
                <w:b/>
                <w:bCs/>
                <w:color w:val="000000" w:themeColor="text1"/>
                <w:sz w:val="24"/>
                <w:szCs w:val="24"/>
                <w:highlight w:val="none"/>
                <w:lang w:val="en-US" w:eastAsia="zh-CN"/>
                <w14:textFill>
                  <w14:solidFill>
                    <w14:schemeClr w14:val="tx1"/>
                  </w14:solidFill>
                </w14:textFill>
              </w:rPr>
              <w:t>12</w:t>
            </w:r>
            <w:r>
              <w:rPr>
                <w:rFonts w:hint="eastAsia" w:ascii="Times New Roman" w:hAnsi="Times New Roman" w:eastAsia="宋体" w:cs="Times New Roman"/>
                <w:b/>
                <w:bCs/>
                <w:color w:val="000000" w:themeColor="text1"/>
                <w:sz w:val="24"/>
                <w:szCs w:val="24"/>
                <w:highlight w:val="none"/>
                <w:lang w:val="en-US" w:eastAsia="zh-CN"/>
                <w14:textFill>
                  <w14:solidFill>
                    <w14:schemeClr w14:val="tx1"/>
                  </w14:solidFill>
                </w14:textFill>
              </w:rPr>
              <w:t>《恶臭污染物排放标准》（GB14554-93）单位：mg/m</w:t>
            </w:r>
            <w:r>
              <w:rPr>
                <w:rFonts w:hint="eastAsia" w:ascii="Times New Roman" w:hAnsi="Times New Roman" w:eastAsia="宋体" w:cs="Times New Roman"/>
                <w:b/>
                <w:bCs/>
                <w:color w:val="000000" w:themeColor="text1"/>
                <w:sz w:val="24"/>
                <w:szCs w:val="24"/>
                <w:highlight w:val="none"/>
                <w:vertAlign w:val="superscript"/>
                <w:lang w:val="en-US" w:eastAsia="zh-CN"/>
                <w14:textFill>
                  <w14:solidFill>
                    <w14:schemeClr w14:val="tx1"/>
                  </w14:solidFill>
                </w14:textFill>
              </w:rPr>
              <w:t>3</w:t>
            </w:r>
          </w:p>
          <w:tbl>
            <w:tblPr>
              <w:tblStyle w:val="24"/>
              <w:tblW w:w="7972" w:type="dxa"/>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774"/>
              <w:gridCol w:w="1021"/>
              <w:gridCol w:w="1421"/>
              <w:gridCol w:w="4756"/>
            </w:tblGrid>
            <w:tr w14:paraId="52C7261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485" w:type="pct"/>
                  <w:vMerge w:val="restart"/>
                  <w:tcBorders>
                    <w:top w:val="single" w:color="auto" w:sz="4" w:space="0"/>
                    <w:left w:val="single" w:color="auto" w:sz="0" w:space="0"/>
                    <w:bottom w:val="single" w:color="auto" w:sz="4" w:space="0"/>
                    <w:right w:val="single" w:color="auto" w:sz="4" w:space="0"/>
                  </w:tcBorders>
                  <w:noWrap w:val="0"/>
                  <w:vAlign w:val="center"/>
                </w:tcPr>
                <w:p w14:paraId="3346928E">
                  <w:pPr>
                    <w:jc w:val="center"/>
                    <w:rPr>
                      <w:rFonts w:hint="eastAsia"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14:textFill>
                        <w14:solidFill>
                          <w14:schemeClr w14:val="tx1"/>
                        </w14:solidFill>
                      </w14:textFill>
                    </w:rPr>
                    <w:t>污染物</w:t>
                  </w:r>
                </w:p>
              </w:tc>
              <w:tc>
                <w:tcPr>
                  <w:tcW w:w="1531" w:type="pct"/>
                  <w:gridSpan w:val="2"/>
                  <w:tcBorders>
                    <w:top w:val="single" w:color="auto" w:sz="4" w:space="0"/>
                    <w:left w:val="single" w:color="auto" w:sz="4" w:space="0"/>
                    <w:bottom w:val="single" w:color="auto" w:sz="4" w:space="0"/>
                    <w:right w:val="single" w:color="auto" w:sz="4" w:space="0"/>
                  </w:tcBorders>
                  <w:noWrap w:val="0"/>
                  <w:vAlign w:val="center"/>
                </w:tcPr>
                <w:p w14:paraId="763F1168">
                  <w:pPr>
                    <w:jc w:val="center"/>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无组织排放监控浓度限值</w:t>
                  </w:r>
                </w:p>
              </w:tc>
              <w:tc>
                <w:tcPr>
                  <w:tcW w:w="2982" w:type="pct"/>
                  <w:vMerge w:val="restart"/>
                  <w:tcBorders>
                    <w:top w:val="single" w:color="auto" w:sz="4" w:space="0"/>
                    <w:left w:val="single" w:color="auto" w:sz="4" w:space="0"/>
                    <w:bottom w:val="single" w:color="auto" w:sz="4" w:space="0"/>
                    <w:right w:val="single" w:color="auto" w:sz="4" w:space="0"/>
                  </w:tcBorders>
                  <w:noWrap w:val="0"/>
                  <w:vAlign w:val="center"/>
                </w:tcPr>
                <w:p w14:paraId="39838124">
                  <w:pPr>
                    <w:jc w:val="center"/>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污染物排放监控位置</w:t>
                  </w:r>
                </w:p>
              </w:tc>
            </w:tr>
            <w:tr w14:paraId="1C941A1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485" w:type="pct"/>
                  <w:vMerge w:val="continue"/>
                  <w:tcBorders>
                    <w:top w:val="single" w:color="auto" w:sz="4" w:space="0"/>
                    <w:left w:val="single" w:color="auto" w:sz="4" w:space="0"/>
                    <w:bottom w:val="single" w:color="auto" w:sz="4" w:space="0"/>
                    <w:right w:val="single" w:color="auto" w:sz="4" w:space="0"/>
                  </w:tcBorders>
                  <w:noWrap w:val="0"/>
                  <w:vAlign w:val="center"/>
                </w:tcPr>
                <w:p w14:paraId="4290F0EA">
                  <w:pPr>
                    <w:jc w:val="center"/>
                    <w:rPr>
                      <w:rFonts w:hint="eastAsia"/>
                      <w:color w:val="000000" w:themeColor="text1"/>
                      <w:sz w:val="21"/>
                      <w:szCs w:val="21"/>
                      <w:highlight w:val="none"/>
                      <w14:textFill>
                        <w14:solidFill>
                          <w14:schemeClr w14:val="tx1"/>
                        </w14:solidFill>
                      </w14:textFill>
                    </w:rPr>
                  </w:pPr>
                </w:p>
              </w:tc>
              <w:tc>
                <w:tcPr>
                  <w:tcW w:w="640" w:type="pct"/>
                  <w:tcBorders>
                    <w:top w:val="single" w:color="auto" w:sz="4" w:space="0"/>
                    <w:left w:val="single" w:color="auto" w:sz="4" w:space="0"/>
                    <w:bottom w:val="single" w:color="auto" w:sz="4" w:space="0"/>
                    <w:right w:val="single" w:color="auto" w:sz="4" w:space="0"/>
                  </w:tcBorders>
                  <w:noWrap w:val="0"/>
                  <w:vAlign w:val="center"/>
                </w:tcPr>
                <w:p w14:paraId="00E7D8BA">
                  <w:pPr>
                    <w:jc w:val="center"/>
                    <w:rPr>
                      <w:rFonts w:hint="eastAsia"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监控点</w:t>
                  </w:r>
                </w:p>
              </w:tc>
              <w:tc>
                <w:tcPr>
                  <w:tcW w:w="891" w:type="pct"/>
                  <w:tcBorders>
                    <w:top w:val="single" w:color="auto" w:sz="4" w:space="0"/>
                    <w:left w:val="single" w:color="auto" w:sz="4" w:space="0"/>
                    <w:bottom w:val="single" w:color="auto" w:sz="4" w:space="0"/>
                    <w:right w:val="single" w:color="auto" w:sz="4" w:space="0"/>
                  </w:tcBorders>
                  <w:noWrap w:val="0"/>
                  <w:vAlign w:val="center"/>
                </w:tcPr>
                <w:p w14:paraId="2E34B11E">
                  <w:pPr>
                    <w:jc w:val="center"/>
                    <w:rPr>
                      <w:rFonts w:hint="default" w:eastAsia="宋体"/>
                      <w:color w:val="000000" w:themeColor="text1"/>
                      <w:sz w:val="21"/>
                      <w:szCs w:val="21"/>
                      <w:highlight w:val="none"/>
                      <w:vertAlign w:val="superscript"/>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浓度mg/m</w:t>
                  </w:r>
                  <w:r>
                    <w:rPr>
                      <w:rFonts w:hint="eastAsia"/>
                      <w:color w:val="000000" w:themeColor="text1"/>
                      <w:sz w:val="21"/>
                      <w:szCs w:val="21"/>
                      <w:highlight w:val="none"/>
                      <w:vertAlign w:val="superscript"/>
                      <w:lang w:val="en-US" w:eastAsia="zh-CN"/>
                      <w14:textFill>
                        <w14:solidFill>
                          <w14:schemeClr w14:val="tx1"/>
                        </w14:solidFill>
                      </w14:textFill>
                    </w:rPr>
                    <w:t>3</w:t>
                  </w:r>
                </w:p>
              </w:tc>
              <w:tc>
                <w:tcPr>
                  <w:tcW w:w="2982" w:type="pct"/>
                  <w:vMerge w:val="continue"/>
                  <w:tcBorders>
                    <w:top w:val="single" w:color="auto" w:sz="4" w:space="0"/>
                    <w:left w:val="single" w:color="auto" w:sz="4" w:space="0"/>
                    <w:bottom w:val="single" w:color="auto" w:sz="4" w:space="0"/>
                    <w:right w:val="single" w:color="auto" w:sz="4" w:space="0"/>
                  </w:tcBorders>
                  <w:noWrap w:val="0"/>
                  <w:vAlign w:val="center"/>
                </w:tcPr>
                <w:p w14:paraId="55D97AA1">
                  <w:pPr>
                    <w:jc w:val="center"/>
                    <w:rPr>
                      <w:rFonts w:hint="eastAsia"/>
                      <w:color w:val="000000" w:themeColor="text1"/>
                      <w:sz w:val="21"/>
                      <w:szCs w:val="21"/>
                      <w:highlight w:val="none"/>
                      <w14:textFill>
                        <w14:solidFill>
                          <w14:schemeClr w14:val="tx1"/>
                        </w14:solidFill>
                      </w14:textFill>
                    </w:rPr>
                  </w:pPr>
                </w:p>
              </w:tc>
            </w:tr>
            <w:tr w14:paraId="53FA5D8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84" w:hRule="atLeast"/>
                <w:jc w:val="center"/>
              </w:trPr>
              <w:tc>
                <w:tcPr>
                  <w:tcW w:w="485" w:type="pct"/>
                  <w:tcBorders>
                    <w:top w:val="single" w:color="auto" w:sz="4" w:space="0"/>
                    <w:left w:val="single" w:color="auto" w:sz="4" w:space="0"/>
                    <w:bottom w:val="single" w:color="auto" w:sz="4" w:space="0"/>
                    <w:right w:val="single" w:color="auto" w:sz="4" w:space="0"/>
                  </w:tcBorders>
                  <w:noWrap w:val="0"/>
                  <w:vAlign w:val="center"/>
                </w:tcPr>
                <w:p w14:paraId="5531BF4D">
                  <w:pPr>
                    <w:jc w:val="center"/>
                    <w:rPr>
                      <w:rFonts w:hint="eastAsia" w:eastAsia="宋体"/>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氨气</w:t>
                  </w:r>
                </w:p>
              </w:tc>
              <w:tc>
                <w:tcPr>
                  <w:tcW w:w="640" w:type="pct"/>
                  <w:tcBorders>
                    <w:top w:val="single" w:color="auto" w:sz="4" w:space="0"/>
                    <w:left w:val="single" w:color="auto" w:sz="4" w:space="0"/>
                    <w:bottom w:val="single" w:color="auto" w:sz="4" w:space="0"/>
                    <w:right w:val="single" w:color="auto" w:sz="4" w:space="0"/>
                  </w:tcBorders>
                  <w:noWrap w:val="0"/>
                  <w:vAlign w:val="center"/>
                </w:tcPr>
                <w:p w14:paraId="38C2F607">
                  <w:pPr>
                    <w:jc w:val="center"/>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厂界</w:t>
                  </w:r>
                </w:p>
              </w:tc>
              <w:tc>
                <w:tcPr>
                  <w:tcW w:w="891" w:type="pct"/>
                  <w:tcBorders>
                    <w:top w:val="single" w:color="auto" w:sz="4" w:space="0"/>
                    <w:left w:val="single" w:color="auto" w:sz="4" w:space="0"/>
                    <w:bottom w:val="single" w:color="auto" w:sz="4" w:space="0"/>
                    <w:right w:val="single" w:color="auto" w:sz="4" w:space="0"/>
                  </w:tcBorders>
                  <w:noWrap w:val="0"/>
                  <w:vAlign w:val="center"/>
                </w:tcPr>
                <w:p w14:paraId="5FF6F509">
                  <w:pPr>
                    <w:jc w:val="center"/>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1.5</w:t>
                  </w:r>
                </w:p>
              </w:tc>
              <w:tc>
                <w:tcPr>
                  <w:tcW w:w="2982" w:type="pct"/>
                  <w:tcBorders>
                    <w:top w:val="single" w:color="auto" w:sz="4" w:space="0"/>
                    <w:left w:val="single" w:color="auto" w:sz="4" w:space="0"/>
                    <w:bottom w:val="single" w:color="auto" w:sz="4" w:space="0"/>
                    <w:right w:val="single" w:color="auto" w:sz="4" w:space="0"/>
                  </w:tcBorders>
                  <w:noWrap w:val="0"/>
                  <w:vAlign w:val="center"/>
                </w:tcPr>
                <w:p w14:paraId="3C6A276E">
                  <w:pPr>
                    <w:jc w:val="center"/>
                    <w:rPr>
                      <w:rFonts w:hint="default" w:eastAsia="宋体"/>
                      <w:color w:val="000000" w:themeColor="text1"/>
                      <w:sz w:val="21"/>
                      <w:szCs w:val="21"/>
                      <w:highlight w:val="none"/>
                      <w:lang w:val="en-US" w:eastAsia="zh-CN"/>
                      <w14:textFill>
                        <w14:solidFill>
                          <w14:schemeClr w14:val="tx1"/>
                        </w14:solidFill>
                      </w14:textFill>
                    </w:rPr>
                  </w:pPr>
                  <w:r>
                    <w:rPr>
                      <w:rFonts w:hint="default" w:eastAsia="宋体"/>
                      <w:color w:val="000000" w:themeColor="text1"/>
                      <w:sz w:val="21"/>
                      <w:szCs w:val="21"/>
                      <w:highlight w:val="none"/>
                      <w:lang w:val="en-US" w:eastAsia="zh-CN"/>
                      <w14:textFill>
                        <w14:solidFill>
                          <w14:schemeClr w14:val="tx1"/>
                        </w14:solidFill>
                      </w14:textFill>
                    </w:rPr>
                    <w:t>《恶臭污染物排放标准》（GB14554-93）表1排放限值</w:t>
                  </w:r>
                </w:p>
              </w:tc>
            </w:tr>
            <w:tr w14:paraId="0211BC4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84" w:hRule="atLeast"/>
                <w:jc w:val="center"/>
              </w:trPr>
              <w:tc>
                <w:tcPr>
                  <w:tcW w:w="485" w:type="pct"/>
                  <w:vMerge w:val="restart"/>
                  <w:tcBorders>
                    <w:top w:val="single" w:color="auto" w:sz="4" w:space="0"/>
                    <w:left w:val="single" w:color="auto" w:sz="4" w:space="0"/>
                    <w:right w:val="single" w:color="auto" w:sz="4" w:space="0"/>
                  </w:tcBorders>
                  <w:noWrap w:val="0"/>
                  <w:vAlign w:val="center"/>
                </w:tcPr>
                <w:p w14:paraId="2402D48A">
                  <w:pPr>
                    <w:jc w:val="center"/>
                    <w:rPr>
                      <w:rFonts w:hint="eastAsia"/>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14:textFill>
                        <w14:solidFill>
                          <w14:schemeClr w14:val="tx1"/>
                        </w14:solidFill>
                      </w14:textFill>
                    </w:rPr>
                    <w:t>污染物</w:t>
                  </w:r>
                </w:p>
              </w:tc>
              <w:tc>
                <w:tcPr>
                  <w:tcW w:w="1531" w:type="pct"/>
                  <w:gridSpan w:val="2"/>
                  <w:tcBorders>
                    <w:top w:val="single" w:color="auto" w:sz="4" w:space="0"/>
                    <w:left w:val="single" w:color="auto" w:sz="4" w:space="0"/>
                    <w:bottom w:val="single" w:color="auto" w:sz="4" w:space="0"/>
                    <w:right w:val="single" w:color="auto" w:sz="4" w:space="0"/>
                  </w:tcBorders>
                  <w:noWrap w:val="0"/>
                  <w:vAlign w:val="center"/>
                </w:tcPr>
                <w:p w14:paraId="2DDCBCD1">
                  <w:pPr>
                    <w:jc w:val="center"/>
                    <w:rPr>
                      <w:rFonts w:hint="eastAsia"/>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有</w:t>
                  </w:r>
                  <w:r>
                    <w:rPr>
                      <w:rFonts w:hint="eastAsia"/>
                      <w:color w:val="000000" w:themeColor="text1"/>
                      <w:sz w:val="21"/>
                      <w:szCs w:val="21"/>
                      <w:highlight w:val="none"/>
                      <w14:textFill>
                        <w14:solidFill>
                          <w14:schemeClr w14:val="tx1"/>
                        </w14:solidFill>
                      </w14:textFill>
                    </w:rPr>
                    <w:t>组织排放监控浓度限值</w:t>
                  </w:r>
                </w:p>
              </w:tc>
              <w:tc>
                <w:tcPr>
                  <w:tcW w:w="4756" w:type="dxa"/>
                  <w:vMerge w:val="restart"/>
                  <w:tcBorders>
                    <w:top w:val="single" w:color="auto" w:sz="4" w:space="0"/>
                    <w:left w:val="single" w:color="auto" w:sz="4" w:space="0"/>
                    <w:right w:val="single" w:color="auto" w:sz="4" w:space="0"/>
                  </w:tcBorders>
                  <w:noWrap w:val="0"/>
                  <w:vAlign w:val="center"/>
                </w:tcPr>
                <w:p w14:paraId="541642DE">
                  <w:pPr>
                    <w:jc w:val="center"/>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污染物排放监控位置</w:t>
                  </w:r>
                </w:p>
              </w:tc>
            </w:tr>
            <w:tr w14:paraId="1BA430D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84" w:hRule="atLeast"/>
                <w:jc w:val="center"/>
              </w:trPr>
              <w:tc>
                <w:tcPr>
                  <w:tcW w:w="485" w:type="pct"/>
                  <w:vMerge w:val="continue"/>
                  <w:tcBorders>
                    <w:left w:val="single" w:color="auto" w:sz="4" w:space="0"/>
                    <w:bottom w:val="single" w:color="auto" w:sz="4" w:space="0"/>
                    <w:right w:val="single" w:color="auto" w:sz="4" w:space="0"/>
                  </w:tcBorders>
                  <w:noWrap w:val="0"/>
                  <w:vAlign w:val="center"/>
                </w:tcPr>
                <w:p w14:paraId="63AFCA4E">
                  <w:pPr>
                    <w:jc w:val="center"/>
                    <w:rPr>
                      <w:rFonts w:hint="eastAsia"/>
                      <w:color w:val="000000" w:themeColor="text1"/>
                      <w:sz w:val="21"/>
                      <w:szCs w:val="21"/>
                      <w:highlight w:val="none"/>
                      <w:lang w:val="en-US" w:eastAsia="zh-CN"/>
                      <w14:textFill>
                        <w14:solidFill>
                          <w14:schemeClr w14:val="tx1"/>
                        </w14:solidFill>
                      </w14:textFill>
                    </w:rPr>
                  </w:pPr>
                </w:p>
              </w:tc>
              <w:tc>
                <w:tcPr>
                  <w:tcW w:w="640" w:type="pct"/>
                  <w:tcBorders>
                    <w:top w:val="single" w:color="auto" w:sz="4" w:space="0"/>
                    <w:left w:val="single" w:color="auto" w:sz="4" w:space="0"/>
                    <w:bottom w:val="single" w:color="auto" w:sz="4" w:space="0"/>
                    <w:right w:val="single" w:color="auto" w:sz="4" w:space="0"/>
                  </w:tcBorders>
                  <w:noWrap w:val="0"/>
                  <w:vAlign w:val="center"/>
                </w:tcPr>
                <w:p w14:paraId="4EE49823">
                  <w:pPr>
                    <w:jc w:val="center"/>
                    <w:rPr>
                      <w:rFonts w:hint="eastAsia"/>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监控点</w:t>
                  </w:r>
                </w:p>
              </w:tc>
              <w:tc>
                <w:tcPr>
                  <w:tcW w:w="891" w:type="pct"/>
                  <w:tcBorders>
                    <w:top w:val="single" w:color="auto" w:sz="4" w:space="0"/>
                    <w:left w:val="single" w:color="auto" w:sz="4" w:space="0"/>
                    <w:bottom w:val="single" w:color="auto" w:sz="4" w:space="0"/>
                    <w:right w:val="single" w:color="auto" w:sz="4" w:space="0"/>
                  </w:tcBorders>
                  <w:noWrap w:val="0"/>
                  <w:vAlign w:val="center"/>
                </w:tcPr>
                <w:p w14:paraId="459C3B97">
                  <w:pPr>
                    <w:jc w:val="center"/>
                    <w:rPr>
                      <w:rFonts w:hint="eastAsia"/>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速率kg/h</w:t>
                  </w:r>
                </w:p>
              </w:tc>
              <w:tc>
                <w:tcPr>
                  <w:tcW w:w="2982" w:type="pct"/>
                  <w:vMerge w:val="continue"/>
                  <w:tcBorders>
                    <w:left w:val="single" w:color="auto" w:sz="4" w:space="0"/>
                    <w:bottom w:val="single" w:color="auto" w:sz="4" w:space="0"/>
                    <w:right w:val="single" w:color="auto" w:sz="4" w:space="0"/>
                  </w:tcBorders>
                  <w:noWrap w:val="0"/>
                  <w:vAlign w:val="center"/>
                </w:tcPr>
                <w:p w14:paraId="024F96D6">
                  <w:pPr>
                    <w:jc w:val="center"/>
                    <w:rPr>
                      <w:rFonts w:hint="default" w:eastAsia="宋体"/>
                      <w:color w:val="000000" w:themeColor="text1"/>
                      <w:sz w:val="21"/>
                      <w:szCs w:val="21"/>
                      <w:highlight w:val="none"/>
                      <w:lang w:val="en-US" w:eastAsia="zh-CN"/>
                      <w14:textFill>
                        <w14:solidFill>
                          <w14:schemeClr w14:val="tx1"/>
                        </w14:solidFill>
                      </w14:textFill>
                    </w:rPr>
                  </w:pPr>
                </w:p>
              </w:tc>
            </w:tr>
            <w:tr w14:paraId="40A7183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84" w:hRule="atLeast"/>
                <w:jc w:val="center"/>
              </w:trPr>
              <w:tc>
                <w:tcPr>
                  <w:tcW w:w="485" w:type="pct"/>
                  <w:tcBorders>
                    <w:top w:val="single" w:color="auto" w:sz="4" w:space="0"/>
                    <w:left w:val="single" w:color="auto" w:sz="4" w:space="0"/>
                    <w:bottom w:val="single" w:color="auto" w:sz="4" w:space="0"/>
                    <w:right w:val="single" w:color="auto" w:sz="4" w:space="0"/>
                  </w:tcBorders>
                  <w:noWrap w:val="0"/>
                  <w:vAlign w:val="center"/>
                </w:tcPr>
                <w:p w14:paraId="08B6F14B">
                  <w:pPr>
                    <w:jc w:val="center"/>
                    <w:rPr>
                      <w:rFonts w:hint="eastAsia"/>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氨气</w:t>
                  </w:r>
                </w:p>
              </w:tc>
              <w:tc>
                <w:tcPr>
                  <w:tcW w:w="640" w:type="pct"/>
                  <w:tcBorders>
                    <w:top w:val="single" w:color="auto" w:sz="4" w:space="0"/>
                    <w:left w:val="single" w:color="auto" w:sz="4" w:space="0"/>
                    <w:bottom w:val="single" w:color="auto" w:sz="4" w:space="0"/>
                    <w:right w:val="single" w:color="auto" w:sz="4" w:space="0"/>
                  </w:tcBorders>
                  <w:noWrap w:val="0"/>
                  <w:vAlign w:val="center"/>
                </w:tcPr>
                <w:p w14:paraId="77758583">
                  <w:pPr>
                    <w:jc w:val="center"/>
                    <w:rPr>
                      <w:rFonts w:hint="eastAsia"/>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排污口</w:t>
                  </w:r>
                </w:p>
              </w:tc>
              <w:tc>
                <w:tcPr>
                  <w:tcW w:w="891" w:type="pct"/>
                  <w:tcBorders>
                    <w:top w:val="single" w:color="auto" w:sz="4" w:space="0"/>
                    <w:left w:val="single" w:color="auto" w:sz="4" w:space="0"/>
                    <w:bottom w:val="single" w:color="auto" w:sz="4" w:space="0"/>
                    <w:right w:val="single" w:color="auto" w:sz="4" w:space="0"/>
                  </w:tcBorders>
                  <w:noWrap w:val="0"/>
                  <w:vAlign w:val="center"/>
                </w:tcPr>
                <w:p w14:paraId="67F131CA">
                  <w:pPr>
                    <w:jc w:val="center"/>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35</w:t>
                  </w:r>
                </w:p>
              </w:tc>
              <w:tc>
                <w:tcPr>
                  <w:tcW w:w="4756" w:type="dxa"/>
                  <w:tcBorders>
                    <w:top w:val="single" w:color="auto" w:sz="4" w:space="0"/>
                    <w:left w:val="single" w:color="auto" w:sz="4" w:space="0"/>
                    <w:bottom w:val="single" w:color="auto" w:sz="4" w:space="0"/>
                    <w:right w:val="single" w:color="auto" w:sz="4" w:space="0"/>
                  </w:tcBorders>
                  <w:noWrap w:val="0"/>
                  <w:vAlign w:val="center"/>
                </w:tcPr>
                <w:p w14:paraId="5E7A05C2">
                  <w:pPr>
                    <w:jc w:val="center"/>
                    <w:rPr>
                      <w:rFonts w:hint="default" w:eastAsia="宋体"/>
                      <w:color w:val="000000" w:themeColor="text1"/>
                      <w:sz w:val="21"/>
                      <w:szCs w:val="21"/>
                      <w:highlight w:val="none"/>
                      <w:lang w:val="en-US" w:eastAsia="zh-CN"/>
                      <w14:textFill>
                        <w14:solidFill>
                          <w14:schemeClr w14:val="tx1"/>
                        </w14:solidFill>
                      </w14:textFill>
                    </w:rPr>
                  </w:pPr>
                  <w:r>
                    <w:rPr>
                      <w:rFonts w:hint="default" w:eastAsia="宋体"/>
                      <w:color w:val="000000" w:themeColor="text1"/>
                      <w:sz w:val="21"/>
                      <w:szCs w:val="21"/>
                      <w:highlight w:val="none"/>
                      <w:lang w:val="en-US" w:eastAsia="zh-CN"/>
                      <w14:textFill>
                        <w14:solidFill>
                          <w14:schemeClr w14:val="tx1"/>
                        </w14:solidFill>
                      </w14:textFill>
                    </w:rPr>
                    <w:t>《恶臭污染物排放标准》（GB14554-93）表</w:t>
                  </w:r>
                  <w:r>
                    <w:rPr>
                      <w:rFonts w:hint="eastAsia" w:eastAsia="宋体"/>
                      <w:color w:val="000000" w:themeColor="text1"/>
                      <w:sz w:val="21"/>
                      <w:szCs w:val="21"/>
                      <w:highlight w:val="none"/>
                      <w:lang w:val="en-US" w:eastAsia="zh-CN"/>
                      <w14:textFill>
                        <w14:solidFill>
                          <w14:schemeClr w14:val="tx1"/>
                        </w14:solidFill>
                      </w14:textFill>
                    </w:rPr>
                    <w:t>2</w:t>
                  </w:r>
                  <w:r>
                    <w:rPr>
                      <w:rFonts w:hint="default" w:eastAsia="宋体"/>
                      <w:color w:val="000000" w:themeColor="text1"/>
                      <w:sz w:val="21"/>
                      <w:szCs w:val="21"/>
                      <w:highlight w:val="none"/>
                      <w:lang w:val="en-US" w:eastAsia="zh-CN"/>
                      <w14:textFill>
                        <w14:solidFill>
                          <w14:schemeClr w14:val="tx1"/>
                        </w14:solidFill>
                      </w14:textFill>
                    </w:rPr>
                    <w:t>排放限值</w:t>
                  </w:r>
                </w:p>
              </w:tc>
            </w:tr>
          </w:tbl>
          <w:p w14:paraId="2DB3C5A3">
            <w:pPr>
              <w:widowControl/>
              <w:tabs>
                <w:tab w:val="left" w:pos="-108"/>
                <w:tab w:val="left" w:pos="627"/>
                <w:tab w:val="left" w:pos="942"/>
              </w:tabs>
              <w:spacing w:before="120" w:beforeLines="50" w:line="360" w:lineRule="auto"/>
              <w:ind w:firstLine="482" w:firstLineChars="200"/>
              <w:jc w:val="both"/>
              <w:outlineLvl w:val="1"/>
              <w:rPr>
                <w:rFonts w:hint="default" w:ascii="Times New Roman" w:hAnsi="Times New Roman" w:eastAsia="宋体" w:cs="Times New Roman"/>
                <w:b/>
                <w:bCs/>
                <w:color w:val="000000" w:themeColor="text1"/>
                <w:sz w:val="24"/>
                <w:highlight w:val="none"/>
                <w14:textFill>
                  <w14:solidFill>
                    <w14:schemeClr w14:val="tx1"/>
                  </w14:solidFill>
                </w14:textFill>
              </w:rPr>
            </w:pPr>
            <w:r>
              <w:rPr>
                <w:rFonts w:hint="default" w:ascii="Times New Roman" w:hAnsi="Times New Roman" w:eastAsia="宋体" w:cs="Times New Roman"/>
                <w:b/>
                <w:bCs/>
                <w:color w:val="000000" w:themeColor="text1"/>
                <w:sz w:val="24"/>
                <w:highlight w:val="none"/>
                <w:lang w:eastAsia="zh-CN"/>
                <w14:textFill>
                  <w14:solidFill>
                    <w14:schemeClr w14:val="tx1"/>
                  </w14:solidFill>
                </w14:textFill>
              </w:rPr>
              <w:t>2.</w:t>
            </w:r>
            <w:r>
              <w:rPr>
                <w:rFonts w:hint="default" w:ascii="Times New Roman" w:hAnsi="Times New Roman" w:eastAsia="宋体" w:cs="Times New Roman"/>
                <w:b/>
                <w:bCs/>
                <w:color w:val="000000" w:themeColor="text1"/>
                <w:sz w:val="24"/>
                <w:highlight w:val="none"/>
                <w14:textFill>
                  <w14:solidFill>
                    <w14:schemeClr w14:val="tx1"/>
                  </w14:solidFill>
                </w14:textFill>
              </w:rPr>
              <w:t>废水排放标准</w:t>
            </w:r>
          </w:p>
          <w:p w14:paraId="020F91E3">
            <w:pPr>
              <w:pStyle w:val="116"/>
              <w:keepNext w:val="0"/>
              <w:keepLines w:val="0"/>
              <w:pageBreakBefore w:val="0"/>
              <w:widowControl w:val="0"/>
              <w:kinsoku/>
              <w:wordWrap/>
              <w:overflowPunct/>
              <w:topLinePunct w:val="0"/>
              <w:autoSpaceDE/>
              <w:autoSpaceDN/>
              <w:bidi w:val="0"/>
              <w:adjustRightInd/>
              <w:snapToGrid/>
              <w:spacing w:line="360" w:lineRule="auto"/>
              <w:ind w:left="0" w:right="0" w:firstLine="476" w:firstLineChars="200"/>
              <w:jc w:val="both"/>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1"/>
                <w:sz w:val="24"/>
                <w:szCs w:val="24"/>
                <w:highlight w:val="none"/>
                <w14:textFill>
                  <w14:solidFill>
                    <w14:schemeClr w14:val="tx1"/>
                  </w14:solidFill>
                </w14:textFill>
              </w:rPr>
              <w:t>脱硫废水经三联</w:t>
            </w:r>
            <w:r>
              <w:rPr>
                <w:rFonts w:hint="default" w:ascii="Times New Roman" w:hAnsi="Times New Roman" w:eastAsia="宋体" w:cs="Times New Roman"/>
                <w:color w:val="000000" w:themeColor="text1"/>
                <w:sz w:val="24"/>
                <w:szCs w:val="24"/>
                <w:highlight w:val="none"/>
                <w14:textFill>
                  <w14:solidFill>
                    <w14:schemeClr w14:val="tx1"/>
                  </w14:solidFill>
                </w14:textFill>
              </w:rPr>
              <w:t>箱装置处理后</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回用</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软水</w:t>
            </w:r>
            <w:r>
              <w:rPr>
                <w:rFonts w:hint="default" w:ascii="Times New Roman" w:hAnsi="Times New Roman" w:cs="Times New Roman"/>
                <w:b w:val="0"/>
                <w:bCs w:val="0"/>
                <w:color w:val="000000" w:themeColor="text1"/>
                <w:sz w:val="24"/>
                <w:szCs w:val="24"/>
                <w:highlight w:val="none"/>
                <w:lang w:val="en-US" w:eastAsia="zh-CN"/>
                <w14:textFill>
                  <w14:solidFill>
                    <w14:schemeClr w14:val="tx1"/>
                  </w14:solidFill>
                </w14:textFill>
              </w:rPr>
              <w:t>站排水和余热锅炉排水</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通过罐车拉运送园区污水处理厂处理</w:t>
            </w: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生活污水经厂区</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防渗化</w:t>
            </w:r>
            <w:r>
              <w:rPr>
                <w:rFonts w:hint="default" w:ascii="Times New Roman" w:hAnsi="Times New Roman" w:eastAsia="宋体" w:cs="Times New Roman"/>
                <w:color w:val="000000" w:themeColor="text1"/>
                <w:sz w:val="24"/>
                <w:szCs w:val="24"/>
                <w:highlight w:val="none"/>
                <w14:textFill>
                  <w14:solidFill>
                    <w14:schemeClr w14:val="tx1"/>
                  </w14:solidFill>
                </w14:textFill>
              </w:rPr>
              <w:t>粪池处理后</w:t>
            </w:r>
            <w:r>
              <w:rPr>
                <w:rFonts w:hint="eastAsia" w:cs="Times New Roman"/>
                <w:color w:val="000000" w:themeColor="text1"/>
                <w:sz w:val="24"/>
                <w:szCs w:val="24"/>
                <w:highlight w:val="none"/>
                <w:lang w:val="en-US" w:eastAsia="zh-CN"/>
                <w14:textFill>
                  <w14:solidFill>
                    <w14:schemeClr w14:val="tx1"/>
                  </w14:solidFill>
                </w14:textFill>
              </w:rPr>
              <w:t>罐车拉运至</w:t>
            </w:r>
            <w:r>
              <w:rPr>
                <w:rFonts w:hint="default" w:ascii="Times New Roman" w:hAnsi="Times New Roman" w:eastAsia="宋体" w:cs="Times New Roman"/>
                <w:color w:val="000000" w:themeColor="text1"/>
                <w:sz w:val="24"/>
                <w:szCs w:val="24"/>
                <w:highlight w:val="none"/>
                <w14:textFill>
                  <w14:solidFill>
                    <w14:schemeClr w14:val="tx1"/>
                  </w14:solidFill>
                </w14:textFill>
              </w:rPr>
              <w:t>园</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区</w:t>
            </w:r>
            <w:r>
              <w:rPr>
                <w:rFonts w:hint="default" w:ascii="Times New Roman" w:hAnsi="Times New Roman" w:eastAsia="宋体" w:cs="Times New Roman"/>
                <w:color w:val="000000" w:themeColor="text1"/>
                <w:sz w:val="24"/>
                <w:szCs w:val="24"/>
                <w:highlight w:val="none"/>
                <w14:textFill>
                  <w14:solidFill>
                    <w14:schemeClr w14:val="tx1"/>
                  </w14:solidFill>
                </w14:textFill>
              </w:rPr>
              <w:t>污水处理厂处</w:t>
            </w:r>
            <w:r>
              <w:rPr>
                <w:rFonts w:hint="default" w:ascii="Times New Roman" w:hAnsi="Times New Roman" w:eastAsia="宋体" w:cs="Times New Roman"/>
                <w:color w:val="000000" w:themeColor="text1"/>
                <w:spacing w:val="-1"/>
                <w:sz w:val="24"/>
                <w:szCs w:val="24"/>
                <w:highlight w:val="none"/>
                <w14:textFill>
                  <w14:solidFill>
                    <w14:schemeClr w14:val="tx1"/>
                  </w14:solidFill>
                </w14:textFill>
              </w:rPr>
              <w:t>理，污水处理设施出水</w:t>
            </w:r>
            <w:r>
              <w:rPr>
                <w:rFonts w:hint="eastAsia" w:ascii="Times New Roman" w:hAnsi="Times New Roman" w:cs="Times New Roman"/>
                <w:color w:val="000000" w:themeColor="text1"/>
                <w:spacing w:val="-1"/>
                <w:sz w:val="24"/>
                <w:szCs w:val="24"/>
                <w:highlight w:val="none"/>
                <w:lang w:val="en-US" w:eastAsia="zh-CN"/>
                <w14:textFill>
                  <w14:solidFill>
                    <w14:schemeClr w14:val="tx1"/>
                  </w14:solidFill>
                </w14:textFill>
              </w:rPr>
              <w:t>与污水处理厂签订的进水水质要求</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p>
          <w:p w14:paraId="2E77CF43">
            <w:pPr>
              <w:pStyle w:val="105"/>
              <w:autoSpaceDE w:val="0"/>
              <w:spacing w:line="240" w:lineRule="auto"/>
              <w:ind w:firstLine="420"/>
              <w:jc w:val="center"/>
              <w:rPr>
                <w:rFonts w:hint="default" w:ascii="Times New Roman" w:hAnsi="Times New Roman" w:eastAsia="宋体" w:cs="Times New Roman"/>
                <w:b/>
                <w:bCs/>
                <w:color w:val="000000" w:themeColor="text1"/>
                <w:kern w:val="2"/>
                <w:sz w:val="24"/>
                <w:szCs w:val="24"/>
                <w:highlight w:val="none"/>
                <w14:textFill>
                  <w14:solidFill>
                    <w14:schemeClr w14:val="tx1"/>
                  </w14:solidFill>
                </w14:textFill>
              </w:rPr>
            </w:pPr>
            <w:r>
              <w:rPr>
                <w:rFonts w:hint="default" w:ascii="Times New Roman" w:hAnsi="Times New Roman" w:eastAsia="宋体" w:cs="Times New Roman"/>
                <w:b/>
                <w:bCs/>
                <w:color w:val="000000" w:themeColor="text1"/>
                <w:kern w:val="2"/>
                <w:sz w:val="24"/>
                <w:szCs w:val="24"/>
                <w:highlight w:val="none"/>
                <w14:textFill>
                  <w14:solidFill>
                    <w14:schemeClr w14:val="tx1"/>
                  </w14:solidFill>
                </w14:textFill>
              </w:rPr>
              <w:t>表</w:t>
            </w:r>
            <w:r>
              <w:rPr>
                <w:rFonts w:hint="default" w:ascii="Times New Roman" w:hAnsi="Times New Roman" w:eastAsia="宋体" w:cs="Times New Roman"/>
                <w:b/>
                <w:bCs/>
                <w:color w:val="000000" w:themeColor="text1"/>
                <w:kern w:val="2"/>
                <w:sz w:val="24"/>
                <w:szCs w:val="24"/>
                <w:highlight w:val="none"/>
                <w:lang w:val="en-US" w:eastAsia="zh-CN"/>
                <w14:textFill>
                  <w14:solidFill>
                    <w14:schemeClr w14:val="tx1"/>
                  </w14:solidFill>
                </w14:textFill>
              </w:rPr>
              <w:t>3-</w:t>
            </w:r>
            <w:r>
              <w:rPr>
                <w:rFonts w:hint="eastAsia" w:hAnsi="Times New Roman" w:cs="Times New Roman"/>
                <w:b/>
                <w:bCs/>
                <w:color w:val="000000" w:themeColor="text1"/>
                <w:kern w:val="2"/>
                <w:sz w:val="24"/>
                <w:szCs w:val="24"/>
                <w:highlight w:val="none"/>
                <w:lang w:val="en-US" w:eastAsia="zh-CN"/>
                <w14:textFill>
                  <w14:solidFill>
                    <w14:schemeClr w14:val="tx1"/>
                  </w14:solidFill>
                </w14:textFill>
              </w:rPr>
              <w:t>13</w:t>
            </w:r>
            <w:r>
              <w:rPr>
                <w:rFonts w:hint="default" w:ascii="Times New Roman" w:hAnsi="Times New Roman" w:eastAsia="宋体" w:cs="Times New Roman"/>
                <w:b/>
                <w:bCs/>
                <w:color w:val="000000" w:themeColor="text1"/>
                <w:kern w:val="2"/>
                <w:sz w:val="24"/>
                <w:szCs w:val="24"/>
                <w:highlight w:val="none"/>
                <w14:textFill>
                  <w14:solidFill>
                    <w14:schemeClr w14:val="tx1"/>
                  </w14:solidFill>
                </w14:textFill>
              </w:rPr>
              <w:t>污水</w:t>
            </w:r>
            <w:r>
              <w:rPr>
                <w:rFonts w:hint="eastAsia" w:ascii="Times New Roman" w:hAnsi="Times New Roman" w:eastAsia="宋体" w:cs="Times New Roman"/>
                <w:b/>
                <w:bCs/>
                <w:color w:val="000000" w:themeColor="text1"/>
                <w:kern w:val="2"/>
                <w:sz w:val="24"/>
                <w:szCs w:val="24"/>
                <w:highlight w:val="none"/>
                <w:lang w:val="en-US" w:eastAsia="zh-CN"/>
                <w14:textFill>
                  <w14:solidFill>
                    <w14:schemeClr w14:val="tx1"/>
                  </w14:solidFill>
                </w14:textFill>
              </w:rPr>
              <w:t>进水水质要求</w:t>
            </w:r>
            <w:r>
              <w:rPr>
                <w:rFonts w:hint="default" w:ascii="Times New Roman" w:hAnsi="Times New Roman" w:eastAsia="宋体" w:cs="Times New Roman"/>
                <w:b/>
                <w:bCs/>
                <w:color w:val="000000" w:themeColor="text1"/>
                <w:kern w:val="2"/>
                <w:sz w:val="24"/>
                <w:szCs w:val="24"/>
                <w:highlight w:val="none"/>
                <w14:textFill>
                  <w14:solidFill>
                    <w14:schemeClr w14:val="tx1"/>
                  </w14:solidFill>
                </w14:textFill>
              </w:rPr>
              <w:t>标准</w:t>
            </w:r>
          </w:p>
          <w:tbl>
            <w:tblPr>
              <w:tblStyle w:val="2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2562"/>
              <w:gridCol w:w="3094"/>
              <w:gridCol w:w="2305"/>
            </w:tblGrid>
            <w:tr w14:paraId="7424D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2696" w:type="dxa"/>
                  <w:noWrap w:val="0"/>
                  <w:vAlign w:val="top"/>
                </w:tcPr>
                <w:p w14:paraId="51B39427">
                  <w:pPr>
                    <w:jc w:val="center"/>
                    <w:rPr>
                      <w:rFonts w:hint="default" w:ascii="Times New Roman" w:hAnsi="Times New Roman" w:eastAsia="宋体" w:cs="Times New Roman"/>
                      <w:b w:val="0"/>
                      <w:bCs w:val="0"/>
                      <w:color w:val="000000" w:themeColor="text1"/>
                      <w:szCs w:val="21"/>
                      <w:highlight w:val="none"/>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项目</w:t>
                  </w:r>
                </w:p>
              </w:tc>
              <w:tc>
                <w:tcPr>
                  <w:tcW w:w="3257" w:type="dxa"/>
                  <w:noWrap w:val="0"/>
                  <w:vAlign w:val="top"/>
                </w:tcPr>
                <w:p w14:paraId="6DBAD35A">
                  <w:pPr>
                    <w:jc w:val="center"/>
                    <w:rPr>
                      <w:rFonts w:hint="default" w:ascii="Times New Roman" w:hAnsi="Times New Roman" w:eastAsia="宋体" w:cs="Times New Roman"/>
                      <w:b w:val="0"/>
                      <w:bCs w:val="0"/>
                      <w:color w:val="000000" w:themeColor="text1"/>
                      <w:szCs w:val="21"/>
                      <w:highlight w:val="none"/>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设计指标</w:t>
                  </w:r>
                </w:p>
              </w:tc>
              <w:tc>
                <w:tcPr>
                  <w:tcW w:w="2426" w:type="dxa"/>
                  <w:noWrap w:val="0"/>
                  <w:vAlign w:val="top"/>
                </w:tcPr>
                <w:p w14:paraId="477FDF0F">
                  <w:pPr>
                    <w:jc w:val="center"/>
                    <w:rPr>
                      <w:rFonts w:hint="default" w:ascii="Times New Roman" w:hAnsi="Times New Roman" w:eastAsia="宋体" w:cs="Times New Roman"/>
                      <w:b w:val="0"/>
                      <w:bCs w:val="0"/>
                      <w:color w:val="000000" w:themeColor="text1"/>
                      <w:szCs w:val="21"/>
                      <w:highlight w:val="none"/>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单位</w:t>
                  </w:r>
                </w:p>
              </w:tc>
            </w:tr>
            <w:tr w14:paraId="09D2B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2696" w:type="dxa"/>
                  <w:noWrap w:val="0"/>
                  <w:vAlign w:val="top"/>
                </w:tcPr>
                <w:p w14:paraId="4E294D62">
                  <w:pPr>
                    <w:jc w:val="center"/>
                    <w:rPr>
                      <w:rFonts w:hint="default" w:ascii="Times New Roman" w:hAnsi="Times New Roman" w:eastAsia="宋体" w:cs="Times New Roman"/>
                      <w:b w:val="0"/>
                      <w:bCs w:val="0"/>
                      <w:color w:val="000000" w:themeColor="text1"/>
                      <w:szCs w:val="21"/>
                      <w:highlight w:val="none"/>
                      <w:lang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化学需氧量（COD）</w:t>
                  </w:r>
                </w:p>
              </w:tc>
              <w:tc>
                <w:tcPr>
                  <w:tcW w:w="3257" w:type="dxa"/>
                  <w:noWrap w:val="0"/>
                  <w:vAlign w:val="top"/>
                </w:tcPr>
                <w:p w14:paraId="2392640D">
                  <w:pPr>
                    <w:jc w:val="center"/>
                    <w:rPr>
                      <w:rFonts w:hint="default" w:ascii="Times New Roman" w:hAnsi="Times New Roman" w:eastAsia="宋体" w:cs="Times New Roman"/>
                      <w:b w:val="0"/>
                      <w:bCs w:val="0"/>
                      <w:color w:val="000000" w:themeColor="text1"/>
                      <w:szCs w:val="21"/>
                      <w:highlight w:val="none"/>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800</w:t>
                  </w:r>
                </w:p>
              </w:tc>
              <w:tc>
                <w:tcPr>
                  <w:tcW w:w="2426" w:type="dxa"/>
                  <w:noWrap w:val="0"/>
                  <w:vAlign w:val="top"/>
                </w:tcPr>
                <w:p w14:paraId="6F4BF200">
                  <w:pPr>
                    <w:jc w:val="center"/>
                    <w:rPr>
                      <w:rFonts w:hint="default" w:ascii="Times New Roman" w:hAnsi="Times New Roman" w:eastAsia="宋体" w:cs="Times New Roman"/>
                      <w:b w:val="0"/>
                      <w:bCs w:val="0"/>
                      <w:color w:val="000000" w:themeColor="text1"/>
                      <w:szCs w:val="21"/>
                      <w:highlight w:val="none"/>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mg/L</w:t>
                  </w:r>
                </w:p>
              </w:tc>
            </w:tr>
            <w:tr w14:paraId="3A50D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2696" w:type="dxa"/>
                  <w:noWrap w:val="0"/>
                  <w:vAlign w:val="top"/>
                </w:tcPr>
                <w:p w14:paraId="78EF9FA1">
                  <w:pPr>
                    <w:jc w:val="center"/>
                    <w:rPr>
                      <w:rFonts w:hint="eastAsia" w:ascii="Times New Roman" w:hAnsi="Times New Roman" w:eastAsia="宋体" w:cs="Times New Roman"/>
                      <w:b w:val="0"/>
                      <w:bCs w:val="0"/>
                      <w:color w:val="000000" w:themeColor="text1"/>
                      <w:szCs w:val="21"/>
                      <w:highlight w:val="no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氨氮（NH</w:t>
                  </w:r>
                  <w:r>
                    <w:rPr>
                      <w:rFonts w:hint="eastAsia"/>
                      <w:color w:val="000000" w:themeColor="text1"/>
                      <w:highlight w:val="none"/>
                      <w:vertAlign w:val="subscript"/>
                      <w:lang w:val="en-US" w:eastAsia="zh-CN"/>
                      <w14:textFill>
                        <w14:solidFill>
                          <w14:schemeClr w14:val="tx1"/>
                        </w14:solidFill>
                      </w14:textFill>
                    </w:rPr>
                    <w:t>3</w:t>
                  </w:r>
                  <w:r>
                    <w:rPr>
                      <w:rFonts w:hint="eastAsia"/>
                      <w:color w:val="000000" w:themeColor="text1"/>
                      <w:highlight w:val="none"/>
                      <w:vertAlign w:val="baseline"/>
                      <w:lang w:val="en-US" w:eastAsia="zh-CN"/>
                      <w14:textFill>
                        <w14:solidFill>
                          <w14:schemeClr w14:val="tx1"/>
                        </w14:solidFill>
                      </w14:textFill>
                    </w:rPr>
                    <w:t>-N）</w:t>
                  </w:r>
                </w:p>
              </w:tc>
              <w:tc>
                <w:tcPr>
                  <w:tcW w:w="3257" w:type="dxa"/>
                  <w:noWrap w:val="0"/>
                  <w:vAlign w:val="top"/>
                </w:tcPr>
                <w:p w14:paraId="77E79C53">
                  <w:pPr>
                    <w:jc w:val="center"/>
                    <w:rPr>
                      <w:rFonts w:hint="default" w:ascii="Times New Roman" w:hAnsi="Times New Roman" w:eastAsia="宋体" w:cs="Times New Roman"/>
                      <w:b w:val="0"/>
                      <w:bCs w:val="0"/>
                      <w:color w:val="000000" w:themeColor="text1"/>
                      <w:szCs w:val="21"/>
                      <w:highlight w:val="none"/>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300</w:t>
                  </w:r>
                </w:p>
              </w:tc>
              <w:tc>
                <w:tcPr>
                  <w:tcW w:w="2426" w:type="dxa"/>
                  <w:noWrap w:val="0"/>
                  <w:vAlign w:val="top"/>
                </w:tcPr>
                <w:p w14:paraId="1A9BE78E">
                  <w:pPr>
                    <w:jc w:val="center"/>
                    <w:rPr>
                      <w:rFonts w:hint="default" w:ascii="Times New Roman" w:hAnsi="Times New Roman" w:eastAsia="宋体" w:cs="Times New Roman"/>
                      <w:b w:val="0"/>
                      <w:bCs w:val="0"/>
                      <w:color w:val="000000" w:themeColor="text1"/>
                      <w:szCs w:val="21"/>
                      <w:highlight w:val="none"/>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mg/L</w:t>
                  </w:r>
                </w:p>
              </w:tc>
            </w:tr>
            <w:tr w14:paraId="25FA7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2696" w:type="dxa"/>
                  <w:noWrap w:val="0"/>
                  <w:vAlign w:val="top"/>
                </w:tcPr>
                <w:p w14:paraId="09BCC3AE">
                  <w:pPr>
                    <w:jc w:val="center"/>
                    <w:rPr>
                      <w:rFonts w:hint="default" w:ascii="Times New Roman" w:hAnsi="Times New Roman" w:eastAsia="宋体" w:cs="Times New Roman"/>
                      <w:b w:val="0"/>
                      <w:bCs w:val="0"/>
                      <w:color w:val="000000" w:themeColor="text1"/>
                      <w:szCs w:val="21"/>
                      <w:highlight w:val="none"/>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悬浮物（SS）</w:t>
                  </w:r>
                </w:p>
              </w:tc>
              <w:tc>
                <w:tcPr>
                  <w:tcW w:w="3257" w:type="dxa"/>
                  <w:noWrap w:val="0"/>
                  <w:vAlign w:val="top"/>
                </w:tcPr>
                <w:p w14:paraId="3B6FC8E0">
                  <w:pPr>
                    <w:jc w:val="center"/>
                    <w:rPr>
                      <w:rFonts w:hint="default" w:ascii="Times New Roman" w:hAnsi="Times New Roman" w:eastAsia="宋体" w:cs="Times New Roman"/>
                      <w:b w:val="0"/>
                      <w:bCs w:val="0"/>
                      <w:color w:val="000000" w:themeColor="text1"/>
                      <w:szCs w:val="21"/>
                      <w:highlight w:val="none"/>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170</w:t>
                  </w:r>
                </w:p>
              </w:tc>
              <w:tc>
                <w:tcPr>
                  <w:tcW w:w="2426" w:type="dxa"/>
                  <w:noWrap w:val="0"/>
                  <w:vAlign w:val="top"/>
                </w:tcPr>
                <w:p w14:paraId="1A5E7EE1">
                  <w:pPr>
                    <w:jc w:val="center"/>
                    <w:rPr>
                      <w:rFonts w:hint="default" w:ascii="Times New Roman" w:hAnsi="Times New Roman" w:eastAsia="宋体" w:cs="Times New Roman"/>
                      <w:b w:val="0"/>
                      <w:bCs w:val="0"/>
                      <w:color w:val="000000" w:themeColor="text1"/>
                      <w:szCs w:val="21"/>
                      <w:highlight w:val="none"/>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mg/L</w:t>
                  </w:r>
                </w:p>
              </w:tc>
            </w:tr>
            <w:tr w14:paraId="104FE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2696" w:type="dxa"/>
                  <w:noWrap w:val="0"/>
                  <w:vAlign w:val="top"/>
                </w:tcPr>
                <w:p w14:paraId="17D02F79">
                  <w:pPr>
                    <w:jc w:val="center"/>
                    <w:rPr>
                      <w:rFonts w:hint="default" w:ascii="Times New Roman" w:hAnsi="Times New Roman" w:eastAsia="宋体" w:cs="Times New Roman"/>
                      <w:b w:val="0"/>
                      <w:bCs w:val="0"/>
                      <w:color w:val="000000" w:themeColor="text1"/>
                      <w:szCs w:val="21"/>
                      <w:highlight w:val="none"/>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BOD</w:t>
                  </w:r>
                  <w:r>
                    <w:rPr>
                      <w:rFonts w:hint="eastAsia"/>
                      <w:color w:val="000000" w:themeColor="text1"/>
                      <w:highlight w:val="none"/>
                      <w:vertAlign w:val="subscript"/>
                      <w:lang w:val="en-US" w:eastAsia="zh-CN"/>
                      <w14:textFill>
                        <w14:solidFill>
                          <w14:schemeClr w14:val="tx1"/>
                        </w14:solidFill>
                      </w14:textFill>
                    </w:rPr>
                    <w:t>5</w:t>
                  </w:r>
                </w:p>
              </w:tc>
              <w:tc>
                <w:tcPr>
                  <w:tcW w:w="3257" w:type="dxa"/>
                  <w:noWrap w:val="0"/>
                  <w:vAlign w:val="top"/>
                </w:tcPr>
                <w:p w14:paraId="06235625">
                  <w:pPr>
                    <w:jc w:val="center"/>
                    <w:rPr>
                      <w:rFonts w:hint="default" w:ascii="Times New Roman" w:hAnsi="Times New Roman" w:eastAsia="宋体" w:cs="Times New Roman"/>
                      <w:b w:val="0"/>
                      <w:bCs w:val="0"/>
                      <w:color w:val="000000" w:themeColor="text1"/>
                      <w:szCs w:val="21"/>
                      <w:highlight w:val="none"/>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1200</w:t>
                  </w:r>
                </w:p>
              </w:tc>
              <w:tc>
                <w:tcPr>
                  <w:tcW w:w="2426" w:type="dxa"/>
                  <w:noWrap w:val="0"/>
                  <w:vAlign w:val="top"/>
                </w:tcPr>
                <w:p w14:paraId="45CEF2C5">
                  <w:pPr>
                    <w:jc w:val="center"/>
                    <w:rPr>
                      <w:rFonts w:hint="default" w:ascii="Times New Roman" w:hAnsi="Times New Roman" w:eastAsia="宋体" w:cs="Times New Roman"/>
                      <w:b w:val="0"/>
                      <w:bCs w:val="0"/>
                      <w:color w:val="000000" w:themeColor="text1"/>
                      <w:szCs w:val="21"/>
                      <w:highlight w:val="none"/>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mg/L</w:t>
                  </w:r>
                </w:p>
              </w:tc>
            </w:tr>
            <w:tr w14:paraId="1F0A6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2696" w:type="dxa"/>
                  <w:noWrap w:val="0"/>
                  <w:vAlign w:val="top"/>
                </w:tcPr>
                <w:p w14:paraId="7788B80F">
                  <w:pPr>
                    <w:jc w:val="center"/>
                    <w:rPr>
                      <w:rFonts w:hint="default" w:ascii="Times New Roman" w:hAnsi="Times New Roman" w:eastAsia="宋体" w:cs="Times New Roman"/>
                      <w:b w:val="0"/>
                      <w:bCs w:val="0"/>
                      <w:color w:val="000000" w:themeColor="text1"/>
                      <w:szCs w:val="21"/>
                      <w:highlight w:val="none"/>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PH</w:t>
                  </w:r>
                </w:p>
              </w:tc>
              <w:tc>
                <w:tcPr>
                  <w:tcW w:w="3257" w:type="dxa"/>
                  <w:noWrap w:val="0"/>
                  <w:vAlign w:val="top"/>
                </w:tcPr>
                <w:p w14:paraId="525D7C75">
                  <w:pPr>
                    <w:jc w:val="center"/>
                    <w:rPr>
                      <w:rFonts w:hint="default" w:ascii="Times New Roman" w:hAnsi="Times New Roman" w:eastAsia="宋体" w:cs="Times New Roman"/>
                      <w:b w:val="0"/>
                      <w:bCs w:val="0"/>
                      <w:color w:val="000000" w:themeColor="text1"/>
                      <w:szCs w:val="21"/>
                      <w:highlight w:val="none"/>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6-9</w:t>
                  </w:r>
                </w:p>
              </w:tc>
              <w:tc>
                <w:tcPr>
                  <w:tcW w:w="2426" w:type="dxa"/>
                  <w:noWrap w:val="0"/>
                  <w:vAlign w:val="top"/>
                </w:tcPr>
                <w:p w14:paraId="03B1E1D9">
                  <w:pPr>
                    <w:jc w:val="center"/>
                    <w:rPr>
                      <w:rFonts w:hint="default" w:ascii="Times New Roman" w:hAnsi="Times New Roman" w:eastAsia="宋体" w:cs="Times New Roman"/>
                      <w:b w:val="0"/>
                      <w:bCs w:val="0"/>
                      <w:color w:val="000000" w:themeColor="text1"/>
                      <w:szCs w:val="21"/>
                      <w:highlight w:val="none"/>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w:t>
                  </w:r>
                </w:p>
              </w:tc>
            </w:tr>
            <w:tr w14:paraId="2996D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2696" w:type="dxa"/>
                  <w:noWrap w:val="0"/>
                  <w:vAlign w:val="top"/>
                </w:tcPr>
                <w:p w14:paraId="1A7EECD8">
                  <w:pPr>
                    <w:jc w:val="center"/>
                    <w:rPr>
                      <w:rFonts w:hint="default" w:ascii="Times New Roman" w:hAnsi="Times New Roman" w:eastAsia="宋体" w:cs="Times New Roman"/>
                      <w:b w:val="0"/>
                      <w:bCs w:val="0"/>
                      <w:color w:val="000000" w:themeColor="text1"/>
                      <w:szCs w:val="21"/>
                      <w:highlight w:val="none"/>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电导率</w:t>
                  </w:r>
                </w:p>
              </w:tc>
              <w:tc>
                <w:tcPr>
                  <w:tcW w:w="3257" w:type="dxa"/>
                  <w:noWrap w:val="0"/>
                  <w:vAlign w:val="top"/>
                </w:tcPr>
                <w:p w14:paraId="11F45F19">
                  <w:pPr>
                    <w:jc w:val="center"/>
                    <w:rPr>
                      <w:rFonts w:hint="default" w:ascii="Times New Roman" w:hAnsi="Times New Roman" w:eastAsia="宋体" w:cs="Times New Roman"/>
                      <w:b w:val="0"/>
                      <w:bCs w:val="0"/>
                      <w:color w:val="000000" w:themeColor="text1"/>
                      <w:szCs w:val="21"/>
                      <w:highlight w:val="none"/>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5000</w:t>
                  </w:r>
                </w:p>
              </w:tc>
              <w:tc>
                <w:tcPr>
                  <w:tcW w:w="2426" w:type="dxa"/>
                  <w:noWrap w:val="0"/>
                  <w:vAlign w:val="top"/>
                </w:tcPr>
                <w:p w14:paraId="05FC9285">
                  <w:pPr>
                    <w:jc w:val="center"/>
                    <w:rPr>
                      <w:rFonts w:hint="default" w:ascii="Times New Roman" w:hAnsi="Times New Roman" w:eastAsia="宋体" w:cs="Times New Roman"/>
                      <w:b w:val="0"/>
                      <w:bCs w:val="0"/>
                      <w:color w:val="000000" w:themeColor="text1"/>
                      <w:szCs w:val="21"/>
                      <w:highlight w:val="none"/>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mg/L</w:t>
                  </w:r>
                </w:p>
              </w:tc>
            </w:tr>
            <w:tr w14:paraId="1E12D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2696" w:type="dxa"/>
                  <w:noWrap w:val="0"/>
                  <w:vAlign w:val="top"/>
                </w:tcPr>
                <w:p w14:paraId="3FBC42A6">
                  <w:pPr>
                    <w:jc w:val="center"/>
                    <w:rPr>
                      <w:rFonts w:hint="default" w:ascii="Times New Roman" w:hAnsi="Times New Roman" w:eastAsia="宋体" w:cs="Times New Roman"/>
                      <w:b w:val="0"/>
                      <w:bCs w:val="0"/>
                      <w:color w:val="000000" w:themeColor="text1"/>
                      <w:szCs w:val="21"/>
                      <w:highlight w:val="none"/>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石油类</w:t>
                  </w:r>
                </w:p>
              </w:tc>
              <w:tc>
                <w:tcPr>
                  <w:tcW w:w="3257" w:type="dxa"/>
                  <w:noWrap w:val="0"/>
                  <w:vAlign w:val="top"/>
                </w:tcPr>
                <w:p w14:paraId="157D3789">
                  <w:pPr>
                    <w:jc w:val="center"/>
                    <w:rPr>
                      <w:rFonts w:hint="default" w:ascii="Times New Roman" w:hAnsi="Times New Roman" w:eastAsia="宋体" w:cs="Times New Roman"/>
                      <w:b w:val="0"/>
                      <w:bCs w:val="0"/>
                      <w:color w:val="000000" w:themeColor="text1"/>
                      <w:szCs w:val="21"/>
                      <w:highlight w:val="none"/>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10</w:t>
                  </w:r>
                </w:p>
              </w:tc>
              <w:tc>
                <w:tcPr>
                  <w:tcW w:w="2426" w:type="dxa"/>
                  <w:noWrap w:val="0"/>
                  <w:vAlign w:val="top"/>
                </w:tcPr>
                <w:p w14:paraId="1C58606D">
                  <w:pPr>
                    <w:jc w:val="center"/>
                    <w:rPr>
                      <w:rFonts w:hint="default" w:ascii="Times New Roman" w:hAnsi="Times New Roman" w:eastAsia="宋体" w:cs="Times New Roman"/>
                      <w:b w:val="0"/>
                      <w:bCs w:val="0"/>
                      <w:color w:val="000000" w:themeColor="text1"/>
                      <w:szCs w:val="21"/>
                      <w:highlight w:val="none"/>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mg/L</w:t>
                  </w:r>
                </w:p>
              </w:tc>
            </w:tr>
            <w:tr w14:paraId="7034F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2696" w:type="dxa"/>
                  <w:noWrap w:val="0"/>
                  <w:vAlign w:val="top"/>
                </w:tcPr>
                <w:p w14:paraId="0C6F1EC0">
                  <w:pPr>
                    <w:jc w:val="center"/>
                    <w:rPr>
                      <w:rFonts w:hint="default" w:ascii="Times New Roman" w:hAnsi="Times New Roman" w:eastAsia="宋体" w:cs="Times New Roman"/>
                      <w:b w:val="0"/>
                      <w:bCs w:val="0"/>
                      <w:color w:val="000000" w:themeColor="text1"/>
                      <w:szCs w:val="2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SO</w:t>
                  </w:r>
                  <w:r>
                    <w:rPr>
                      <w:rFonts w:hint="eastAsia"/>
                      <w:color w:val="000000" w:themeColor="text1"/>
                      <w:highlight w:val="none"/>
                      <w:vertAlign w:val="subscript"/>
                      <w:lang w:val="en-US" w:eastAsia="zh-CN"/>
                      <w14:textFill>
                        <w14:solidFill>
                          <w14:schemeClr w14:val="tx1"/>
                        </w14:solidFill>
                      </w14:textFill>
                    </w:rPr>
                    <w:t>4</w:t>
                  </w:r>
                  <w:r>
                    <w:rPr>
                      <w:rFonts w:hint="eastAsia"/>
                      <w:color w:val="000000" w:themeColor="text1"/>
                      <w:highlight w:val="none"/>
                      <w:vertAlign w:val="superscript"/>
                      <w:lang w:val="en-US" w:eastAsia="zh-CN"/>
                      <w14:textFill>
                        <w14:solidFill>
                          <w14:schemeClr w14:val="tx1"/>
                        </w14:solidFill>
                      </w14:textFill>
                    </w:rPr>
                    <w:t>2-</w:t>
                  </w:r>
                </w:p>
              </w:tc>
              <w:tc>
                <w:tcPr>
                  <w:tcW w:w="3257" w:type="dxa"/>
                  <w:noWrap w:val="0"/>
                  <w:vAlign w:val="top"/>
                </w:tcPr>
                <w:p w14:paraId="1FEE3045">
                  <w:pPr>
                    <w:jc w:val="center"/>
                    <w:rPr>
                      <w:rFonts w:hint="default" w:ascii="Times New Roman" w:hAnsi="Times New Roman" w:eastAsia="宋体" w:cs="Times New Roman"/>
                      <w:b w:val="0"/>
                      <w:bCs w:val="0"/>
                      <w:color w:val="000000" w:themeColor="text1"/>
                      <w:szCs w:val="21"/>
                      <w:highlight w:val="none"/>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1000</w:t>
                  </w:r>
                </w:p>
              </w:tc>
              <w:tc>
                <w:tcPr>
                  <w:tcW w:w="2426" w:type="dxa"/>
                  <w:noWrap w:val="0"/>
                  <w:vAlign w:val="top"/>
                </w:tcPr>
                <w:p w14:paraId="75D3628A">
                  <w:pPr>
                    <w:jc w:val="center"/>
                    <w:rPr>
                      <w:rFonts w:hint="default" w:ascii="Times New Roman" w:hAnsi="Times New Roman" w:eastAsia="宋体" w:cs="Times New Roman"/>
                      <w:b w:val="0"/>
                      <w:bCs w:val="0"/>
                      <w:color w:val="000000" w:themeColor="text1"/>
                      <w:szCs w:val="21"/>
                      <w:highlight w:val="none"/>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mg/L</w:t>
                  </w:r>
                </w:p>
              </w:tc>
            </w:tr>
            <w:tr w14:paraId="7F914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2696" w:type="dxa"/>
                  <w:noWrap w:val="0"/>
                  <w:vAlign w:val="top"/>
                </w:tcPr>
                <w:p w14:paraId="5B014978">
                  <w:pPr>
                    <w:jc w:val="center"/>
                    <w:rPr>
                      <w:rFonts w:hint="default" w:ascii="Times New Roman" w:hAnsi="Times New Roman" w:eastAsia="宋体" w:cs="Times New Roman"/>
                      <w:b w:val="0"/>
                      <w:bCs w:val="0"/>
                      <w:color w:val="000000" w:themeColor="text1"/>
                      <w:szCs w:val="21"/>
                      <w:highlight w:val="none"/>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挥发酚</w:t>
                  </w:r>
                </w:p>
              </w:tc>
              <w:tc>
                <w:tcPr>
                  <w:tcW w:w="3257" w:type="dxa"/>
                  <w:noWrap w:val="0"/>
                  <w:vAlign w:val="top"/>
                </w:tcPr>
                <w:p w14:paraId="3B3A367E">
                  <w:pPr>
                    <w:jc w:val="center"/>
                    <w:rPr>
                      <w:rFonts w:hint="default" w:ascii="Times New Roman" w:hAnsi="Times New Roman" w:eastAsia="宋体" w:cs="Times New Roman"/>
                      <w:b w:val="0"/>
                      <w:bCs w:val="0"/>
                      <w:color w:val="000000" w:themeColor="text1"/>
                      <w:szCs w:val="21"/>
                      <w:highlight w:val="none"/>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20</w:t>
                  </w:r>
                </w:p>
              </w:tc>
              <w:tc>
                <w:tcPr>
                  <w:tcW w:w="2426" w:type="dxa"/>
                  <w:noWrap w:val="0"/>
                  <w:vAlign w:val="top"/>
                </w:tcPr>
                <w:p w14:paraId="41FFEF3A">
                  <w:pPr>
                    <w:jc w:val="center"/>
                    <w:rPr>
                      <w:rFonts w:hint="default" w:ascii="Times New Roman" w:hAnsi="Times New Roman" w:eastAsia="宋体" w:cs="Times New Roman"/>
                      <w:b w:val="0"/>
                      <w:bCs w:val="0"/>
                      <w:color w:val="000000" w:themeColor="text1"/>
                      <w:szCs w:val="21"/>
                      <w:highlight w:val="none"/>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mg/L</w:t>
                  </w:r>
                </w:p>
              </w:tc>
            </w:tr>
            <w:tr w14:paraId="34EB9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2696" w:type="dxa"/>
                  <w:noWrap w:val="0"/>
                  <w:vAlign w:val="top"/>
                </w:tcPr>
                <w:p w14:paraId="28BB1744">
                  <w:pPr>
                    <w:jc w:val="center"/>
                    <w:rPr>
                      <w:rFonts w:hint="default" w:ascii="Times New Roman" w:hAnsi="Times New Roman" w:eastAsia="宋体" w:cs="Times New Roman"/>
                      <w:b w:val="0"/>
                      <w:bCs w:val="0"/>
                      <w:color w:val="000000" w:themeColor="text1"/>
                      <w:szCs w:val="21"/>
                      <w:highlight w:val="none"/>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硫化物</w:t>
                  </w:r>
                </w:p>
              </w:tc>
              <w:tc>
                <w:tcPr>
                  <w:tcW w:w="3257" w:type="dxa"/>
                  <w:noWrap w:val="0"/>
                  <w:vAlign w:val="top"/>
                </w:tcPr>
                <w:p w14:paraId="06E31E09">
                  <w:pPr>
                    <w:jc w:val="center"/>
                    <w:rPr>
                      <w:rFonts w:hint="default" w:ascii="Times New Roman" w:hAnsi="Times New Roman" w:eastAsia="宋体" w:cs="Times New Roman"/>
                      <w:b w:val="0"/>
                      <w:bCs w:val="0"/>
                      <w:color w:val="000000" w:themeColor="text1"/>
                      <w:szCs w:val="21"/>
                      <w:highlight w:val="none"/>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2</w:t>
                  </w:r>
                </w:p>
              </w:tc>
              <w:tc>
                <w:tcPr>
                  <w:tcW w:w="2426" w:type="dxa"/>
                  <w:noWrap w:val="0"/>
                  <w:vAlign w:val="top"/>
                </w:tcPr>
                <w:p w14:paraId="3CB9A41C">
                  <w:pPr>
                    <w:jc w:val="center"/>
                    <w:rPr>
                      <w:rFonts w:hint="default" w:ascii="Times New Roman" w:hAnsi="Times New Roman" w:eastAsia="宋体" w:cs="Times New Roman"/>
                      <w:b w:val="0"/>
                      <w:bCs w:val="0"/>
                      <w:color w:val="000000" w:themeColor="text1"/>
                      <w:szCs w:val="21"/>
                      <w:highlight w:val="none"/>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mg/L</w:t>
                  </w:r>
                </w:p>
              </w:tc>
            </w:tr>
            <w:tr w14:paraId="37041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2696" w:type="dxa"/>
                  <w:noWrap w:val="0"/>
                  <w:vAlign w:val="top"/>
                </w:tcPr>
                <w:p w14:paraId="2962AD10">
                  <w:pPr>
                    <w:jc w:val="center"/>
                    <w:rPr>
                      <w:rFonts w:hint="default" w:ascii="Times New Roman" w:hAnsi="Times New Roman" w:eastAsia="宋体" w:cs="Times New Roman"/>
                      <w:b w:val="0"/>
                      <w:bCs w:val="0"/>
                      <w:color w:val="000000" w:themeColor="text1"/>
                      <w:szCs w:val="21"/>
                      <w:highlight w:val="none"/>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硝基苯</w:t>
                  </w:r>
                </w:p>
              </w:tc>
              <w:tc>
                <w:tcPr>
                  <w:tcW w:w="3257" w:type="dxa"/>
                  <w:noWrap w:val="0"/>
                  <w:vAlign w:val="top"/>
                </w:tcPr>
                <w:p w14:paraId="4F7B437D">
                  <w:pPr>
                    <w:jc w:val="center"/>
                    <w:rPr>
                      <w:rFonts w:hint="default" w:ascii="Times New Roman" w:hAnsi="Times New Roman" w:eastAsia="宋体" w:cs="Times New Roman"/>
                      <w:b w:val="0"/>
                      <w:bCs w:val="0"/>
                      <w:color w:val="000000" w:themeColor="text1"/>
                      <w:szCs w:val="21"/>
                      <w:highlight w:val="none"/>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5</w:t>
                  </w:r>
                </w:p>
              </w:tc>
              <w:tc>
                <w:tcPr>
                  <w:tcW w:w="2426" w:type="dxa"/>
                  <w:noWrap w:val="0"/>
                  <w:vAlign w:val="top"/>
                </w:tcPr>
                <w:p w14:paraId="65CBC98B">
                  <w:pPr>
                    <w:jc w:val="center"/>
                    <w:rPr>
                      <w:rFonts w:hint="default" w:ascii="Times New Roman" w:hAnsi="Times New Roman" w:eastAsia="宋体" w:cs="Times New Roman"/>
                      <w:b w:val="0"/>
                      <w:bCs w:val="0"/>
                      <w:color w:val="000000" w:themeColor="text1"/>
                      <w:szCs w:val="21"/>
                      <w:highlight w:val="none"/>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mg/L</w:t>
                  </w:r>
                </w:p>
              </w:tc>
            </w:tr>
            <w:tr w14:paraId="74C64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2696" w:type="dxa"/>
                  <w:noWrap w:val="0"/>
                  <w:vAlign w:val="top"/>
                </w:tcPr>
                <w:p w14:paraId="61B16CB8">
                  <w:pPr>
                    <w:jc w:val="center"/>
                    <w:rPr>
                      <w:rFonts w:hint="default" w:ascii="Times New Roman" w:hAnsi="Times New Roman" w:eastAsia="宋体" w:cs="Times New Roman"/>
                      <w:b w:val="0"/>
                      <w:bCs w:val="0"/>
                      <w:color w:val="000000" w:themeColor="text1"/>
                      <w:szCs w:val="21"/>
                      <w:highlight w:val="none"/>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氰化物</w:t>
                  </w:r>
                </w:p>
              </w:tc>
              <w:tc>
                <w:tcPr>
                  <w:tcW w:w="3257" w:type="dxa"/>
                  <w:noWrap w:val="0"/>
                  <w:vAlign w:val="top"/>
                </w:tcPr>
                <w:p w14:paraId="2CFF9B73">
                  <w:pPr>
                    <w:jc w:val="center"/>
                    <w:rPr>
                      <w:rFonts w:hint="default" w:ascii="Times New Roman" w:hAnsi="Times New Roman" w:eastAsia="宋体" w:cs="Times New Roman"/>
                      <w:b w:val="0"/>
                      <w:bCs w:val="0"/>
                      <w:color w:val="000000" w:themeColor="text1"/>
                      <w:szCs w:val="21"/>
                      <w:highlight w:val="none"/>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1</w:t>
                  </w:r>
                </w:p>
              </w:tc>
              <w:tc>
                <w:tcPr>
                  <w:tcW w:w="2426" w:type="dxa"/>
                  <w:noWrap w:val="0"/>
                  <w:vAlign w:val="top"/>
                </w:tcPr>
                <w:p w14:paraId="704A596A">
                  <w:pPr>
                    <w:jc w:val="center"/>
                    <w:rPr>
                      <w:rFonts w:hint="default" w:ascii="Times New Roman" w:hAnsi="Times New Roman" w:eastAsia="宋体" w:cs="Times New Roman"/>
                      <w:b w:val="0"/>
                      <w:bCs w:val="0"/>
                      <w:color w:val="000000" w:themeColor="text1"/>
                      <w:szCs w:val="21"/>
                      <w:highlight w:val="none"/>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mg/L</w:t>
                  </w:r>
                </w:p>
              </w:tc>
            </w:tr>
            <w:tr w14:paraId="6940A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2696" w:type="dxa"/>
                  <w:noWrap w:val="0"/>
                  <w:vAlign w:val="top"/>
                </w:tcPr>
                <w:p w14:paraId="3EBCD718">
                  <w:pPr>
                    <w:jc w:val="center"/>
                    <w:rPr>
                      <w:rFonts w:hint="default" w:ascii="Times New Roman" w:hAnsi="Times New Roman" w:eastAsia="宋体" w:cs="Times New Roman"/>
                      <w:b w:val="0"/>
                      <w:bCs w:val="0"/>
                      <w:color w:val="000000" w:themeColor="text1"/>
                      <w:szCs w:val="21"/>
                      <w:highlight w:val="none"/>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总磷</w:t>
                  </w:r>
                </w:p>
              </w:tc>
              <w:tc>
                <w:tcPr>
                  <w:tcW w:w="3257" w:type="dxa"/>
                  <w:noWrap w:val="0"/>
                  <w:vAlign w:val="top"/>
                </w:tcPr>
                <w:p w14:paraId="74C7D3AF">
                  <w:pPr>
                    <w:jc w:val="center"/>
                    <w:rPr>
                      <w:rFonts w:hint="default" w:ascii="Times New Roman" w:hAnsi="Times New Roman" w:eastAsia="宋体" w:cs="Times New Roman"/>
                      <w:b w:val="0"/>
                      <w:bCs w:val="0"/>
                      <w:color w:val="000000" w:themeColor="text1"/>
                      <w:szCs w:val="21"/>
                      <w:highlight w:val="none"/>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10</w:t>
                  </w:r>
                </w:p>
              </w:tc>
              <w:tc>
                <w:tcPr>
                  <w:tcW w:w="2426" w:type="dxa"/>
                  <w:noWrap w:val="0"/>
                  <w:vAlign w:val="top"/>
                </w:tcPr>
                <w:p w14:paraId="7171F334">
                  <w:pPr>
                    <w:jc w:val="center"/>
                    <w:rPr>
                      <w:rFonts w:hint="default" w:ascii="Times New Roman" w:hAnsi="Times New Roman" w:eastAsia="宋体" w:cs="Times New Roman"/>
                      <w:b w:val="0"/>
                      <w:bCs w:val="0"/>
                      <w:color w:val="000000" w:themeColor="text1"/>
                      <w:szCs w:val="21"/>
                      <w:highlight w:val="none"/>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mg/L</w:t>
                  </w:r>
                </w:p>
              </w:tc>
            </w:tr>
            <w:tr w14:paraId="2BAC6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2696" w:type="dxa"/>
                  <w:noWrap w:val="0"/>
                  <w:vAlign w:val="top"/>
                </w:tcPr>
                <w:p w14:paraId="4AC0453E">
                  <w:pPr>
                    <w:jc w:val="center"/>
                    <w:rPr>
                      <w:rFonts w:hint="default" w:ascii="Times New Roman" w:hAnsi="Times New Roman" w:eastAsia="宋体" w:cs="Times New Roman"/>
                      <w:b w:val="0"/>
                      <w:bCs w:val="0"/>
                      <w:color w:val="000000" w:themeColor="text1"/>
                      <w:szCs w:val="21"/>
                      <w:highlight w:val="none"/>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总硬度</w:t>
                  </w:r>
                </w:p>
              </w:tc>
              <w:tc>
                <w:tcPr>
                  <w:tcW w:w="3257" w:type="dxa"/>
                  <w:noWrap w:val="0"/>
                  <w:vAlign w:val="top"/>
                </w:tcPr>
                <w:p w14:paraId="40BA86B9">
                  <w:pPr>
                    <w:jc w:val="center"/>
                    <w:rPr>
                      <w:rFonts w:hint="default" w:ascii="Times New Roman" w:hAnsi="Times New Roman" w:eastAsia="宋体" w:cs="Times New Roman"/>
                      <w:b w:val="0"/>
                      <w:bCs w:val="0"/>
                      <w:color w:val="000000" w:themeColor="text1"/>
                      <w:szCs w:val="21"/>
                      <w:highlight w:val="none"/>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495</w:t>
                  </w:r>
                </w:p>
              </w:tc>
              <w:tc>
                <w:tcPr>
                  <w:tcW w:w="2426" w:type="dxa"/>
                  <w:noWrap w:val="0"/>
                  <w:vAlign w:val="top"/>
                </w:tcPr>
                <w:p w14:paraId="675A4EED">
                  <w:pPr>
                    <w:jc w:val="center"/>
                    <w:rPr>
                      <w:rFonts w:hint="default" w:ascii="Times New Roman" w:hAnsi="Times New Roman" w:eastAsia="宋体" w:cs="Times New Roman"/>
                      <w:b w:val="0"/>
                      <w:bCs w:val="0"/>
                      <w:color w:val="000000" w:themeColor="text1"/>
                      <w:szCs w:val="21"/>
                      <w:highlight w:val="none"/>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mg/L</w:t>
                  </w:r>
                </w:p>
              </w:tc>
            </w:tr>
            <w:tr w14:paraId="22BB1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2696" w:type="dxa"/>
                  <w:noWrap w:val="0"/>
                  <w:vAlign w:val="top"/>
                </w:tcPr>
                <w:p w14:paraId="34E67720">
                  <w:pPr>
                    <w:jc w:val="center"/>
                    <w:rPr>
                      <w:rFonts w:hint="default" w:ascii="Times New Roman" w:hAnsi="Times New Roman" w:eastAsia="宋体" w:cs="Times New Roman"/>
                      <w:b w:val="0"/>
                      <w:bCs w:val="0"/>
                      <w:color w:val="000000" w:themeColor="text1"/>
                      <w:szCs w:val="21"/>
                      <w:highlight w:val="none"/>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总硅</w:t>
                  </w:r>
                </w:p>
              </w:tc>
              <w:tc>
                <w:tcPr>
                  <w:tcW w:w="3257" w:type="dxa"/>
                  <w:noWrap w:val="0"/>
                  <w:vAlign w:val="top"/>
                </w:tcPr>
                <w:p w14:paraId="7331A6CD">
                  <w:pPr>
                    <w:jc w:val="center"/>
                    <w:rPr>
                      <w:rFonts w:hint="default" w:ascii="Times New Roman" w:hAnsi="Times New Roman" w:eastAsia="宋体" w:cs="Times New Roman"/>
                      <w:b w:val="0"/>
                      <w:bCs w:val="0"/>
                      <w:color w:val="000000" w:themeColor="text1"/>
                      <w:szCs w:val="21"/>
                      <w:highlight w:val="none"/>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&lt;36</w:t>
                  </w:r>
                </w:p>
              </w:tc>
              <w:tc>
                <w:tcPr>
                  <w:tcW w:w="2426" w:type="dxa"/>
                  <w:noWrap w:val="0"/>
                  <w:vAlign w:val="top"/>
                </w:tcPr>
                <w:p w14:paraId="542A232B">
                  <w:pPr>
                    <w:jc w:val="center"/>
                    <w:rPr>
                      <w:rFonts w:hint="default" w:ascii="Times New Roman" w:hAnsi="Times New Roman" w:eastAsia="宋体" w:cs="Times New Roman"/>
                      <w:b w:val="0"/>
                      <w:bCs w:val="0"/>
                      <w:color w:val="000000" w:themeColor="text1"/>
                      <w:szCs w:val="21"/>
                      <w:highlight w:val="none"/>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mg/L</w:t>
                  </w:r>
                </w:p>
              </w:tc>
            </w:tr>
          </w:tbl>
          <w:p w14:paraId="11F493C9">
            <w:pPr>
              <w:widowControl/>
              <w:tabs>
                <w:tab w:val="left" w:pos="-108"/>
                <w:tab w:val="left" w:pos="627"/>
                <w:tab w:val="left" w:pos="942"/>
              </w:tabs>
              <w:spacing w:before="120" w:beforeLines="50"/>
              <w:ind w:firstLine="482" w:firstLineChars="200"/>
              <w:jc w:val="left"/>
              <w:outlineLvl w:val="1"/>
              <w:rPr>
                <w:rFonts w:hint="default" w:ascii="Times New Roman" w:hAnsi="Times New Roman" w:eastAsia="宋体" w:cs="Times New Roman"/>
                <w:b/>
                <w:bCs/>
                <w:color w:val="000000" w:themeColor="text1"/>
                <w:sz w:val="24"/>
                <w:highlight w:val="none"/>
                <w14:textFill>
                  <w14:solidFill>
                    <w14:schemeClr w14:val="tx1"/>
                  </w14:solidFill>
                </w14:textFill>
              </w:rPr>
            </w:pPr>
            <w:r>
              <w:rPr>
                <w:rFonts w:hint="default" w:ascii="Times New Roman" w:hAnsi="Times New Roman" w:eastAsia="宋体" w:cs="Times New Roman"/>
                <w:b/>
                <w:bCs/>
                <w:color w:val="000000" w:themeColor="text1"/>
                <w:sz w:val="24"/>
                <w:highlight w:val="none"/>
                <w:lang w:eastAsia="zh-CN"/>
                <w14:textFill>
                  <w14:solidFill>
                    <w14:schemeClr w14:val="tx1"/>
                  </w14:solidFill>
                </w14:textFill>
              </w:rPr>
              <w:t>3.</w:t>
            </w:r>
            <w:r>
              <w:rPr>
                <w:rFonts w:hint="default" w:ascii="Times New Roman" w:hAnsi="Times New Roman" w:eastAsia="宋体" w:cs="Times New Roman"/>
                <w:b/>
                <w:bCs/>
                <w:color w:val="000000" w:themeColor="text1"/>
                <w:sz w:val="24"/>
                <w:highlight w:val="none"/>
                <w14:textFill>
                  <w14:solidFill>
                    <w14:schemeClr w14:val="tx1"/>
                  </w14:solidFill>
                </w14:textFill>
              </w:rPr>
              <w:t>噪声排放标准</w:t>
            </w:r>
          </w:p>
          <w:p w14:paraId="390ECBF1">
            <w:pPr>
              <w:widowControl/>
              <w:tabs>
                <w:tab w:val="left" w:pos="-108"/>
                <w:tab w:val="left" w:pos="627"/>
                <w:tab w:val="left" w:pos="942"/>
              </w:tabs>
              <w:spacing w:before="120" w:beforeLines="50" w:line="360" w:lineRule="auto"/>
              <w:ind w:firstLine="480" w:firstLineChars="200"/>
              <w:outlineLvl w:val="1"/>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施工期噪声执行《建筑施工噪声排放标准》（GB12523-20</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25</w:t>
            </w:r>
            <w:r>
              <w:rPr>
                <w:rFonts w:hint="default" w:ascii="Times New Roman" w:hAnsi="Times New Roman" w:eastAsia="宋体" w:cs="Times New Roman"/>
                <w:color w:val="000000" w:themeColor="text1"/>
                <w:sz w:val="24"/>
                <w:highlight w:val="none"/>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中表1建筑施工场界噪声排放限值</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运营期噪声执行《工业企业厂界环境噪声排放标准》（GB12348-2008）</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中的</w:t>
            </w:r>
            <w:r>
              <w:rPr>
                <w:rFonts w:hint="default" w:ascii="Times New Roman" w:hAnsi="Times New Roman" w:eastAsia="宋体" w:cs="Times New Roman"/>
                <w:color w:val="000000" w:themeColor="text1"/>
                <w:sz w:val="24"/>
                <w:highlight w:val="none"/>
                <w14:textFill>
                  <w14:solidFill>
                    <w14:schemeClr w14:val="tx1"/>
                  </w14:solidFill>
                </w14:textFill>
              </w:rPr>
              <w:t>3类</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昼、夜间</w:t>
            </w:r>
            <w:r>
              <w:rPr>
                <w:rFonts w:hint="default" w:ascii="Times New Roman" w:hAnsi="Times New Roman" w:eastAsia="宋体" w:cs="Times New Roman"/>
                <w:color w:val="000000" w:themeColor="text1"/>
                <w:sz w:val="24"/>
                <w:highlight w:val="none"/>
                <w14:textFill>
                  <w14:solidFill>
                    <w14:schemeClr w14:val="tx1"/>
                  </w14:solidFill>
                </w14:textFill>
              </w:rPr>
              <w:t>标准。</w:t>
            </w:r>
          </w:p>
          <w:p w14:paraId="0687C6EC">
            <w:pPr>
              <w:pStyle w:val="105"/>
              <w:autoSpaceDE w:val="0"/>
              <w:spacing w:line="240" w:lineRule="auto"/>
              <w:ind w:firstLine="420"/>
              <w:jc w:val="center"/>
              <w:rPr>
                <w:rFonts w:hint="eastAsia" w:ascii="Times New Roman" w:hAnsi="Times New Roman" w:eastAsia="宋体" w:cs="Times New Roman"/>
                <w:b/>
                <w:bCs/>
                <w:color w:val="000000" w:themeColor="text1"/>
                <w:kern w:val="2"/>
                <w:sz w:val="24"/>
                <w:szCs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kern w:val="2"/>
                <w:sz w:val="24"/>
                <w:szCs w:val="24"/>
                <w:highlight w:val="none"/>
                <w14:textFill>
                  <w14:solidFill>
                    <w14:schemeClr w14:val="tx1"/>
                  </w14:solidFill>
                </w14:textFill>
              </w:rPr>
              <w:t>表</w:t>
            </w:r>
            <w:r>
              <w:rPr>
                <w:rFonts w:hint="default" w:ascii="Times New Roman" w:hAnsi="Times New Roman" w:eastAsia="宋体" w:cs="Times New Roman"/>
                <w:b/>
                <w:bCs/>
                <w:color w:val="000000" w:themeColor="text1"/>
                <w:kern w:val="2"/>
                <w:sz w:val="24"/>
                <w:szCs w:val="24"/>
                <w:highlight w:val="none"/>
                <w:lang w:val="en-US" w:eastAsia="zh-CN"/>
                <w14:textFill>
                  <w14:solidFill>
                    <w14:schemeClr w14:val="tx1"/>
                  </w14:solidFill>
                </w14:textFill>
              </w:rPr>
              <w:t>3-</w:t>
            </w:r>
            <w:r>
              <w:rPr>
                <w:rFonts w:hint="eastAsia" w:hAnsi="Times New Roman" w:cs="Times New Roman"/>
                <w:b/>
                <w:bCs/>
                <w:color w:val="000000" w:themeColor="text1"/>
                <w:kern w:val="2"/>
                <w:sz w:val="24"/>
                <w:szCs w:val="24"/>
                <w:highlight w:val="none"/>
                <w:lang w:val="en-US" w:eastAsia="zh-CN"/>
                <w14:textFill>
                  <w14:solidFill>
                    <w14:schemeClr w14:val="tx1"/>
                  </w14:solidFill>
                </w14:textFill>
              </w:rPr>
              <w:t>14</w:t>
            </w:r>
            <w:r>
              <w:rPr>
                <w:rFonts w:hint="default" w:ascii="Times New Roman" w:hAnsi="Times New Roman" w:eastAsia="宋体" w:cs="Times New Roman"/>
                <w:b/>
                <w:bCs/>
                <w:color w:val="000000" w:themeColor="text1"/>
                <w:kern w:val="2"/>
                <w:sz w:val="24"/>
                <w:szCs w:val="24"/>
                <w:highlight w:val="none"/>
                <w14:textFill>
                  <w14:solidFill>
                    <w14:schemeClr w14:val="tx1"/>
                  </w14:solidFill>
                </w14:textFill>
              </w:rPr>
              <w:t>噪声排放标准</w:t>
            </w:r>
            <w:r>
              <w:rPr>
                <w:rFonts w:hint="eastAsia" w:hAnsi="Times New Roman" w:cs="Times New Roman"/>
                <w:b/>
                <w:bCs/>
                <w:color w:val="000000" w:themeColor="text1"/>
                <w:kern w:val="2"/>
                <w:sz w:val="24"/>
                <w:szCs w:val="24"/>
                <w:highlight w:val="none"/>
                <w:lang w:val="en-US" w:eastAsia="zh-CN"/>
                <w14:textFill>
                  <w14:solidFill>
                    <w14:schemeClr w14:val="tx1"/>
                  </w14:solidFill>
                </w14:textFill>
              </w:rPr>
              <w:t>单位：</w:t>
            </w:r>
            <w:r>
              <w:rPr>
                <w:rFonts w:hint="default" w:ascii="Times New Roman" w:hAnsi="Times New Roman" w:eastAsia="宋体" w:cs="Times New Roman"/>
                <w:b w:val="0"/>
                <w:bCs w:val="0"/>
                <w:color w:val="000000" w:themeColor="text1"/>
                <w:highlight w:val="none"/>
                <w14:textFill>
                  <w14:solidFill>
                    <w14:schemeClr w14:val="tx1"/>
                  </w14:solidFill>
                </w14:textFill>
              </w:rPr>
              <w:t>dB</w:t>
            </w:r>
            <w:r>
              <w:rPr>
                <w:rFonts w:hint="eastAsia" w:ascii="Times New Roman" w:hAnsi="Times New Roman" w:cs="Times New Roman"/>
                <w:b w:val="0"/>
                <w:bCs w:val="0"/>
                <w:color w:val="000000" w:themeColor="text1"/>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highlight w:val="none"/>
                <w14:textFill>
                  <w14:solidFill>
                    <w14:schemeClr w14:val="tx1"/>
                  </w14:solidFill>
                </w14:textFill>
              </w:rPr>
              <w:t>A</w:t>
            </w:r>
            <w:r>
              <w:rPr>
                <w:rFonts w:hint="eastAsia" w:ascii="Times New Roman" w:hAnsi="Times New Roman" w:cs="Times New Roman"/>
                <w:b w:val="0"/>
                <w:bCs w:val="0"/>
                <w:color w:val="000000" w:themeColor="text1"/>
                <w:highlight w:val="none"/>
                <w:lang w:eastAsia="zh-CN"/>
                <w14:textFill>
                  <w14:solidFill>
                    <w14:schemeClr w14:val="tx1"/>
                  </w14:solidFill>
                </w14:textFill>
              </w:rPr>
              <w:t>)</w:t>
            </w:r>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62"/>
              <w:gridCol w:w="787"/>
              <w:gridCol w:w="962"/>
              <w:gridCol w:w="1800"/>
              <w:gridCol w:w="1453"/>
            </w:tblGrid>
            <w:tr w14:paraId="08AA7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9" w:type="pct"/>
                  <w:noWrap w:val="0"/>
                  <w:vAlign w:val="center"/>
                </w:tcPr>
                <w:p w14:paraId="4E393CBC">
                  <w:pPr>
                    <w:pStyle w:val="14"/>
                    <w:jc w:val="center"/>
                    <w:rPr>
                      <w:rFonts w:hint="default" w:ascii="Times New Roman" w:hAnsi="Times New Roman" w:eastAsia="宋体" w:cs="Times New Roman"/>
                      <w:b w:val="0"/>
                      <w:bCs w:val="0"/>
                      <w:color w:val="000000" w:themeColor="text1"/>
                      <w:highlight w:val="none"/>
                      <w14:textFill>
                        <w14:solidFill>
                          <w14:schemeClr w14:val="tx1"/>
                        </w14:solidFill>
                      </w14:textFill>
                    </w:rPr>
                  </w:pPr>
                  <w:r>
                    <w:rPr>
                      <w:rFonts w:hint="default" w:ascii="Times New Roman" w:hAnsi="Times New Roman" w:eastAsia="宋体" w:cs="Times New Roman"/>
                      <w:b w:val="0"/>
                      <w:bCs w:val="0"/>
                      <w:color w:val="000000" w:themeColor="text1"/>
                      <w:highlight w:val="none"/>
                      <w14:textFill>
                        <w14:solidFill>
                          <w14:schemeClr w14:val="tx1"/>
                        </w14:solidFill>
                      </w14:textFill>
                    </w:rPr>
                    <w:t>标准名称</w:t>
                  </w:r>
                </w:p>
              </w:tc>
              <w:tc>
                <w:tcPr>
                  <w:tcW w:w="1098" w:type="pct"/>
                  <w:gridSpan w:val="2"/>
                  <w:noWrap w:val="0"/>
                  <w:vAlign w:val="center"/>
                </w:tcPr>
                <w:p w14:paraId="318F9D1F">
                  <w:pPr>
                    <w:pStyle w:val="14"/>
                    <w:jc w:val="center"/>
                    <w:rPr>
                      <w:rFonts w:hint="default" w:ascii="Times New Roman" w:hAnsi="Times New Roman" w:eastAsia="宋体" w:cs="Times New Roman"/>
                      <w:b w:val="0"/>
                      <w:bCs w:val="0"/>
                      <w:color w:val="000000" w:themeColor="text1"/>
                      <w:highlight w:val="none"/>
                      <w14:textFill>
                        <w14:solidFill>
                          <w14:schemeClr w14:val="tx1"/>
                        </w14:solidFill>
                      </w14:textFill>
                    </w:rPr>
                  </w:pPr>
                  <w:r>
                    <w:rPr>
                      <w:rFonts w:hint="default" w:ascii="Times New Roman" w:hAnsi="Times New Roman" w:eastAsia="宋体" w:cs="Times New Roman"/>
                      <w:b w:val="0"/>
                      <w:bCs w:val="0"/>
                      <w:color w:val="000000" w:themeColor="text1"/>
                      <w:highlight w:val="none"/>
                      <w14:textFill>
                        <w14:solidFill>
                          <w14:schemeClr w14:val="tx1"/>
                        </w14:solidFill>
                      </w14:textFill>
                    </w:rPr>
                    <w:t>噪声类别</w:t>
                  </w:r>
                </w:p>
              </w:tc>
              <w:tc>
                <w:tcPr>
                  <w:tcW w:w="1130" w:type="pct"/>
                  <w:noWrap w:val="0"/>
                  <w:vAlign w:val="center"/>
                </w:tcPr>
                <w:p w14:paraId="5D750D49">
                  <w:pPr>
                    <w:pStyle w:val="14"/>
                    <w:jc w:val="center"/>
                    <w:rPr>
                      <w:rFonts w:hint="default" w:ascii="Times New Roman" w:hAnsi="Times New Roman" w:eastAsia="宋体" w:cs="Times New Roman"/>
                      <w:b w:val="0"/>
                      <w:bCs w:val="0"/>
                      <w:color w:val="000000" w:themeColor="text1"/>
                      <w:highlight w:val="none"/>
                      <w14:textFill>
                        <w14:solidFill>
                          <w14:schemeClr w14:val="tx1"/>
                        </w14:solidFill>
                      </w14:textFill>
                    </w:rPr>
                  </w:pPr>
                  <w:r>
                    <w:rPr>
                      <w:rFonts w:hint="default" w:ascii="Times New Roman" w:hAnsi="Times New Roman" w:eastAsia="宋体" w:cs="Times New Roman"/>
                      <w:b w:val="0"/>
                      <w:bCs w:val="0"/>
                      <w:color w:val="000000" w:themeColor="text1"/>
                      <w:highlight w:val="none"/>
                      <w14:textFill>
                        <w14:solidFill>
                          <w14:schemeClr w14:val="tx1"/>
                        </w14:solidFill>
                      </w14:textFill>
                    </w:rPr>
                    <w:t>时间段</w:t>
                  </w:r>
                </w:p>
              </w:tc>
              <w:tc>
                <w:tcPr>
                  <w:tcW w:w="912" w:type="pct"/>
                  <w:noWrap w:val="0"/>
                  <w:vAlign w:val="center"/>
                </w:tcPr>
                <w:p w14:paraId="3A928EB6">
                  <w:pPr>
                    <w:pStyle w:val="14"/>
                    <w:jc w:val="center"/>
                    <w:rPr>
                      <w:rFonts w:hint="default" w:ascii="Times New Roman" w:hAnsi="Times New Roman" w:eastAsia="宋体" w:cs="Times New Roman"/>
                      <w:b w:val="0"/>
                      <w:bCs w:val="0"/>
                      <w:color w:val="000000" w:themeColor="text1"/>
                      <w:highlight w:val="none"/>
                      <w14:textFill>
                        <w14:solidFill>
                          <w14:schemeClr w14:val="tx1"/>
                        </w14:solidFill>
                      </w14:textFill>
                    </w:rPr>
                  </w:pPr>
                  <w:r>
                    <w:rPr>
                      <w:rFonts w:hint="default" w:ascii="Times New Roman" w:hAnsi="Times New Roman" w:eastAsia="宋体" w:cs="Times New Roman"/>
                      <w:b w:val="0"/>
                      <w:bCs w:val="0"/>
                      <w:color w:val="000000" w:themeColor="text1"/>
                      <w:highlight w:val="none"/>
                      <w14:textFill>
                        <w14:solidFill>
                          <w14:schemeClr w14:val="tx1"/>
                        </w14:solidFill>
                      </w14:textFill>
                    </w:rPr>
                    <w:t>标准值</w:t>
                  </w:r>
                </w:p>
              </w:tc>
            </w:tr>
            <w:tr w14:paraId="1B7D3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jc w:val="center"/>
              </w:trPr>
              <w:tc>
                <w:tcPr>
                  <w:tcW w:w="1859" w:type="pct"/>
                  <w:vMerge w:val="restart"/>
                  <w:noWrap w:val="0"/>
                  <w:vAlign w:val="center"/>
                </w:tcPr>
                <w:p w14:paraId="4E1819B6">
                  <w:pPr>
                    <w:pStyle w:val="14"/>
                    <w:jc w:val="center"/>
                    <w:rPr>
                      <w:rFonts w:hint="default" w:ascii="Times New Roman" w:hAnsi="Times New Roman" w:eastAsia="宋体" w:cs="Times New Roman"/>
                      <w:b w:val="0"/>
                      <w:bCs w:val="0"/>
                      <w:color w:val="000000" w:themeColor="text1"/>
                      <w:highlight w:val="none"/>
                      <w14:textFill>
                        <w14:solidFill>
                          <w14:schemeClr w14:val="tx1"/>
                        </w14:solidFill>
                      </w14:textFill>
                    </w:rPr>
                  </w:pPr>
                  <w:r>
                    <w:rPr>
                      <w:rFonts w:hint="default" w:ascii="Times New Roman" w:hAnsi="Times New Roman" w:eastAsia="宋体" w:cs="Times New Roman"/>
                      <w:b w:val="0"/>
                      <w:bCs w:val="0"/>
                      <w:color w:val="000000" w:themeColor="text1"/>
                      <w:highlight w:val="none"/>
                      <w14:textFill>
                        <w14:solidFill>
                          <w14:schemeClr w14:val="tx1"/>
                        </w14:solidFill>
                      </w14:textFill>
                    </w:rPr>
                    <w:t>《工业企业厂界环境噪声排放标准》（GB12348-2008）</w:t>
                  </w:r>
                </w:p>
              </w:tc>
              <w:tc>
                <w:tcPr>
                  <w:tcW w:w="494" w:type="pct"/>
                  <w:vMerge w:val="restart"/>
                  <w:noWrap w:val="0"/>
                  <w:vAlign w:val="center"/>
                </w:tcPr>
                <w:p w14:paraId="39611D26">
                  <w:pPr>
                    <w:pStyle w:val="14"/>
                    <w:jc w:val="center"/>
                    <w:rPr>
                      <w:rFonts w:hint="default" w:ascii="Times New Roman" w:hAnsi="Times New Roman" w:eastAsia="宋体" w:cs="Times New Roman"/>
                      <w:b w:val="0"/>
                      <w:bCs w:val="0"/>
                      <w:color w:val="000000" w:themeColor="text1"/>
                      <w:highlight w:val="none"/>
                      <w14:textFill>
                        <w14:solidFill>
                          <w14:schemeClr w14:val="tx1"/>
                        </w14:solidFill>
                      </w14:textFill>
                    </w:rPr>
                  </w:pPr>
                  <w:r>
                    <w:rPr>
                      <w:rFonts w:hint="default" w:ascii="Times New Roman" w:hAnsi="Times New Roman" w:eastAsia="宋体" w:cs="Times New Roman"/>
                      <w:b w:val="0"/>
                      <w:bCs w:val="0"/>
                      <w:color w:val="000000" w:themeColor="text1"/>
                      <w:highlight w:val="none"/>
                      <w14:textFill>
                        <w14:solidFill>
                          <w14:schemeClr w14:val="tx1"/>
                        </w14:solidFill>
                      </w14:textFill>
                    </w:rPr>
                    <w:t>运营</w:t>
                  </w:r>
                </w:p>
              </w:tc>
              <w:tc>
                <w:tcPr>
                  <w:tcW w:w="603" w:type="pct"/>
                  <w:vMerge w:val="restart"/>
                  <w:noWrap w:val="0"/>
                  <w:vAlign w:val="center"/>
                </w:tcPr>
                <w:p w14:paraId="7EC135D7">
                  <w:pPr>
                    <w:pStyle w:val="14"/>
                    <w:jc w:val="center"/>
                    <w:rPr>
                      <w:rFonts w:hint="default" w:ascii="Times New Roman" w:hAnsi="Times New Roman" w:eastAsia="宋体" w:cs="Times New Roman"/>
                      <w:b w:val="0"/>
                      <w:bCs w:val="0"/>
                      <w:color w:val="000000" w:themeColor="text1"/>
                      <w:highlight w:val="none"/>
                      <w14:textFill>
                        <w14:solidFill>
                          <w14:schemeClr w14:val="tx1"/>
                        </w14:solidFill>
                      </w14:textFill>
                    </w:rPr>
                  </w:pPr>
                  <w:r>
                    <w:rPr>
                      <w:rFonts w:hint="default" w:ascii="Times New Roman" w:hAnsi="Times New Roman" w:eastAsia="宋体" w:cs="Times New Roman"/>
                      <w:b w:val="0"/>
                      <w:bCs w:val="0"/>
                      <w:color w:val="000000" w:themeColor="text1"/>
                      <w:highlight w:val="none"/>
                      <w14:textFill>
                        <w14:solidFill>
                          <w14:schemeClr w14:val="tx1"/>
                        </w14:solidFill>
                      </w14:textFill>
                    </w:rPr>
                    <w:t>3类</w:t>
                  </w:r>
                </w:p>
              </w:tc>
              <w:tc>
                <w:tcPr>
                  <w:tcW w:w="1130" w:type="pct"/>
                  <w:noWrap w:val="0"/>
                  <w:vAlign w:val="center"/>
                </w:tcPr>
                <w:p w14:paraId="39DE54D2">
                  <w:pPr>
                    <w:pStyle w:val="14"/>
                    <w:jc w:val="center"/>
                    <w:rPr>
                      <w:rFonts w:hint="default" w:ascii="Times New Roman" w:hAnsi="Times New Roman" w:eastAsia="宋体" w:cs="Times New Roman"/>
                      <w:b w:val="0"/>
                      <w:bCs w:val="0"/>
                      <w:color w:val="000000" w:themeColor="text1"/>
                      <w:highlight w:val="none"/>
                      <w14:textFill>
                        <w14:solidFill>
                          <w14:schemeClr w14:val="tx1"/>
                        </w14:solidFill>
                      </w14:textFill>
                    </w:rPr>
                  </w:pPr>
                  <w:r>
                    <w:rPr>
                      <w:rFonts w:hint="default" w:ascii="Times New Roman" w:hAnsi="Times New Roman" w:eastAsia="宋体" w:cs="Times New Roman"/>
                      <w:b w:val="0"/>
                      <w:bCs w:val="0"/>
                      <w:color w:val="000000" w:themeColor="text1"/>
                      <w:highlight w:val="none"/>
                      <w14:textFill>
                        <w14:solidFill>
                          <w14:schemeClr w14:val="tx1"/>
                        </w14:solidFill>
                      </w14:textFill>
                    </w:rPr>
                    <w:t>昼间</w:t>
                  </w:r>
                </w:p>
              </w:tc>
              <w:tc>
                <w:tcPr>
                  <w:tcW w:w="912" w:type="pct"/>
                  <w:noWrap w:val="0"/>
                  <w:vAlign w:val="center"/>
                </w:tcPr>
                <w:p w14:paraId="4ECFB5E2">
                  <w:pPr>
                    <w:pStyle w:val="14"/>
                    <w:jc w:val="center"/>
                    <w:rPr>
                      <w:rFonts w:hint="default" w:ascii="Times New Roman" w:hAnsi="Times New Roman" w:eastAsia="宋体" w:cs="Times New Roman"/>
                      <w:b w:val="0"/>
                      <w:bCs w:val="0"/>
                      <w:color w:val="000000" w:themeColor="text1"/>
                      <w:highlight w:val="none"/>
                      <w:lang w:eastAsia="zh-CN"/>
                      <w14:textFill>
                        <w14:solidFill>
                          <w14:schemeClr w14:val="tx1"/>
                        </w14:solidFill>
                      </w14:textFill>
                    </w:rPr>
                  </w:pPr>
                  <w:r>
                    <w:rPr>
                      <w:rFonts w:hint="default" w:ascii="Times New Roman" w:hAnsi="Times New Roman" w:eastAsia="宋体" w:cs="Times New Roman"/>
                      <w:b w:val="0"/>
                      <w:bCs w:val="0"/>
                      <w:color w:val="000000" w:themeColor="text1"/>
                      <w:highlight w:val="none"/>
                      <w14:textFill>
                        <w14:solidFill>
                          <w14:schemeClr w14:val="tx1"/>
                        </w14:solidFill>
                      </w14:textFill>
                    </w:rPr>
                    <w:t>65</w:t>
                  </w:r>
                </w:p>
              </w:tc>
            </w:tr>
            <w:tr w14:paraId="5445C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859" w:type="pct"/>
                  <w:vMerge w:val="continue"/>
                  <w:noWrap w:val="0"/>
                  <w:vAlign w:val="center"/>
                </w:tcPr>
                <w:p w14:paraId="3A8DA403">
                  <w:pPr>
                    <w:pStyle w:val="14"/>
                    <w:jc w:val="center"/>
                    <w:rPr>
                      <w:rFonts w:hint="default" w:ascii="Times New Roman" w:hAnsi="Times New Roman" w:eastAsia="宋体" w:cs="Times New Roman"/>
                      <w:b w:val="0"/>
                      <w:bCs w:val="0"/>
                      <w:color w:val="000000" w:themeColor="text1"/>
                      <w:highlight w:val="none"/>
                      <w14:textFill>
                        <w14:solidFill>
                          <w14:schemeClr w14:val="tx1"/>
                        </w14:solidFill>
                      </w14:textFill>
                    </w:rPr>
                  </w:pPr>
                </w:p>
              </w:tc>
              <w:tc>
                <w:tcPr>
                  <w:tcW w:w="494" w:type="pct"/>
                  <w:vMerge w:val="continue"/>
                  <w:noWrap w:val="0"/>
                  <w:vAlign w:val="center"/>
                </w:tcPr>
                <w:p w14:paraId="59F41114">
                  <w:pPr>
                    <w:pStyle w:val="14"/>
                    <w:jc w:val="center"/>
                    <w:rPr>
                      <w:rFonts w:hint="default" w:ascii="Times New Roman" w:hAnsi="Times New Roman" w:eastAsia="宋体" w:cs="Times New Roman"/>
                      <w:b w:val="0"/>
                      <w:bCs w:val="0"/>
                      <w:color w:val="000000" w:themeColor="text1"/>
                      <w:highlight w:val="none"/>
                      <w14:textFill>
                        <w14:solidFill>
                          <w14:schemeClr w14:val="tx1"/>
                        </w14:solidFill>
                      </w14:textFill>
                    </w:rPr>
                  </w:pPr>
                </w:p>
              </w:tc>
              <w:tc>
                <w:tcPr>
                  <w:tcW w:w="603" w:type="pct"/>
                  <w:vMerge w:val="continue"/>
                  <w:noWrap w:val="0"/>
                  <w:vAlign w:val="center"/>
                </w:tcPr>
                <w:p w14:paraId="6EB6B97B">
                  <w:pPr>
                    <w:pStyle w:val="14"/>
                    <w:jc w:val="center"/>
                    <w:rPr>
                      <w:rFonts w:hint="default" w:ascii="Times New Roman" w:hAnsi="Times New Roman" w:eastAsia="宋体" w:cs="Times New Roman"/>
                      <w:b w:val="0"/>
                      <w:bCs w:val="0"/>
                      <w:color w:val="000000" w:themeColor="text1"/>
                      <w:highlight w:val="none"/>
                      <w14:textFill>
                        <w14:solidFill>
                          <w14:schemeClr w14:val="tx1"/>
                        </w14:solidFill>
                      </w14:textFill>
                    </w:rPr>
                  </w:pPr>
                </w:p>
              </w:tc>
              <w:tc>
                <w:tcPr>
                  <w:tcW w:w="1130" w:type="pct"/>
                  <w:noWrap w:val="0"/>
                  <w:vAlign w:val="center"/>
                </w:tcPr>
                <w:p w14:paraId="6625C7D5">
                  <w:pPr>
                    <w:pStyle w:val="14"/>
                    <w:jc w:val="center"/>
                    <w:rPr>
                      <w:rFonts w:hint="default" w:ascii="Times New Roman" w:hAnsi="Times New Roman" w:eastAsia="宋体" w:cs="Times New Roman"/>
                      <w:b w:val="0"/>
                      <w:bCs w:val="0"/>
                      <w:color w:val="000000" w:themeColor="text1"/>
                      <w:highlight w:val="none"/>
                      <w14:textFill>
                        <w14:solidFill>
                          <w14:schemeClr w14:val="tx1"/>
                        </w14:solidFill>
                      </w14:textFill>
                    </w:rPr>
                  </w:pPr>
                  <w:r>
                    <w:rPr>
                      <w:rFonts w:hint="default" w:ascii="Times New Roman" w:hAnsi="Times New Roman" w:eastAsia="宋体" w:cs="Times New Roman"/>
                      <w:b w:val="0"/>
                      <w:bCs w:val="0"/>
                      <w:color w:val="000000" w:themeColor="text1"/>
                      <w:highlight w:val="none"/>
                      <w14:textFill>
                        <w14:solidFill>
                          <w14:schemeClr w14:val="tx1"/>
                        </w14:solidFill>
                      </w14:textFill>
                    </w:rPr>
                    <w:t>夜间</w:t>
                  </w:r>
                </w:p>
              </w:tc>
              <w:tc>
                <w:tcPr>
                  <w:tcW w:w="912" w:type="pct"/>
                  <w:noWrap w:val="0"/>
                  <w:vAlign w:val="center"/>
                </w:tcPr>
                <w:p w14:paraId="45D99DF9">
                  <w:pPr>
                    <w:pStyle w:val="14"/>
                    <w:jc w:val="center"/>
                    <w:rPr>
                      <w:rFonts w:hint="default" w:ascii="Times New Roman" w:hAnsi="Times New Roman" w:eastAsia="宋体" w:cs="Times New Roman"/>
                      <w:b w:val="0"/>
                      <w:bCs w:val="0"/>
                      <w:color w:val="000000" w:themeColor="text1"/>
                      <w:highlight w:val="none"/>
                      <w:lang w:eastAsia="zh-CN"/>
                      <w14:textFill>
                        <w14:solidFill>
                          <w14:schemeClr w14:val="tx1"/>
                        </w14:solidFill>
                      </w14:textFill>
                    </w:rPr>
                  </w:pPr>
                  <w:r>
                    <w:rPr>
                      <w:rFonts w:hint="default" w:ascii="Times New Roman" w:hAnsi="Times New Roman" w:eastAsia="宋体" w:cs="Times New Roman"/>
                      <w:b w:val="0"/>
                      <w:bCs w:val="0"/>
                      <w:color w:val="000000" w:themeColor="text1"/>
                      <w:highlight w:val="none"/>
                      <w14:textFill>
                        <w14:solidFill>
                          <w14:schemeClr w14:val="tx1"/>
                        </w14:solidFill>
                      </w14:textFill>
                    </w:rPr>
                    <w:t>55</w:t>
                  </w:r>
                </w:p>
              </w:tc>
            </w:tr>
            <w:tr w14:paraId="37289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1859" w:type="pct"/>
                  <w:vMerge w:val="restart"/>
                  <w:noWrap w:val="0"/>
                  <w:vAlign w:val="center"/>
                </w:tcPr>
                <w:p w14:paraId="443FABDF">
                  <w:pPr>
                    <w:pStyle w:val="14"/>
                    <w:jc w:val="center"/>
                    <w:rPr>
                      <w:rFonts w:hint="default" w:ascii="Times New Roman" w:hAnsi="Times New Roman" w:eastAsia="宋体" w:cs="Times New Roman"/>
                      <w:b w:val="0"/>
                      <w:bCs w:val="0"/>
                      <w:color w:val="000000" w:themeColor="text1"/>
                      <w:highlight w:val="none"/>
                      <w14:textFill>
                        <w14:solidFill>
                          <w14:schemeClr w14:val="tx1"/>
                        </w14:solidFill>
                      </w14:textFill>
                    </w:rPr>
                  </w:pPr>
                  <w:r>
                    <w:rPr>
                      <w:rFonts w:hint="default" w:ascii="Times New Roman" w:hAnsi="Times New Roman" w:eastAsia="宋体" w:cs="Times New Roman"/>
                      <w:b w:val="0"/>
                      <w:bCs w:val="0"/>
                      <w:color w:val="000000" w:themeColor="text1"/>
                      <w:highlight w:val="none"/>
                      <w14:textFill>
                        <w14:solidFill>
                          <w14:schemeClr w14:val="tx1"/>
                        </w14:solidFill>
                      </w14:textFill>
                    </w:rPr>
                    <w:t>《建筑施工噪声排放标准》（GB12523-20</w:t>
                  </w:r>
                  <w:r>
                    <w:rPr>
                      <w:rFonts w:hint="default" w:ascii="Times New Roman" w:hAnsi="Times New Roman" w:eastAsia="宋体" w:cs="Times New Roman"/>
                      <w:b w:val="0"/>
                      <w:bCs w:val="0"/>
                      <w:color w:val="000000" w:themeColor="text1"/>
                      <w:highlight w:val="none"/>
                      <w:lang w:val="en-US" w:eastAsia="zh-CN"/>
                      <w14:textFill>
                        <w14:solidFill>
                          <w14:schemeClr w14:val="tx1"/>
                        </w14:solidFill>
                      </w14:textFill>
                    </w:rPr>
                    <w:t>25</w:t>
                  </w:r>
                  <w:r>
                    <w:rPr>
                      <w:rFonts w:hint="default" w:ascii="Times New Roman" w:hAnsi="Times New Roman" w:eastAsia="宋体" w:cs="Times New Roman"/>
                      <w:b w:val="0"/>
                      <w:bCs w:val="0"/>
                      <w:color w:val="000000" w:themeColor="text1"/>
                      <w:highlight w:val="none"/>
                      <w14:textFill>
                        <w14:solidFill>
                          <w14:schemeClr w14:val="tx1"/>
                        </w14:solidFill>
                      </w14:textFill>
                    </w:rPr>
                    <w:t>）</w:t>
                  </w:r>
                </w:p>
              </w:tc>
              <w:tc>
                <w:tcPr>
                  <w:tcW w:w="1098" w:type="pct"/>
                  <w:gridSpan w:val="2"/>
                  <w:vMerge w:val="restart"/>
                  <w:noWrap w:val="0"/>
                  <w:vAlign w:val="center"/>
                </w:tcPr>
                <w:p w14:paraId="68EEF072">
                  <w:pPr>
                    <w:pStyle w:val="14"/>
                    <w:jc w:val="center"/>
                    <w:rPr>
                      <w:rFonts w:hint="default" w:ascii="Times New Roman" w:hAnsi="Times New Roman" w:eastAsia="宋体" w:cs="Times New Roman"/>
                      <w:b w:val="0"/>
                      <w:bCs w:val="0"/>
                      <w:color w:val="000000" w:themeColor="text1"/>
                      <w:highlight w:val="none"/>
                      <w14:textFill>
                        <w14:solidFill>
                          <w14:schemeClr w14:val="tx1"/>
                        </w14:solidFill>
                      </w14:textFill>
                    </w:rPr>
                  </w:pPr>
                  <w:r>
                    <w:rPr>
                      <w:rFonts w:hint="default" w:ascii="Times New Roman" w:hAnsi="Times New Roman" w:eastAsia="宋体" w:cs="Times New Roman"/>
                      <w:b w:val="0"/>
                      <w:bCs w:val="0"/>
                      <w:color w:val="000000" w:themeColor="text1"/>
                      <w:highlight w:val="none"/>
                      <w14:textFill>
                        <w14:solidFill>
                          <w14:schemeClr w14:val="tx1"/>
                        </w14:solidFill>
                      </w14:textFill>
                    </w:rPr>
                    <w:t>施工期</w:t>
                  </w:r>
                </w:p>
              </w:tc>
              <w:tc>
                <w:tcPr>
                  <w:tcW w:w="1130" w:type="pct"/>
                  <w:noWrap w:val="0"/>
                  <w:vAlign w:val="center"/>
                </w:tcPr>
                <w:p w14:paraId="0991F884">
                  <w:pPr>
                    <w:pStyle w:val="14"/>
                    <w:jc w:val="center"/>
                    <w:rPr>
                      <w:rFonts w:hint="default" w:ascii="Times New Roman" w:hAnsi="Times New Roman" w:eastAsia="宋体" w:cs="Times New Roman"/>
                      <w:b w:val="0"/>
                      <w:bCs w:val="0"/>
                      <w:color w:val="000000" w:themeColor="text1"/>
                      <w:highlight w:val="none"/>
                      <w14:textFill>
                        <w14:solidFill>
                          <w14:schemeClr w14:val="tx1"/>
                        </w14:solidFill>
                      </w14:textFill>
                    </w:rPr>
                  </w:pPr>
                  <w:r>
                    <w:rPr>
                      <w:rFonts w:hint="default" w:ascii="Times New Roman" w:hAnsi="Times New Roman" w:eastAsia="宋体" w:cs="Times New Roman"/>
                      <w:b w:val="0"/>
                      <w:bCs w:val="0"/>
                      <w:color w:val="000000" w:themeColor="text1"/>
                      <w:highlight w:val="none"/>
                      <w14:textFill>
                        <w14:solidFill>
                          <w14:schemeClr w14:val="tx1"/>
                        </w14:solidFill>
                      </w14:textFill>
                    </w:rPr>
                    <w:t>昼间</w:t>
                  </w:r>
                </w:p>
              </w:tc>
              <w:tc>
                <w:tcPr>
                  <w:tcW w:w="912" w:type="pct"/>
                  <w:noWrap w:val="0"/>
                  <w:vAlign w:val="center"/>
                </w:tcPr>
                <w:p w14:paraId="7CF0885F">
                  <w:pPr>
                    <w:pStyle w:val="14"/>
                    <w:jc w:val="center"/>
                    <w:rPr>
                      <w:rFonts w:hint="default" w:ascii="Times New Roman" w:hAnsi="Times New Roman" w:eastAsia="宋体" w:cs="Times New Roman"/>
                      <w:b w:val="0"/>
                      <w:bCs w:val="0"/>
                      <w:color w:val="000000" w:themeColor="text1"/>
                      <w:highlight w:val="none"/>
                      <w:lang w:eastAsia="zh-CN"/>
                      <w14:textFill>
                        <w14:solidFill>
                          <w14:schemeClr w14:val="tx1"/>
                        </w14:solidFill>
                      </w14:textFill>
                    </w:rPr>
                  </w:pPr>
                  <w:r>
                    <w:rPr>
                      <w:rFonts w:hint="default" w:ascii="Times New Roman" w:hAnsi="Times New Roman" w:eastAsia="宋体" w:cs="Times New Roman"/>
                      <w:b w:val="0"/>
                      <w:bCs w:val="0"/>
                      <w:color w:val="000000" w:themeColor="text1"/>
                      <w:highlight w:val="none"/>
                      <w14:textFill>
                        <w14:solidFill>
                          <w14:schemeClr w14:val="tx1"/>
                        </w14:solidFill>
                      </w14:textFill>
                    </w:rPr>
                    <w:t>70</w:t>
                  </w:r>
                </w:p>
              </w:tc>
            </w:tr>
            <w:tr w14:paraId="0FD36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1859" w:type="pct"/>
                  <w:vMerge w:val="continue"/>
                  <w:noWrap w:val="0"/>
                  <w:vAlign w:val="center"/>
                </w:tcPr>
                <w:p w14:paraId="7B87884D">
                  <w:pPr>
                    <w:pStyle w:val="14"/>
                    <w:jc w:val="center"/>
                    <w:rPr>
                      <w:rFonts w:hint="default" w:ascii="Times New Roman" w:hAnsi="Times New Roman" w:eastAsia="宋体" w:cs="Times New Roman"/>
                      <w:b w:val="0"/>
                      <w:bCs w:val="0"/>
                      <w:color w:val="000000" w:themeColor="text1"/>
                      <w:highlight w:val="none"/>
                      <w14:textFill>
                        <w14:solidFill>
                          <w14:schemeClr w14:val="tx1"/>
                        </w14:solidFill>
                      </w14:textFill>
                    </w:rPr>
                  </w:pPr>
                </w:p>
              </w:tc>
              <w:tc>
                <w:tcPr>
                  <w:tcW w:w="1098" w:type="pct"/>
                  <w:gridSpan w:val="2"/>
                  <w:vMerge w:val="continue"/>
                  <w:noWrap w:val="0"/>
                  <w:vAlign w:val="center"/>
                </w:tcPr>
                <w:p w14:paraId="43E328ED">
                  <w:pPr>
                    <w:pStyle w:val="14"/>
                    <w:jc w:val="center"/>
                    <w:rPr>
                      <w:rFonts w:hint="default" w:ascii="Times New Roman" w:hAnsi="Times New Roman" w:eastAsia="宋体" w:cs="Times New Roman"/>
                      <w:b w:val="0"/>
                      <w:bCs w:val="0"/>
                      <w:color w:val="000000" w:themeColor="text1"/>
                      <w:highlight w:val="none"/>
                      <w14:textFill>
                        <w14:solidFill>
                          <w14:schemeClr w14:val="tx1"/>
                        </w14:solidFill>
                      </w14:textFill>
                    </w:rPr>
                  </w:pPr>
                </w:p>
              </w:tc>
              <w:tc>
                <w:tcPr>
                  <w:tcW w:w="1130" w:type="pct"/>
                  <w:noWrap w:val="0"/>
                  <w:vAlign w:val="center"/>
                </w:tcPr>
                <w:p w14:paraId="740460EF">
                  <w:pPr>
                    <w:pStyle w:val="14"/>
                    <w:jc w:val="center"/>
                    <w:rPr>
                      <w:rFonts w:hint="default" w:ascii="Times New Roman" w:hAnsi="Times New Roman" w:eastAsia="宋体" w:cs="Times New Roman"/>
                      <w:b w:val="0"/>
                      <w:bCs w:val="0"/>
                      <w:color w:val="000000" w:themeColor="text1"/>
                      <w:highlight w:val="none"/>
                      <w14:textFill>
                        <w14:solidFill>
                          <w14:schemeClr w14:val="tx1"/>
                        </w14:solidFill>
                      </w14:textFill>
                    </w:rPr>
                  </w:pPr>
                  <w:r>
                    <w:rPr>
                      <w:rFonts w:hint="default" w:ascii="Times New Roman" w:hAnsi="Times New Roman" w:eastAsia="宋体" w:cs="Times New Roman"/>
                      <w:b w:val="0"/>
                      <w:bCs w:val="0"/>
                      <w:color w:val="000000" w:themeColor="text1"/>
                      <w:highlight w:val="none"/>
                      <w14:textFill>
                        <w14:solidFill>
                          <w14:schemeClr w14:val="tx1"/>
                        </w14:solidFill>
                      </w14:textFill>
                    </w:rPr>
                    <w:t>夜间</w:t>
                  </w:r>
                </w:p>
              </w:tc>
              <w:tc>
                <w:tcPr>
                  <w:tcW w:w="912" w:type="pct"/>
                  <w:noWrap w:val="0"/>
                  <w:vAlign w:val="center"/>
                </w:tcPr>
                <w:p w14:paraId="6D2E7A8C">
                  <w:pPr>
                    <w:pStyle w:val="14"/>
                    <w:jc w:val="center"/>
                    <w:rPr>
                      <w:rFonts w:hint="default" w:ascii="Times New Roman" w:hAnsi="Times New Roman" w:eastAsia="宋体" w:cs="Times New Roman"/>
                      <w:b w:val="0"/>
                      <w:bCs w:val="0"/>
                      <w:color w:val="000000" w:themeColor="text1"/>
                      <w:highlight w:val="none"/>
                      <w:lang w:eastAsia="zh-CN"/>
                      <w14:textFill>
                        <w14:solidFill>
                          <w14:schemeClr w14:val="tx1"/>
                        </w14:solidFill>
                      </w14:textFill>
                    </w:rPr>
                  </w:pPr>
                  <w:r>
                    <w:rPr>
                      <w:rFonts w:hint="default" w:ascii="Times New Roman" w:hAnsi="Times New Roman" w:eastAsia="宋体" w:cs="Times New Roman"/>
                      <w:b w:val="0"/>
                      <w:bCs w:val="0"/>
                      <w:color w:val="000000" w:themeColor="text1"/>
                      <w:highlight w:val="none"/>
                      <w14:textFill>
                        <w14:solidFill>
                          <w14:schemeClr w14:val="tx1"/>
                        </w14:solidFill>
                      </w14:textFill>
                    </w:rPr>
                    <w:t>50</w:t>
                  </w:r>
                </w:p>
              </w:tc>
            </w:tr>
          </w:tbl>
          <w:p w14:paraId="4637BDFD">
            <w:pPr>
              <w:widowControl/>
              <w:spacing w:before="120" w:beforeLines="50"/>
              <w:ind w:firstLine="482"/>
              <w:rPr>
                <w:rFonts w:hint="default" w:ascii="Times New Roman" w:hAnsi="Times New Roman" w:eastAsia="宋体" w:cs="Times New Roman"/>
                <w:b/>
                <w:bCs/>
                <w:color w:val="000000" w:themeColor="text1"/>
                <w:sz w:val="24"/>
                <w:highlight w:val="none"/>
                <w14:textFill>
                  <w14:solidFill>
                    <w14:schemeClr w14:val="tx1"/>
                  </w14:solidFill>
                </w14:textFill>
              </w:rPr>
            </w:pPr>
            <w:r>
              <w:rPr>
                <w:rFonts w:hint="default" w:ascii="Times New Roman" w:hAnsi="Times New Roman" w:eastAsia="宋体" w:cs="Times New Roman"/>
                <w:b/>
                <w:bCs/>
                <w:color w:val="000000" w:themeColor="text1"/>
                <w:sz w:val="24"/>
                <w:highlight w:val="none"/>
                <w:lang w:eastAsia="zh-CN"/>
                <w14:textFill>
                  <w14:solidFill>
                    <w14:schemeClr w14:val="tx1"/>
                  </w14:solidFill>
                </w14:textFill>
              </w:rPr>
              <w:t>4.</w:t>
            </w:r>
            <w:r>
              <w:rPr>
                <w:rFonts w:hint="default" w:ascii="Times New Roman" w:hAnsi="Times New Roman" w:eastAsia="宋体" w:cs="Times New Roman"/>
                <w:b/>
                <w:bCs/>
                <w:color w:val="000000" w:themeColor="text1"/>
                <w:sz w:val="24"/>
                <w:highlight w:val="none"/>
                <w14:textFill>
                  <w14:solidFill>
                    <w14:schemeClr w14:val="tx1"/>
                  </w14:solidFill>
                </w14:textFill>
              </w:rPr>
              <w:t>固体废物排放标准</w:t>
            </w:r>
          </w:p>
          <w:p w14:paraId="5F37EA2B">
            <w:pPr>
              <w:keepNext w:val="0"/>
              <w:keepLines w:val="0"/>
              <w:pageBreakBefore w:val="0"/>
              <w:widowControl w:val="0"/>
              <w:kinsoku/>
              <w:wordWrap/>
              <w:overflowPunct/>
              <w:topLinePunct w:val="0"/>
              <w:autoSpaceDE/>
              <w:autoSpaceDN/>
              <w:bidi w:val="0"/>
              <w:adjustRightInd/>
              <w:snapToGrid/>
              <w:spacing w:before="120" w:beforeLines="50" w:line="360" w:lineRule="auto"/>
              <w:ind w:firstLine="480" w:firstLineChars="200"/>
              <w:textAlignment w:val="auto"/>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sz w:val="24"/>
                <w:highlight w:val="none"/>
                <w:lang w:eastAsia="zh-CN"/>
                <w14:textFill>
                  <w14:solidFill>
                    <w14:schemeClr w14:val="tx1"/>
                  </w14:solidFill>
                </w14:textFill>
              </w:rPr>
              <w:t>运行</w:t>
            </w:r>
            <w:r>
              <w:rPr>
                <w:rFonts w:hint="default" w:ascii="Times New Roman" w:hAnsi="Times New Roman" w:eastAsia="宋体" w:cs="Times New Roman"/>
                <w:color w:val="000000" w:themeColor="text1"/>
                <w:sz w:val="24"/>
                <w:highlight w:val="none"/>
                <w14:textFill>
                  <w14:solidFill>
                    <w14:schemeClr w14:val="tx1"/>
                  </w14:solidFill>
                </w14:textFill>
              </w:rPr>
              <w:t>过程中涉及的</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一般固体废物的</w:t>
            </w:r>
            <w:r>
              <w:rPr>
                <w:rFonts w:hint="default" w:ascii="Times New Roman" w:hAnsi="Times New Roman" w:eastAsia="宋体" w:cs="Times New Roman"/>
                <w:color w:val="000000" w:themeColor="text1"/>
                <w:sz w:val="24"/>
                <w:highlight w:val="none"/>
                <w14:textFill>
                  <w14:solidFill>
                    <w14:schemeClr w14:val="tx1"/>
                  </w14:solidFill>
                </w14:textFill>
              </w:rPr>
              <w:t>产生、收集、贮存、处置等过程执行《中华人民共和国固体废物污染环境防治法》</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2020年9月1日起实施</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相关要求。</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一般固体废物的贮存过程参照《一般工业固体废物贮存和填埋污染控制标准》（GB18599-2020）执行，贮存过程满足相应防渗漏、防雨淋、防扬尘等环境保护要求。</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识别参照</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《固体废物分类与代码目录》（公告</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2024年第4号</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危险废物执行《危险废物贮存污染控制标准》（GB18597-2023）。</w:t>
            </w:r>
          </w:p>
        </w:tc>
      </w:tr>
      <w:tr w14:paraId="20234A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54" w:hRule="atLeast"/>
          <w:jc w:val="center"/>
        </w:trPr>
        <w:tc>
          <w:tcPr>
            <w:tcW w:w="800" w:type="dxa"/>
            <w:noWrap w:val="0"/>
            <w:vAlign w:val="center"/>
          </w:tcPr>
          <w:p w14:paraId="1A3F2078">
            <w:pPr>
              <w:adjustRightInd w:val="0"/>
              <w:snapToGrid w:val="0"/>
              <w:jc w:val="center"/>
              <w:rPr>
                <w:rFonts w:hint="default" w:ascii="Times New Roman" w:hAnsi="Times New Roman" w:eastAsia="宋体" w:cs="Times New Roman"/>
                <w:b/>
                <w:bCs/>
                <w:color w:val="000000" w:themeColor="text1"/>
                <w:kern w:val="0"/>
                <w:sz w:val="24"/>
                <w:highlight w:val="none"/>
                <w14:textFill>
                  <w14:solidFill>
                    <w14:schemeClr w14:val="tx1"/>
                  </w14:solidFill>
                </w14:textFill>
              </w:rPr>
            </w:pPr>
            <w:r>
              <w:rPr>
                <w:rFonts w:hint="default" w:ascii="Times New Roman" w:hAnsi="Times New Roman" w:eastAsia="宋体" w:cs="Times New Roman"/>
                <w:b/>
                <w:bCs/>
                <w:color w:val="000000" w:themeColor="text1"/>
                <w:kern w:val="0"/>
                <w:sz w:val="24"/>
                <w:highlight w:val="none"/>
                <w14:textFill>
                  <w14:solidFill>
                    <w14:schemeClr w14:val="tx1"/>
                  </w14:solidFill>
                </w14:textFill>
              </w:rPr>
              <w:t>总量</w:t>
            </w:r>
          </w:p>
          <w:p w14:paraId="386E8CAD">
            <w:pPr>
              <w:adjustRightInd w:val="0"/>
              <w:snapToGrid w:val="0"/>
              <w:jc w:val="center"/>
              <w:rPr>
                <w:rFonts w:hint="default" w:ascii="Times New Roman" w:hAnsi="Times New Roman" w:eastAsia="宋体" w:cs="Times New Roman"/>
                <w:b/>
                <w:bCs/>
                <w:color w:val="000000" w:themeColor="text1"/>
                <w:kern w:val="0"/>
                <w:sz w:val="24"/>
                <w:highlight w:val="none"/>
                <w14:textFill>
                  <w14:solidFill>
                    <w14:schemeClr w14:val="tx1"/>
                  </w14:solidFill>
                </w14:textFill>
              </w:rPr>
            </w:pPr>
            <w:r>
              <w:rPr>
                <w:rFonts w:hint="default" w:ascii="Times New Roman" w:hAnsi="Times New Roman" w:eastAsia="宋体" w:cs="Times New Roman"/>
                <w:b/>
                <w:bCs/>
                <w:color w:val="000000" w:themeColor="text1"/>
                <w:kern w:val="0"/>
                <w:sz w:val="24"/>
                <w:highlight w:val="none"/>
                <w14:textFill>
                  <w14:solidFill>
                    <w14:schemeClr w14:val="tx1"/>
                  </w14:solidFill>
                </w14:textFill>
              </w:rPr>
              <w:t>控制</w:t>
            </w:r>
          </w:p>
          <w:p w14:paraId="1E0F1D45">
            <w:pPr>
              <w:adjustRightInd w:val="0"/>
              <w:snapToGrid w:val="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r>
              <w:rPr>
                <w:rFonts w:hint="default" w:ascii="Times New Roman" w:hAnsi="Times New Roman" w:eastAsia="宋体" w:cs="Times New Roman"/>
                <w:b/>
                <w:bCs/>
                <w:color w:val="000000" w:themeColor="text1"/>
                <w:kern w:val="0"/>
                <w:sz w:val="24"/>
                <w:highlight w:val="none"/>
                <w14:textFill>
                  <w14:solidFill>
                    <w14:schemeClr w14:val="tx1"/>
                  </w14:solidFill>
                </w14:textFill>
              </w:rPr>
              <w:t>指标</w:t>
            </w:r>
          </w:p>
        </w:tc>
        <w:tc>
          <w:tcPr>
            <w:tcW w:w="8190" w:type="dxa"/>
            <w:noWrap w:val="0"/>
            <w:vAlign w:val="top"/>
          </w:tcPr>
          <w:p w14:paraId="329D955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b w:val="0"/>
                <w:bCs/>
                <w:color w:val="000000" w:themeColor="text1"/>
                <w:kern w:val="0"/>
                <w:sz w:val="28"/>
                <w:szCs w:val="28"/>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按照《国务院关于印发“十四五”节能减排综合工作方案的通知》，国发〔2021〕（33号）和内政发〔2022〕（17号）文件更新总量控制指标，污染物排放总量控制指标分别为NOx、VOCs、COD和氨氮。</w:t>
            </w:r>
          </w:p>
          <w:p w14:paraId="1902312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根据生态环境部《关于进一步加强重金属污染防控的意见》（环固体〔2022〕17号）、内蒙古自治区生态环境厅《关于印发〈内蒙古自治区进一步加强重金属污染防控工作方案〉的通知》要求，对铅、汞、镉、铬和砷五种重点重金属污染物排放量实施总量控制，本项目不属于重点行业（包括重有色金属矿采选业（铜、铅锌、镍钴、锡、锑和汞矿采选，不属于有色金属冶炼业（铜、铅锌、镍钴、锡、锑和汞冶炼，铅蓄电池制造业，电镀行业，化学原料及化学制品制造业（电石法（聚氯乙烯制造、铬盐制造、以工业固体废物为原料的锌无机化合物工业），皮革鞣制加工业等6个行业）、重点区域，因此本项目无需申请重金属总量。</w:t>
            </w:r>
          </w:p>
          <w:p w14:paraId="2A6AA6D0">
            <w:pPr>
              <w:adjustRightInd w:val="0"/>
              <w:snapToGrid w:val="0"/>
              <w:spacing w:line="360" w:lineRule="auto"/>
              <w:ind w:firstLine="480" w:firstLineChars="20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根据生态环境部关于印发《建设项目主要污染物排放总量指标审核及管理暂行办法》的通知（环办综合函〔2022〕350号），明确用挥发性有机物取代二氧化硫作为总量控制的</w:t>
            </w:r>
            <w:bookmarkStart w:id="5" w:name="OLE_LINK5"/>
            <w:r>
              <w:rPr>
                <w:rFonts w:hint="default"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主要污染物</w:t>
            </w:r>
            <w:bookmarkEnd w:id="5"/>
            <w:r>
              <w:rPr>
                <w:rFonts w:hint="default"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，因此，本期评价废气总量为挥发性有机物和氮氧化物两项污染物排放总量，废水总量控制指标为COD、氨氮。</w:t>
            </w:r>
          </w:p>
          <w:p w14:paraId="14ACF5CC">
            <w:pPr>
              <w:adjustRightInd w:val="0"/>
              <w:snapToGrid w:val="0"/>
              <w:spacing w:line="360" w:lineRule="auto"/>
              <w:ind w:firstLine="480" w:firstLineChars="200"/>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1.废气总量控制目标值</w:t>
            </w:r>
          </w:p>
          <w:p w14:paraId="386DBCA7">
            <w:pPr>
              <w:adjustRightInd w:val="0"/>
              <w:snapToGrid w:val="0"/>
              <w:spacing w:line="360" w:lineRule="auto"/>
              <w:ind w:firstLine="480" w:firstLineChars="200"/>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根据</w:t>
            </w:r>
            <w:r>
              <w:rPr>
                <w:rFonts w:hint="eastAsia" w:cs="Times New Roman"/>
                <w:color w:val="000000" w:themeColor="text1"/>
                <w:sz w:val="24"/>
                <w:highlight w:val="none"/>
                <w:lang w:val="en-US" w:eastAsia="zh-CN"/>
                <w14:textFill>
                  <w14:solidFill>
                    <w14:schemeClr w14:val="tx1"/>
                  </w14:solidFill>
                </w14:textFill>
              </w:rPr>
              <w:t>工程</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分析，本项目废气污染物排放量见下表。</w:t>
            </w:r>
          </w:p>
          <w:p w14:paraId="4A7F3B64">
            <w:pPr>
              <w:adjustRightInd w:val="0"/>
              <w:snapToGrid w:val="0"/>
              <w:spacing w:line="240" w:lineRule="auto"/>
              <w:ind w:firstLine="482" w:firstLineChars="200"/>
              <w:jc w:val="center"/>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t>表3-</w:t>
            </w:r>
            <w:r>
              <w:rPr>
                <w:rFonts w:hint="eastAsia" w:cs="Times New Roman"/>
                <w:b/>
                <w:bCs/>
                <w:color w:val="000000" w:themeColor="text1"/>
                <w:sz w:val="24"/>
                <w:highlight w:val="none"/>
                <w:lang w:val="en-US" w:eastAsia="zh-CN"/>
                <w14:textFill>
                  <w14:solidFill>
                    <w14:schemeClr w14:val="tx1"/>
                  </w14:solidFill>
                </w14:textFill>
              </w:rPr>
              <w:t>15</w:t>
            </w:r>
            <w:r>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t>项目废气污染物排放量一览表</w:t>
            </w:r>
          </w:p>
          <w:tbl>
            <w:tblPr>
              <w:tblStyle w:val="2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9"/>
              <w:gridCol w:w="1538"/>
              <w:gridCol w:w="1613"/>
              <w:gridCol w:w="2155"/>
              <w:gridCol w:w="1776"/>
            </w:tblGrid>
            <w:tr w14:paraId="6163A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pct"/>
                  <w:noWrap w:val="0"/>
                  <w:vAlign w:val="center"/>
                </w:tcPr>
                <w:p w14:paraId="652341E1">
                  <w:pPr>
                    <w:adjustRightInd w:val="0"/>
                    <w:snapToGrid w:val="0"/>
                    <w:spacing w:line="240" w:lineRule="auto"/>
                    <w:jc w:val="cente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序号</w:t>
                  </w:r>
                </w:p>
              </w:tc>
              <w:tc>
                <w:tcPr>
                  <w:tcW w:w="966" w:type="pct"/>
                  <w:noWrap w:val="0"/>
                  <w:vAlign w:val="center"/>
                </w:tcPr>
                <w:p w14:paraId="00389AA1">
                  <w:pPr>
                    <w:adjustRightInd w:val="0"/>
                    <w:snapToGrid w:val="0"/>
                    <w:spacing w:line="240" w:lineRule="auto"/>
                    <w:jc w:val="cente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污染物</w:t>
                  </w:r>
                </w:p>
              </w:tc>
              <w:tc>
                <w:tcPr>
                  <w:tcW w:w="1013" w:type="pct"/>
                  <w:noWrap w:val="0"/>
                  <w:vAlign w:val="center"/>
                </w:tcPr>
                <w:p w14:paraId="4AE2E9A0">
                  <w:pPr>
                    <w:adjustRightInd w:val="0"/>
                    <w:snapToGrid w:val="0"/>
                    <w:spacing w:line="240" w:lineRule="auto"/>
                    <w:jc w:val="cente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废气类型</w:t>
                  </w:r>
                </w:p>
              </w:tc>
              <w:tc>
                <w:tcPr>
                  <w:tcW w:w="1353" w:type="pct"/>
                  <w:noWrap w:val="0"/>
                  <w:vAlign w:val="center"/>
                </w:tcPr>
                <w:p w14:paraId="3F7AA29D">
                  <w:pPr>
                    <w:adjustRightInd w:val="0"/>
                    <w:snapToGrid w:val="0"/>
                    <w:spacing w:line="240" w:lineRule="auto"/>
                    <w:jc w:val="cente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名称</w:t>
                  </w:r>
                </w:p>
              </w:tc>
              <w:tc>
                <w:tcPr>
                  <w:tcW w:w="1115" w:type="pct"/>
                  <w:noWrap w:val="0"/>
                  <w:vAlign w:val="center"/>
                </w:tcPr>
                <w:p w14:paraId="7D4689FE">
                  <w:pPr>
                    <w:adjustRightInd w:val="0"/>
                    <w:snapToGrid w:val="0"/>
                    <w:spacing w:line="240" w:lineRule="auto"/>
                    <w:jc w:val="cente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排放量t/a</w:t>
                  </w:r>
                </w:p>
              </w:tc>
            </w:tr>
            <w:tr w14:paraId="42BE3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pct"/>
                  <w:noWrap w:val="0"/>
                  <w:vAlign w:val="center"/>
                </w:tcPr>
                <w:p w14:paraId="3EA739B0">
                  <w:pPr>
                    <w:adjustRightInd w:val="0"/>
                    <w:snapToGrid w:val="0"/>
                    <w:spacing w:line="240" w:lineRule="auto"/>
                    <w:jc w:val="cente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1</w:t>
                  </w:r>
                </w:p>
              </w:tc>
              <w:tc>
                <w:tcPr>
                  <w:tcW w:w="966" w:type="pct"/>
                  <w:noWrap w:val="0"/>
                  <w:vAlign w:val="center"/>
                </w:tcPr>
                <w:p w14:paraId="55D7CBB9">
                  <w:pPr>
                    <w:adjustRightInd w:val="0"/>
                    <w:snapToGrid w:val="0"/>
                    <w:spacing w:line="240" w:lineRule="auto"/>
                    <w:jc w:val="cente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颗粒物</w:t>
                  </w:r>
                </w:p>
              </w:tc>
              <w:tc>
                <w:tcPr>
                  <w:tcW w:w="1013" w:type="pct"/>
                  <w:noWrap w:val="0"/>
                  <w:vAlign w:val="center"/>
                </w:tcPr>
                <w:p w14:paraId="27EBE7DE">
                  <w:pPr>
                    <w:adjustRightInd w:val="0"/>
                    <w:snapToGrid w:val="0"/>
                    <w:spacing w:line="240" w:lineRule="auto"/>
                    <w:jc w:val="cente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有组织</w:t>
                  </w:r>
                </w:p>
              </w:tc>
              <w:tc>
                <w:tcPr>
                  <w:tcW w:w="1353" w:type="pct"/>
                  <w:noWrap w:val="0"/>
                  <w:vAlign w:val="center"/>
                </w:tcPr>
                <w:p w14:paraId="69ABF00B">
                  <w:pPr>
                    <w:adjustRightInd w:val="0"/>
                    <w:snapToGrid w:val="0"/>
                    <w:spacing w:line="240" w:lineRule="auto"/>
                    <w:jc w:val="cente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排放口AD001</w:t>
                  </w:r>
                </w:p>
              </w:tc>
              <w:tc>
                <w:tcPr>
                  <w:tcW w:w="1115" w:type="pct"/>
                  <w:shd w:val="clear" w:color="auto" w:fill="auto"/>
                  <w:noWrap w:val="0"/>
                  <w:vAlign w:val="center"/>
                </w:tcPr>
                <w:p w14:paraId="6C987B07">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0.12</w:t>
                  </w:r>
                </w:p>
              </w:tc>
            </w:tr>
            <w:tr w14:paraId="643BA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pct"/>
                  <w:noWrap w:val="0"/>
                  <w:vAlign w:val="center"/>
                </w:tcPr>
                <w:p w14:paraId="1A23858A">
                  <w:pPr>
                    <w:adjustRightInd w:val="0"/>
                    <w:snapToGrid w:val="0"/>
                    <w:spacing w:line="240" w:lineRule="auto"/>
                    <w:jc w:val="center"/>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2</w:t>
                  </w:r>
                </w:p>
              </w:tc>
              <w:tc>
                <w:tcPr>
                  <w:tcW w:w="966" w:type="pct"/>
                  <w:noWrap w:val="0"/>
                  <w:vAlign w:val="center"/>
                </w:tcPr>
                <w:p w14:paraId="58DC151A">
                  <w:pPr>
                    <w:adjustRightInd w:val="0"/>
                    <w:snapToGrid w:val="0"/>
                    <w:spacing w:line="240" w:lineRule="auto"/>
                    <w:jc w:val="cente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颗粒物</w:t>
                  </w:r>
                </w:p>
              </w:tc>
              <w:tc>
                <w:tcPr>
                  <w:tcW w:w="1013" w:type="pct"/>
                  <w:noWrap w:val="0"/>
                  <w:vAlign w:val="center"/>
                </w:tcPr>
                <w:p w14:paraId="51F333D8">
                  <w:pPr>
                    <w:adjustRightInd w:val="0"/>
                    <w:snapToGrid w:val="0"/>
                    <w:spacing w:line="240" w:lineRule="auto"/>
                    <w:jc w:val="cente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有组织</w:t>
                  </w:r>
                </w:p>
              </w:tc>
              <w:tc>
                <w:tcPr>
                  <w:tcW w:w="1353" w:type="pct"/>
                  <w:noWrap w:val="0"/>
                  <w:vAlign w:val="center"/>
                </w:tcPr>
                <w:p w14:paraId="264CC267">
                  <w:pPr>
                    <w:adjustRightInd w:val="0"/>
                    <w:snapToGrid w:val="0"/>
                    <w:spacing w:line="240" w:lineRule="auto"/>
                    <w:jc w:val="cente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排放口AD002</w:t>
                  </w:r>
                </w:p>
              </w:tc>
              <w:tc>
                <w:tcPr>
                  <w:tcW w:w="1115" w:type="pct"/>
                  <w:shd w:val="clear" w:color="auto" w:fill="auto"/>
                  <w:noWrap w:val="0"/>
                  <w:vAlign w:val="center"/>
                </w:tcPr>
                <w:p w14:paraId="5C8127C5">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0.12</w:t>
                  </w:r>
                </w:p>
              </w:tc>
            </w:tr>
            <w:tr w14:paraId="26062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pct"/>
                  <w:noWrap w:val="0"/>
                  <w:vAlign w:val="center"/>
                </w:tcPr>
                <w:p w14:paraId="55E633D5">
                  <w:pPr>
                    <w:adjustRightInd w:val="0"/>
                    <w:snapToGrid w:val="0"/>
                    <w:spacing w:line="240" w:lineRule="auto"/>
                    <w:jc w:val="center"/>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3</w:t>
                  </w:r>
                </w:p>
              </w:tc>
              <w:tc>
                <w:tcPr>
                  <w:tcW w:w="966" w:type="pct"/>
                  <w:noWrap w:val="0"/>
                  <w:vAlign w:val="center"/>
                </w:tcPr>
                <w:p w14:paraId="3DBDDFDA">
                  <w:pPr>
                    <w:adjustRightInd w:val="0"/>
                    <w:snapToGrid w:val="0"/>
                    <w:spacing w:line="240" w:lineRule="auto"/>
                    <w:jc w:val="cente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颗粒物</w:t>
                  </w:r>
                </w:p>
              </w:tc>
              <w:tc>
                <w:tcPr>
                  <w:tcW w:w="1013" w:type="pct"/>
                  <w:noWrap w:val="0"/>
                  <w:vAlign w:val="center"/>
                </w:tcPr>
                <w:p w14:paraId="1F4D8E4B">
                  <w:pPr>
                    <w:adjustRightInd w:val="0"/>
                    <w:snapToGrid w:val="0"/>
                    <w:spacing w:line="240" w:lineRule="auto"/>
                    <w:jc w:val="cente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有组织</w:t>
                  </w:r>
                </w:p>
              </w:tc>
              <w:tc>
                <w:tcPr>
                  <w:tcW w:w="1353" w:type="pct"/>
                  <w:noWrap w:val="0"/>
                  <w:vAlign w:val="center"/>
                </w:tcPr>
                <w:p w14:paraId="2C56550D">
                  <w:pPr>
                    <w:adjustRightInd w:val="0"/>
                    <w:snapToGrid w:val="0"/>
                    <w:spacing w:line="240" w:lineRule="auto"/>
                    <w:jc w:val="cente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排放口AD003</w:t>
                  </w:r>
                </w:p>
              </w:tc>
              <w:tc>
                <w:tcPr>
                  <w:tcW w:w="1115" w:type="pct"/>
                  <w:shd w:val="clear" w:color="auto" w:fill="auto"/>
                  <w:noWrap w:val="0"/>
                  <w:vAlign w:val="center"/>
                </w:tcPr>
                <w:p w14:paraId="60E8C659">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0.</w:t>
                  </w:r>
                  <w:r>
                    <w:rPr>
                      <w:rFonts w:hint="eastAsia" w:cs="Times New Roman"/>
                      <w:b w:val="0"/>
                      <w:bCs w:val="0"/>
                      <w:color w:val="000000" w:themeColor="text1"/>
                      <w:sz w:val="21"/>
                      <w:szCs w:val="21"/>
                      <w:highlight w:val="none"/>
                      <w:lang w:val="en-US" w:eastAsia="zh-CN"/>
                      <w14:textFill>
                        <w14:solidFill>
                          <w14:schemeClr w14:val="tx1"/>
                        </w14:solidFill>
                      </w14:textFill>
                    </w:rPr>
                    <w:t>24</w:t>
                  </w:r>
                </w:p>
              </w:tc>
            </w:tr>
            <w:tr w14:paraId="41C11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pct"/>
                  <w:noWrap w:val="0"/>
                  <w:vAlign w:val="center"/>
                </w:tcPr>
                <w:p w14:paraId="27BFA07E">
                  <w:pPr>
                    <w:adjustRightInd w:val="0"/>
                    <w:snapToGrid w:val="0"/>
                    <w:spacing w:line="240" w:lineRule="auto"/>
                    <w:jc w:val="cente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4</w:t>
                  </w:r>
                </w:p>
              </w:tc>
              <w:tc>
                <w:tcPr>
                  <w:tcW w:w="966" w:type="pct"/>
                  <w:noWrap w:val="0"/>
                  <w:vAlign w:val="center"/>
                </w:tcPr>
                <w:p w14:paraId="06111493">
                  <w:pPr>
                    <w:adjustRightInd w:val="0"/>
                    <w:snapToGrid w:val="0"/>
                    <w:spacing w:line="240" w:lineRule="auto"/>
                    <w:jc w:val="cente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颗粒物</w:t>
                  </w:r>
                </w:p>
              </w:tc>
              <w:tc>
                <w:tcPr>
                  <w:tcW w:w="1013" w:type="pct"/>
                  <w:noWrap w:val="0"/>
                  <w:vAlign w:val="center"/>
                </w:tcPr>
                <w:p w14:paraId="76ED62B2">
                  <w:pPr>
                    <w:adjustRightInd w:val="0"/>
                    <w:snapToGrid w:val="0"/>
                    <w:spacing w:line="240" w:lineRule="auto"/>
                    <w:jc w:val="cente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有组织</w:t>
                  </w:r>
                </w:p>
              </w:tc>
              <w:tc>
                <w:tcPr>
                  <w:tcW w:w="1353" w:type="pct"/>
                  <w:noWrap w:val="0"/>
                  <w:vAlign w:val="center"/>
                </w:tcPr>
                <w:p w14:paraId="317B25EF">
                  <w:pPr>
                    <w:adjustRightInd w:val="0"/>
                    <w:snapToGrid w:val="0"/>
                    <w:spacing w:line="240" w:lineRule="auto"/>
                    <w:jc w:val="cente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排放口AD004</w:t>
                  </w:r>
                </w:p>
              </w:tc>
              <w:tc>
                <w:tcPr>
                  <w:tcW w:w="1115" w:type="pct"/>
                  <w:shd w:val="clear" w:color="auto" w:fill="auto"/>
                  <w:noWrap w:val="0"/>
                  <w:vAlign w:val="center"/>
                </w:tcPr>
                <w:p w14:paraId="5F10E1AF">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0.2</w:t>
                  </w:r>
                  <w:r>
                    <w:rPr>
                      <w:rFonts w:hint="eastAsia" w:cs="Times New Roman"/>
                      <w:b w:val="0"/>
                      <w:bCs w:val="0"/>
                      <w:color w:val="000000" w:themeColor="text1"/>
                      <w:sz w:val="21"/>
                      <w:szCs w:val="21"/>
                      <w:highlight w:val="none"/>
                      <w:lang w:val="en-US" w:eastAsia="zh-CN"/>
                      <w14:textFill>
                        <w14:solidFill>
                          <w14:schemeClr w14:val="tx1"/>
                        </w14:solidFill>
                      </w14:textFill>
                    </w:rPr>
                    <w:t>4</w:t>
                  </w:r>
                </w:p>
              </w:tc>
            </w:tr>
            <w:tr w14:paraId="116E4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pct"/>
                  <w:shd w:val="clear" w:color="auto" w:fill="auto"/>
                  <w:noWrap w:val="0"/>
                  <w:vAlign w:val="center"/>
                </w:tcPr>
                <w:p w14:paraId="1C440C5F">
                  <w:pPr>
                    <w:adjustRightInd w:val="0"/>
                    <w:snapToGrid w:val="0"/>
                    <w:spacing w:line="240" w:lineRule="auto"/>
                    <w:jc w:val="center"/>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eastAsia" w:cs="Times New Roman"/>
                      <w:color w:val="000000" w:themeColor="text1"/>
                      <w:kern w:val="2"/>
                      <w:sz w:val="21"/>
                      <w:szCs w:val="21"/>
                      <w:highlight w:val="none"/>
                      <w:vertAlign w:val="baseline"/>
                      <w:lang w:val="en-US" w:eastAsia="zh-CN" w:bidi="ar-SA"/>
                      <w14:textFill>
                        <w14:solidFill>
                          <w14:schemeClr w14:val="tx1"/>
                        </w14:solidFill>
                      </w14:textFill>
                    </w:rPr>
                    <w:t>5</w:t>
                  </w:r>
                </w:p>
              </w:tc>
              <w:tc>
                <w:tcPr>
                  <w:tcW w:w="966" w:type="pct"/>
                  <w:shd w:val="clear" w:color="auto" w:fill="auto"/>
                  <w:noWrap w:val="0"/>
                  <w:vAlign w:val="center"/>
                </w:tcPr>
                <w:p w14:paraId="1CFE9991">
                  <w:pPr>
                    <w:adjustRightInd w:val="0"/>
                    <w:snapToGrid w:val="0"/>
                    <w:spacing w:line="240" w:lineRule="auto"/>
                    <w:jc w:val="center"/>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颗粒物</w:t>
                  </w:r>
                </w:p>
              </w:tc>
              <w:tc>
                <w:tcPr>
                  <w:tcW w:w="1013" w:type="pct"/>
                  <w:shd w:val="clear" w:color="auto" w:fill="auto"/>
                  <w:noWrap w:val="0"/>
                  <w:vAlign w:val="center"/>
                </w:tcPr>
                <w:p w14:paraId="3DAF2630">
                  <w:pPr>
                    <w:adjustRightInd w:val="0"/>
                    <w:snapToGrid w:val="0"/>
                    <w:spacing w:line="240" w:lineRule="auto"/>
                    <w:jc w:val="center"/>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有组织</w:t>
                  </w:r>
                </w:p>
              </w:tc>
              <w:tc>
                <w:tcPr>
                  <w:tcW w:w="1353" w:type="pct"/>
                  <w:shd w:val="clear" w:color="auto" w:fill="auto"/>
                  <w:noWrap w:val="0"/>
                  <w:vAlign w:val="center"/>
                </w:tcPr>
                <w:p w14:paraId="5638C8F5">
                  <w:pPr>
                    <w:adjustRightInd w:val="0"/>
                    <w:snapToGrid w:val="0"/>
                    <w:spacing w:line="240" w:lineRule="auto"/>
                    <w:jc w:val="center"/>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排放口AD00</w:t>
                  </w:r>
                  <w:r>
                    <w:rPr>
                      <w:rFonts w:hint="eastAsia" w:cs="Times New Roman"/>
                      <w:color w:val="000000" w:themeColor="text1"/>
                      <w:sz w:val="21"/>
                      <w:szCs w:val="21"/>
                      <w:highlight w:val="none"/>
                      <w:vertAlign w:val="baseline"/>
                      <w:lang w:val="en-US" w:eastAsia="zh-CN"/>
                      <w14:textFill>
                        <w14:solidFill>
                          <w14:schemeClr w14:val="tx1"/>
                        </w14:solidFill>
                      </w14:textFill>
                    </w:rPr>
                    <w:t>5</w:t>
                  </w:r>
                </w:p>
              </w:tc>
              <w:tc>
                <w:tcPr>
                  <w:tcW w:w="1115" w:type="pct"/>
                  <w:shd w:val="clear" w:color="auto" w:fill="auto"/>
                  <w:noWrap w:val="0"/>
                  <w:vAlign w:val="center"/>
                </w:tcPr>
                <w:p w14:paraId="33869535">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0.</w:t>
                  </w:r>
                  <w:r>
                    <w:rPr>
                      <w:rFonts w:hint="eastAsia" w:cs="Times New Roman"/>
                      <w:b w:val="0"/>
                      <w:bCs w:val="0"/>
                      <w:color w:val="000000" w:themeColor="text1"/>
                      <w:sz w:val="21"/>
                      <w:szCs w:val="21"/>
                      <w:highlight w:val="none"/>
                      <w:lang w:val="en-US" w:eastAsia="zh-CN"/>
                      <w14:textFill>
                        <w14:solidFill>
                          <w14:schemeClr w14:val="tx1"/>
                        </w14:solidFill>
                      </w14:textFill>
                    </w:rPr>
                    <w:t>2</w:t>
                  </w:r>
                </w:p>
              </w:tc>
            </w:tr>
            <w:tr w14:paraId="1005C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pct"/>
                  <w:vMerge w:val="restart"/>
                  <w:noWrap w:val="0"/>
                  <w:vAlign w:val="center"/>
                </w:tcPr>
                <w:p w14:paraId="42E79530">
                  <w:pPr>
                    <w:adjustRightInd w:val="0"/>
                    <w:snapToGrid w:val="0"/>
                    <w:spacing w:line="240" w:lineRule="auto"/>
                    <w:jc w:val="center"/>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eastAsia" w:cs="Times New Roman"/>
                      <w:color w:val="000000" w:themeColor="text1"/>
                      <w:kern w:val="2"/>
                      <w:sz w:val="21"/>
                      <w:szCs w:val="21"/>
                      <w:highlight w:val="none"/>
                      <w:vertAlign w:val="baseline"/>
                      <w:lang w:val="en-US" w:eastAsia="zh-CN" w:bidi="ar-SA"/>
                      <w14:textFill>
                        <w14:solidFill>
                          <w14:schemeClr w14:val="tx1"/>
                        </w14:solidFill>
                      </w14:textFill>
                    </w:rPr>
                    <w:t>6</w:t>
                  </w:r>
                </w:p>
              </w:tc>
              <w:tc>
                <w:tcPr>
                  <w:tcW w:w="966" w:type="pct"/>
                  <w:noWrap w:val="0"/>
                  <w:vAlign w:val="center"/>
                </w:tcPr>
                <w:p w14:paraId="1B49B383">
                  <w:pPr>
                    <w:adjustRightInd w:val="0"/>
                    <w:snapToGrid w:val="0"/>
                    <w:spacing w:line="240" w:lineRule="auto"/>
                    <w:jc w:val="center"/>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二氧化硫</w:t>
                  </w:r>
                </w:p>
              </w:tc>
              <w:tc>
                <w:tcPr>
                  <w:tcW w:w="1013" w:type="pct"/>
                  <w:noWrap w:val="0"/>
                  <w:vAlign w:val="center"/>
                </w:tcPr>
                <w:p w14:paraId="558A7211">
                  <w:pPr>
                    <w:adjustRightInd w:val="0"/>
                    <w:snapToGrid w:val="0"/>
                    <w:spacing w:line="240" w:lineRule="auto"/>
                    <w:jc w:val="cente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有组织</w:t>
                  </w:r>
                </w:p>
              </w:tc>
              <w:tc>
                <w:tcPr>
                  <w:tcW w:w="1353" w:type="pct"/>
                  <w:vMerge w:val="restart"/>
                  <w:noWrap w:val="0"/>
                  <w:vAlign w:val="center"/>
                </w:tcPr>
                <w:p w14:paraId="624D6250">
                  <w:pPr>
                    <w:adjustRightInd w:val="0"/>
                    <w:snapToGrid w:val="0"/>
                    <w:spacing w:line="240" w:lineRule="auto"/>
                    <w:jc w:val="cente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排放口AD00</w:t>
                  </w:r>
                  <w:r>
                    <w:rPr>
                      <w:rFonts w:hint="eastAsia" w:cs="Times New Roman"/>
                      <w:color w:val="000000" w:themeColor="text1"/>
                      <w:sz w:val="21"/>
                      <w:szCs w:val="21"/>
                      <w:highlight w:val="none"/>
                      <w:vertAlign w:val="baseline"/>
                      <w:lang w:val="en-US" w:eastAsia="zh-CN"/>
                      <w14:textFill>
                        <w14:solidFill>
                          <w14:schemeClr w14:val="tx1"/>
                        </w14:solidFill>
                      </w14:textFill>
                    </w:rPr>
                    <w:t>6</w:t>
                  </w:r>
                </w:p>
              </w:tc>
              <w:tc>
                <w:tcPr>
                  <w:tcW w:w="1115" w:type="pct"/>
                  <w:shd w:val="clear" w:color="auto" w:fill="auto"/>
                  <w:noWrap w:val="0"/>
                  <w:vAlign w:val="center"/>
                </w:tcPr>
                <w:p w14:paraId="3B18DB66">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38.41</w:t>
                  </w:r>
                </w:p>
              </w:tc>
            </w:tr>
            <w:tr w14:paraId="286C8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pct"/>
                  <w:vMerge w:val="continue"/>
                  <w:noWrap w:val="0"/>
                  <w:vAlign w:val="center"/>
                </w:tcPr>
                <w:p w14:paraId="129384BB">
                  <w:pPr>
                    <w:adjustRightInd w:val="0"/>
                    <w:snapToGrid w:val="0"/>
                    <w:spacing w:line="240" w:lineRule="auto"/>
                    <w:jc w:val="center"/>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p>
              </w:tc>
              <w:tc>
                <w:tcPr>
                  <w:tcW w:w="966" w:type="pct"/>
                  <w:noWrap w:val="0"/>
                  <w:vAlign w:val="center"/>
                </w:tcPr>
                <w:p w14:paraId="2CF70D3B">
                  <w:pPr>
                    <w:adjustRightInd w:val="0"/>
                    <w:snapToGrid w:val="0"/>
                    <w:spacing w:line="240" w:lineRule="auto"/>
                    <w:jc w:val="center"/>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氮氧化物</w:t>
                  </w:r>
                </w:p>
              </w:tc>
              <w:tc>
                <w:tcPr>
                  <w:tcW w:w="1013" w:type="pct"/>
                  <w:noWrap w:val="0"/>
                  <w:vAlign w:val="center"/>
                </w:tcPr>
                <w:p w14:paraId="0A5D104B">
                  <w:pPr>
                    <w:adjustRightInd w:val="0"/>
                    <w:snapToGrid w:val="0"/>
                    <w:spacing w:line="240" w:lineRule="auto"/>
                    <w:jc w:val="cente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有组织</w:t>
                  </w:r>
                </w:p>
              </w:tc>
              <w:tc>
                <w:tcPr>
                  <w:tcW w:w="1353" w:type="pct"/>
                  <w:vMerge w:val="continue"/>
                  <w:noWrap w:val="0"/>
                  <w:vAlign w:val="center"/>
                </w:tcPr>
                <w:p w14:paraId="4F840AEB">
                  <w:pPr>
                    <w:adjustRightInd w:val="0"/>
                    <w:snapToGrid w:val="0"/>
                    <w:spacing w:line="240" w:lineRule="auto"/>
                    <w:jc w:val="cente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p>
              </w:tc>
              <w:tc>
                <w:tcPr>
                  <w:tcW w:w="1115" w:type="pct"/>
                  <w:shd w:val="clear" w:color="auto" w:fill="auto"/>
                  <w:noWrap w:val="0"/>
                  <w:vAlign w:val="center"/>
                </w:tcPr>
                <w:p w14:paraId="7D48A684">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cs="Times New Roman"/>
                      <w:b w:val="0"/>
                      <w:bCs w:val="0"/>
                      <w:color w:val="000000" w:themeColor="text1"/>
                      <w:kern w:val="2"/>
                      <w:sz w:val="21"/>
                      <w:szCs w:val="21"/>
                      <w:highlight w:val="none"/>
                      <w:lang w:val="en-US" w:eastAsia="zh-CN" w:bidi="ar-SA"/>
                      <w14:textFill>
                        <w14:solidFill>
                          <w14:schemeClr w14:val="tx1"/>
                        </w14:solidFill>
                      </w14:textFill>
                    </w:rPr>
                    <w:t>94</w:t>
                  </w:r>
                </w:p>
              </w:tc>
            </w:tr>
            <w:tr w14:paraId="49C8F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pct"/>
                  <w:vMerge w:val="continue"/>
                  <w:noWrap w:val="0"/>
                  <w:vAlign w:val="center"/>
                </w:tcPr>
                <w:p w14:paraId="1B2D3A83">
                  <w:pPr>
                    <w:adjustRightInd w:val="0"/>
                    <w:snapToGrid w:val="0"/>
                    <w:spacing w:line="240" w:lineRule="auto"/>
                    <w:jc w:val="cente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p>
              </w:tc>
              <w:tc>
                <w:tcPr>
                  <w:tcW w:w="966" w:type="pct"/>
                  <w:noWrap w:val="0"/>
                  <w:vAlign w:val="center"/>
                </w:tcPr>
                <w:p w14:paraId="59585722">
                  <w:pPr>
                    <w:adjustRightInd w:val="0"/>
                    <w:snapToGrid w:val="0"/>
                    <w:spacing w:line="240" w:lineRule="auto"/>
                    <w:jc w:val="cente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颗粒物</w:t>
                  </w:r>
                </w:p>
              </w:tc>
              <w:tc>
                <w:tcPr>
                  <w:tcW w:w="1013" w:type="pct"/>
                  <w:noWrap w:val="0"/>
                  <w:vAlign w:val="center"/>
                </w:tcPr>
                <w:p w14:paraId="08639C66">
                  <w:pPr>
                    <w:adjustRightInd w:val="0"/>
                    <w:snapToGrid w:val="0"/>
                    <w:spacing w:line="240" w:lineRule="auto"/>
                    <w:jc w:val="cente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有组织</w:t>
                  </w:r>
                </w:p>
              </w:tc>
              <w:tc>
                <w:tcPr>
                  <w:tcW w:w="1353" w:type="pct"/>
                  <w:vMerge w:val="continue"/>
                  <w:noWrap w:val="0"/>
                  <w:vAlign w:val="center"/>
                </w:tcPr>
                <w:p w14:paraId="5A4E47B2">
                  <w:pPr>
                    <w:adjustRightInd w:val="0"/>
                    <w:snapToGrid w:val="0"/>
                    <w:spacing w:line="240" w:lineRule="auto"/>
                    <w:jc w:val="cente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p>
              </w:tc>
              <w:tc>
                <w:tcPr>
                  <w:tcW w:w="1115" w:type="pct"/>
                  <w:shd w:val="clear" w:color="auto" w:fill="auto"/>
                  <w:noWrap w:val="0"/>
                  <w:vAlign w:val="center"/>
                </w:tcPr>
                <w:p w14:paraId="5BD4AAC2">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7.2</w:t>
                  </w:r>
                </w:p>
              </w:tc>
            </w:tr>
            <w:tr w14:paraId="53E80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pct"/>
                  <w:vMerge w:val="continue"/>
                  <w:noWrap w:val="0"/>
                  <w:vAlign w:val="center"/>
                </w:tcPr>
                <w:p w14:paraId="7693697D">
                  <w:pPr>
                    <w:adjustRightInd w:val="0"/>
                    <w:snapToGrid w:val="0"/>
                    <w:spacing w:line="240" w:lineRule="auto"/>
                    <w:jc w:val="cente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p>
              </w:tc>
              <w:tc>
                <w:tcPr>
                  <w:tcW w:w="966" w:type="pct"/>
                  <w:noWrap w:val="0"/>
                  <w:vAlign w:val="center"/>
                </w:tcPr>
                <w:p w14:paraId="5D7BB9EA">
                  <w:pPr>
                    <w:adjustRightInd w:val="0"/>
                    <w:snapToGrid w:val="0"/>
                    <w:spacing w:line="240" w:lineRule="auto"/>
                    <w:jc w:val="cente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cs="Times New Roman"/>
                      <w:color w:val="000000" w:themeColor="text1"/>
                      <w:sz w:val="21"/>
                      <w:szCs w:val="21"/>
                      <w:highlight w:val="none"/>
                      <w:vertAlign w:val="baseline"/>
                      <w:lang w:val="en-US" w:eastAsia="zh-CN"/>
                      <w14:textFill>
                        <w14:solidFill>
                          <w14:schemeClr w14:val="tx1"/>
                        </w14:solidFill>
                      </w14:textFill>
                    </w:rPr>
                    <w:t>氨气</w:t>
                  </w:r>
                </w:p>
              </w:tc>
              <w:tc>
                <w:tcPr>
                  <w:tcW w:w="1013" w:type="pct"/>
                  <w:noWrap w:val="0"/>
                  <w:vAlign w:val="center"/>
                </w:tcPr>
                <w:p w14:paraId="64A6230D">
                  <w:pPr>
                    <w:adjustRightInd w:val="0"/>
                    <w:snapToGrid w:val="0"/>
                    <w:spacing w:line="240" w:lineRule="auto"/>
                    <w:jc w:val="cente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有组织</w:t>
                  </w:r>
                </w:p>
              </w:tc>
              <w:tc>
                <w:tcPr>
                  <w:tcW w:w="1353" w:type="pct"/>
                  <w:vMerge w:val="continue"/>
                  <w:noWrap w:val="0"/>
                  <w:vAlign w:val="center"/>
                </w:tcPr>
                <w:p w14:paraId="73901C7C">
                  <w:pPr>
                    <w:adjustRightInd w:val="0"/>
                    <w:snapToGrid w:val="0"/>
                    <w:spacing w:line="240" w:lineRule="auto"/>
                    <w:jc w:val="cente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p>
              </w:tc>
              <w:tc>
                <w:tcPr>
                  <w:tcW w:w="1115" w:type="pct"/>
                  <w:shd w:val="clear" w:color="auto" w:fill="auto"/>
                  <w:noWrap w:val="0"/>
                  <w:vAlign w:val="center"/>
                </w:tcPr>
                <w:p w14:paraId="6A118CE5">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3.6</w:t>
                  </w:r>
                </w:p>
              </w:tc>
            </w:tr>
            <w:tr w14:paraId="674B2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pct"/>
                  <w:noWrap w:val="0"/>
                  <w:vAlign w:val="center"/>
                </w:tcPr>
                <w:p w14:paraId="615FD1C2">
                  <w:pPr>
                    <w:adjustRightInd w:val="0"/>
                    <w:snapToGrid w:val="0"/>
                    <w:spacing w:line="240" w:lineRule="auto"/>
                    <w:jc w:val="center"/>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7</w:t>
                  </w:r>
                </w:p>
              </w:tc>
              <w:tc>
                <w:tcPr>
                  <w:tcW w:w="966" w:type="pct"/>
                  <w:noWrap w:val="0"/>
                  <w:vAlign w:val="center"/>
                </w:tcPr>
                <w:p w14:paraId="5817DB39">
                  <w:pPr>
                    <w:adjustRightInd w:val="0"/>
                    <w:snapToGrid w:val="0"/>
                    <w:spacing w:line="240" w:lineRule="auto"/>
                    <w:jc w:val="center"/>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颗粒物</w:t>
                  </w:r>
                </w:p>
              </w:tc>
              <w:tc>
                <w:tcPr>
                  <w:tcW w:w="1013" w:type="pct"/>
                  <w:noWrap w:val="0"/>
                  <w:vAlign w:val="center"/>
                </w:tcPr>
                <w:p w14:paraId="11942910">
                  <w:pPr>
                    <w:adjustRightInd w:val="0"/>
                    <w:snapToGrid w:val="0"/>
                    <w:spacing w:line="240" w:lineRule="auto"/>
                    <w:jc w:val="center"/>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有组织</w:t>
                  </w:r>
                </w:p>
              </w:tc>
              <w:tc>
                <w:tcPr>
                  <w:tcW w:w="1353" w:type="pct"/>
                  <w:noWrap w:val="0"/>
                  <w:vAlign w:val="center"/>
                </w:tcPr>
                <w:p w14:paraId="568E67E6">
                  <w:pPr>
                    <w:adjustRightInd w:val="0"/>
                    <w:snapToGrid w:val="0"/>
                    <w:spacing w:line="240" w:lineRule="auto"/>
                    <w:jc w:val="center"/>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排放口AD007</w:t>
                  </w:r>
                </w:p>
              </w:tc>
              <w:tc>
                <w:tcPr>
                  <w:tcW w:w="1115" w:type="pct"/>
                  <w:shd w:val="clear" w:color="auto" w:fill="auto"/>
                  <w:noWrap w:val="0"/>
                  <w:vAlign w:val="center"/>
                </w:tcPr>
                <w:p w14:paraId="3D640510">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0.2</w:t>
                  </w:r>
                  <w:r>
                    <w:rPr>
                      <w:rFonts w:hint="eastAsia" w:cs="Times New Roman"/>
                      <w:b w:val="0"/>
                      <w:bCs w:val="0"/>
                      <w:color w:val="000000" w:themeColor="text1"/>
                      <w:sz w:val="21"/>
                      <w:szCs w:val="21"/>
                      <w:highlight w:val="none"/>
                      <w:lang w:val="en-US" w:eastAsia="zh-CN"/>
                      <w14:textFill>
                        <w14:solidFill>
                          <w14:schemeClr w14:val="tx1"/>
                        </w14:solidFill>
                      </w14:textFill>
                    </w:rPr>
                    <w:t>6</w:t>
                  </w:r>
                </w:p>
              </w:tc>
            </w:tr>
            <w:tr w14:paraId="38841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pct"/>
                  <w:noWrap w:val="0"/>
                  <w:vAlign w:val="center"/>
                </w:tcPr>
                <w:p w14:paraId="23EF365D">
                  <w:pPr>
                    <w:adjustRightInd w:val="0"/>
                    <w:snapToGrid w:val="0"/>
                    <w:spacing w:line="240" w:lineRule="auto"/>
                    <w:jc w:val="center"/>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8</w:t>
                  </w:r>
                </w:p>
              </w:tc>
              <w:tc>
                <w:tcPr>
                  <w:tcW w:w="966" w:type="pct"/>
                  <w:noWrap w:val="0"/>
                  <w:vAlign w:val="center"/>
                </w:tcPr>
                <w:p w14:paraId="43D5B3A5">
                  <w:pPr>
                    <w:adjustRightInd w:val="0"/>
                    <w:snapToGrid w:val="0"/>
                    <w:spacing w:line="240" w:lineRule="auto"/>
                    <w:jc w:val="center"/>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颗粒物</w:t>
                  </w:r>
                </w:p>
              </w:tc>
              <w:tc>
                <w:tcPr>
                  <w:tcW w:w="1013" w:type="pct"/>
                  <w:noWrap w:val="0"/>
                  <w:vAlign w:val="center"/>
                </w:tcPr>
                <w:p w14:paraId="1F8534BF">
                  <w:pPr>
                    <w:adjustRightInd w:val="0"/>
                    <w:snapToGrid w:val="0"/>
                    <w:spacing w:line="240" w:lineRule="auto"/>
                    <w:jc w:val="center"/>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有组织</w:t>
                  </w:r>
                </w:p>
              </w:tc>
              <w:tc>
                <w:tcPr>
                  <w:tcW w:w="1353" w:type="pct"/>
                  <w:noWrap w:val="0"/>
                  <w:vAlign w:val="center"/>
                </w:tcPr>
                <w:p w14:paraId="662B12A6">
                  <w:pPr>
                    <w:adjustRightInd w:val="0"/>
                    <w:snapToGrid w:val="0"/>
                    <w:spacing w:line="240" w:lineRule="auto"/>
                    <w:jc w:val="center"/>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排放口AD008</w:t>
                  </w:r>
                </w:p>
              </w:tc>
              <w:tc>
                <w:tcPr>
                  <w:tcW w:w="1115" w:type="pct"/>
                  <w:shd w:val="clear" w:color="auto" w:fill="auto"/>
                  <w:noWrap w:val="0"/>
                  <w:vAlign w:val="center"/>
                </w:tcPr>
                <w:p w14:paraId="12AEF675">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2.38</w:t>
                  </w:r>
                </w:p>
              </w:tc>
            </w:tr>
            <w:tr w14:paraId="60E0D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pct"/>
                  <w:noWrap w:val="0"/>
                  <w:vAlign w:val="center"/>
                </w:tcPr>
                <w:p w14:paraId="49B167E9">
                  <w:pPr>
                    <w:adjustRightInd w:val="0"/>
                    <w:snapToGrid w:val="0"/>
                    <w:spacing w:line="240" w:lineRule="auto"/>
                    <w:jc w:val="center"/>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t>9</w:t>
                  </w:r>
                </w:p>
              </w:tc>
              <w:tc>
                <w:tcPr>
                  <w:tcW w:w="966" w:type="pct"/>
                  <w:noWrap w:val="0"/>
                  <w:vAlign w:val="center"/>
                </w:tcPr>
                <w:p w14:paraId="7E0D905E">
                  <w:pPr>
                    <w:adjustRightInd w:val="0"/>
                    <w:snapToGrid w:val="0"/>
                    <w:spacing w:line="240" w:lineRule="auto"/>
                    <w:jc w:val="cente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颗粒物</w:t>
                  </w:r>
                </w:p>
              </w:tc>
              <w:tc>
                <w:tcPr>
                  <w:tcW w:w="1013" w:type="pct"/>
                  <w:noWrap w:val="0"/>
                  <w:vAlign w:val="center"/>
                </w:tcPr>
                <w:p w14:paraId="7660FB60">
                  <w:pPr>
                    <w:adjustRightInd w:val="0"/>
                    <w:snapToGrid w:val="0"/>
                    <w:spacing w:line="240" w:lineRule="auto"/>
                    <w:jc w:val="cente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有组织</w:t>
                  </w:r>
                </w:p>
              </w:tc>
              <w:tc>
                <w:tcPr>
                  <w:tcW w:w="1353" w:type="pct"/>
                  <w:noWrap w:val="0"/>
                  <w:vAlign w:val="center"/>
                </w:tcPr>
                <w:p w14:paraId="366EA7F7">
                  <w:pPr>
                    <w:adjustRightInd w:val="0"/>
                    <w:snapToGrid w:val="0"/>
                    <w:spacing w:line="240" w:lineRule="auto"/>
                    <w:jc w:val="center"/>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排放口AD009</w:t>
                  </w:r>
                </w:p>
              </w:tc>
              <w:tc>
                <w:tcPr>
                  <w:tcW w:w="1115" w:type="pct"/>
                  <w:shd w:val="clear" w:color="auto" w:fill="auto"/>
                  <w:noWrap w:val="0"/>
                  <w:vAlign w:val="center"/>
                </w:tcPr>
                <w:p w14:paraId="528688C5">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t>0.</w:t>
                  </w:r>
                  <w:r>
                    <w:rPr>
                      <w:rFonts w:hint="eastAsia" w:cs="Times New Roman"/>
                      <w:i w:val="0"/>
                      <w:color w:val="000000" w:themeColor="text1"/>
                      <w:kern w:val="0"/>
                      <w:sz w:val="21"/>
                      <w:szCs w:val="21"/>
                      <w:highlight w:val="none"/>
                      <w:u w:val="none"/>
                      <w:lang w:val="en-US" w:eastAsia="zh-CN" w:bidi="ar"/>
                      <w14:textFill>
                        <w14:solidFill>
                          <w14:schemeClr w14:val="tx1"/>
                        </w14:solidFill>
                      </w14:textFill>
                    </w:rPr>
                    <w:t>096</w:t>
                  </w:r>
                </w:p>
              </w:tc>
            </w:tr>
            <w:tr w14:paraId="0D727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pct"/>
                  <w:noWrap w:val="0"/>
                  <w:vAlign w:val="center"/>
                </w:tcPr>
                <w:p w14:paraId="13469AC3">
                  <w:pPr>
                    <w:adjustRightInd w:val="0"/>
                    <w:snapToGrid w:val="0"/>
                    <w:spacing w:line="240" w:lineRule="auto"/>
                    <w:jc w:val="center"/>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t>10</w:t>
                  </w:r>
                </w:p>
              </w:tc>
              <w:tc>
                <w:tcPr>
                  <w:tcW w:w="966" w:type="pct"/>
                  <w:noWrap w:val="0"/>
                  <w:vAlign w:val="center"/>
                </w:tcPr>
                <w:p w14:paraId="27091F1B">
                  <w:pPr>
                    <w:adjustRightInd w:val="0"/>
                    <w:snapToGrid w:val="0"/>
                    <w:spacing w:line="240" w:lineRule="auto"/>
                    <w:jc w:val="cente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颗粒物</w:t>
                  </w:r>
                </w:p>
              </w:tc>
              <w:tc>
                <w:tcPr>
                  <w:tcW w:w="1013" w:type="pct"/>
                  <w:noWrap w:val="0"/>
                  <w:vAlign w:val="center"/>
                </w:tcPr>
                <w:p w14:paraId="0BC25D9B">
                  <w:pPr>
                    <w:adjustRightInd w:val="0"/>
                    <w:snapToGrid w:val="0"/>
                    <w:spacing w:line="240" w:lineRule="auto"/>
                    <w:jc w:val="cente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有组织</w:t>
                  </w:r>
                </w:p>
              </w:tc>
              <w:tc>
                <w:tcPr>
                  <w:tcW w:w="1353" w:type="pct"/>
                  <w:noWrap w:val="0"/>
                  <w:vAlign w:val="center"/>
                </w:tcPr>
                <w:p w14:paraId="20CB3487">
                  <w:pPr>
                    <w:adjustRightInd w:val="0"/>
                    <w:snapToGrid w:val="0"/>
                    <w:spacing w:line="240" w:lineRule="auto"/>
                    <w:jc w:val="center"/>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排放口AD010</w:t>
                  </w:r>
                </w:p>
              </w:tc>
              <w:tc>
                <w:tcPr>
                  <w:tcW w:w="1115" w:type="pct"/>
                  <w:shd w:val="clear" w:color="auto" w:fill="auto"/>
                  <w:noWrap w:val="0"/>
                  <w:vAlign w:val="center"/>
                </w:tcPr>
                <w:p w14:paraId="28D44DE4">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t>0.</w:t>
                  </w:r>
                  <w:r>
                    <w:rPr>
                      <w:rFonts w:hint="eastAsia" w:cs="Times New Roman"/>
                      <w:i w:val="0"/>
                      <w:color w:val="000000" w:themeColor="text1"/>
                      <w:kern w:val="0"/>
                      <w:sz w:val="21"/>
                      <w:szCs w:val="21"/>
                      <w:highlight w:val="none"/>
                      <w:u w:val="none"/>
                      <w:lang w:val="en-US" w:eastAsia="zh-CN" w:bidi="ar"/>
                      <w14:textFill>
                        <w14:solidFill>
                          <w14:schemeClr w14:val="tx1"/>
                        </w14:solidFill>
                      </w14:textFill>
                    </w:rPr>
                    <w:t>096</w:t>
                  </w:r>
                </w:p>
              </w:tc>
            </w:tr>
            <w:tr w14:paraId="7E6E5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pct"/>
                  <w:noWrap w:val="0"/>
                  <w:vAlign w:val="center"/>
                </w:tcPr>
                <w:p w14:paraId="365AC68A">
                  <w:pPr>
                    <w:adjustRightInd w:val="0"/>
                    <w:snapToGrid w:val="0"/>
                    <w:spacing w:line="240" w:lineRule="auto"/>
                    <w:jc w:val="center"/>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t>11</w:t>
                  </w:r>
                </w:p>
              </w:tc>
              <w:tc>
                <w:tcPr>
                  <w:tcW w:w="966" w:type="pct"/>
                  <w:noWrap w:val="0"/>
                  <w:vAlign w:val="center"/>
                </w:tcPr>
                <w:p w14:paraId="78DB2D82">
                  <w:pPr>
                    <w:adjustRightInd w:val="0"/>
                    <w:snapToGrid w:val="0"/>
                    <w:spacing w:line="240" w:lineRule="auto"/>
                    <w:jc w:val="cente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颗粒物</w:t>
                  </w:r>
                </w:p>
              </w:tc>
              <w:tc>
                <w:tcPr>
                  <w:tcW w:w="1013" w:type="pct"/>
                  <w:noWrap w:val="0"/>
                  <w:vAlign w:val="center"/>
                </w:tcPr>
                <w:p w14:paraId="2383F1B4">
                  <w:pPr>
                    <w:adjustRightInd w:val="0"/>
                    <w:snapToGrid w:val="0"/>
                    <w:spacing w:line="240" w:lineRule="auto"/>
                    <w:jc w:val="cente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有组织</w:t>
                  </w:r>
                </w:p>
              </w:tc>
              <w:tc>
                <w:tcPr>
                  <w:tcW w:w="1353" w:type="pct"/>
                  <w:noWrap w:val="0"/>
                  <w:vAlign w:val="center"/>
                </w:tcPr>
                <w:p w14:paraId="15C183D8">
                  <w:pPr>
                    <w:adjustRightInd w:val="0"/>
                    <w:snapToGrid w:val="0"/>
                    <w:spacing w:line="240" w:lineRule="auto"/>
                    <w:jc w:val="center"/>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排放口AD011</w:t>
                  </w:r>
                </w:p>
              </w:tc>
              <w:tc>
                <w:tcPr>
                  <w:tcW w:w="1115" w:type="pct"/>
                  <w:shd w:val="clear" w:color="auto" w:fill="auto"/>
                  <w:noWrap w:val="0"/>
                  <w:vAlign w:val="center"/>
                </w:tcPr>
                <w:p w14:paraId="79D30C49">
                  <w:pPr>
                    <w:keepNext w:val="0"/>
                    <w:keepLines w:val="0"/>
                    <w:widowControl/>
                    <w:suppressLineNumbers w:val="0"/>
                    <w:jc w:val="center"/>
                    <w:textAlignment w:val="cente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color w:val="000000" w:themeColor="text1"/>
                      <w:kern w:val="0"/>
                      <w:sz w:val="21"/>
                      <w:szCs w:val="21"/>
                      <w:highlight w:val="none"/>
                      <w:u w:val="none"/>
                      <w:lang w:val="en-US" w:eastAsia="zh-CN" w:bidi="ar"/>
                      <w14:textFill>
                        <w14:solidFill>
                          <w14:schemeClr w14:val="tx1"/>
                        </w14:solidFill>
                      </w14:textFill>
                    </w:rPr>
                    <w:t>0.048</w:t>
                  </w:r>
                </w:p>
              </w:tc>
            </w:tr>
            <w:tr w14:paraId="7C22C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pct"/>
                  <w:noWrap w:val="0"/>
                  <w:vAlign w:val="center"/>
                </w:tcPr>
                <w:p w14:paraId="753A2C3F">
                  <w:pPr>
                    <w:adjustRightInd w:val="0"/>
                    <w:snapToGrid w:val="0"/>
                    <w:spacing w:line="240" w:lineRule="auto"/>
                    <w:jc w:val="center"/>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t>12</w:t>
                  </w:r>
                </w:p>
              </w:tc>
              <w:tc>
                <w:tcPr>
                  <w:tcW w:w="966" w:type="pct"/>
                  <w:noWrap w:val="0"/>
                  <w:vAlign w:val="center"/>
                </w:tcPr>
                <w:p w14:paraId="562AD96C">
                  <w:pPr>
                    <w:adjustRightInd w:val="0"/>
                    <w:snapToGrid w:val="0"/>
                    <w:spacing w:line="240" w:lineRule="auto"/>
                    <w:jc w:val="cente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颗粒物</w:t>
                  </w:r>
                </w:p>
              </w:tc>
              <w:tc>
                <w:tcPr>
                  <w:tcW w:w="1013" w:type="pct"/>
                  <w:noWrap w:val="0"/>
                  <w:vAlign w:val="center"/>
                </w:tcPr>
                <w:p w14:paraId="3D77CAB3">
                  <w:pPr>
                    <w:adjustRightInd w:val="0"/>
                    <w:snapToGrid w:val="0"/>
                    <w:spacing w:line="240" w:lineRule="auto"/>
                    <w:jc w:val="cente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有组织</w:t>
                  </w:r>
                </w:p>
              </w:tc>
              <w:tc>
                <w:tcPr>
                  <w:tcW w:w="1353" w:type="pct"/>
                  <w:noWrap w:val="0"/>
                  <w:vAlign w:val="center"/>
                </w:tcPr>
                <w:p w14:paraId="48E55B3C">
                  <w:pPr>
                    <w:adjustRightInd w:val="0"/>
                    <w:snapToGrid w:val="0"/>
                    <w:spacing w:line="240" w:lineRule="auto"/>
                    <w:jc w:val="center"/>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排放口AD012</w:t>
                  </w:r>
                </w:p>
              </w:tc>
              <w:tc>
                <w:tcPr>
                  <w:tcW w:w="1115" w:type="pct"/>
                  <w:shd w:val="clear" w:color="auto" w:fill="auto"/>
                  <w:noWrap w:val="0"/>
                  <w:vAlign w:val="center"/>
                </w:tcPr>
                <w:p w14:paraId="49596FB1">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0.</w:t>
                  </w:r>
                  <w:r>
                    <w:rPr>
                      <w:rFonts w:hint="eastAsia" w:cs="Times New Roman"/>
                      <w:b w:val="0"/>
                      <w:bCs w:val="0"/>
                      <w:color w:val="000000" w:themeColor="text1"/>
                      <w:sz w:val="21"/>
                      <w:szCs w:val="21"/>
                      <w:highlight w:val="none"/>
                      <w:lang w:val="en-US" w:eastAsia="zh-CN"/>
                      <w14:textFill>
                        <w14:solidFill>
                          <w14:schemeClr w14:val="tx1"/>
                        </w14:solidFill>
                      </w14:textFill>
                    </w:rPr>
                    <w:t>02</w:t>
                  </w:r>
                </w:p>
              </w:tc>
            </w:tr>
            <w:tr w14:paraId="21A77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pct"/>
                  <w:noWrap w:val="0"/>
                  <w:vAlign w:val="center"/>
                </w:tcPr>
                <w:p w14:paraId="20F1ED5D">
                  <w:pPr>
                    <w:adjustRightInd w:val="0"/>
                    <w:snapToGrid w:val="0"/>
                    <w:spacing w:line="240" w:lineRule="auto"/>
                    <w:jc w:val="center"/>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t>13</w:t>
                  </w:r>
                </w:p>
              </w:tc>
              <w:tc>
                <w:tcPr>
                  <w:tcW w:w="966" w:type="pct"/>
                  <w:noWrap w:val="0"/>
                  <w:vAlign w:val="center"/>
                </w:tcPr>
                <w:p w14:paraId="51FCC404">
                  <w:pPr>
                    <w:adjustRightInd w:val="0"/>
                    <w:snapToGrid w:val="0"/>
                    <w:spacing w:line="240" w:lineRule="auto"/>
                    <w:jc w:val="cente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颗粒物</w:t>
                  </w:r>
                </w:p>
              </w:tc>
              <w:tc>
                <w:tcPr>
                  <w:tcW w:w="1013" w:type="pct"/>
                  <w:noWrap w:val="0"/>
                  <w:vAlign w:val="center"/>
                </w:tcPr>
                <w:p w14:paraId="50504513">
                  <w:pPr>
                    <w:adjustRightInd w:val="0"/>
                    <w:snapToGrid w:val="0"/>
                    <w:spacing w:line="240" w:lineRule="auto"/>
                    <w:jc w:val="cente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有组织</w:t>
                  </w:r>
                </w:p>
              </w:tc>
              <w:tc>
                <w:tcPr>
                  <w:tcW w:w="1353" w:type="pct"/>
                  <w:noWrap w:val="0"/>
                  <w:vAlign w:val="center"/>
                </w:tcPr>
                <w:p w14:paraId="5944E09A">
                  <w:pPr>
                    <w:adjustRightInd w:val="0"/>
                    <w:snapToGrid w:val="0"/>
                    <w:spacing w:line="240" w:lineRule="auto"/>
                    <w:jc w:val="center"/>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排放口AD013</w:t>
                  </w:r>
                </w:p>
              </w:tc>
              <w:tc>
                <w:tcPr>
                  <w:tcW w:w="1115" w:type="pct"/>
                  <w:shd w:val="clear" w:color="auto" w:fill="auto"/>
                  <w:noWrap w:val="0"/>
                  <w:vAlign w:val="center"/>
                </w:tcPr>
                <w:p w14:paraId="08F8225E">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0.</w:t>
                  </w:r>
                  <w:r>
                    <w:rPr>
                      <w:rFonts w:hint="eastAsia" w:cs="Times New Roman"/>
                      <w:b w:val="0"/>
                      <w:bCs w:val="0"/>
                      <w:color w:val="000000" w:themeColor="text1"/>
                      <w:sz w:val="21"/>
                      <w:szCs w:val="21"/>
                      <w:highlight w:val="none"/>
                      <w:lang w:val="en-US" w:eastAsia="zh-CN"/>
                      <w14:textFill>
                        <w14:solidFill>
                          <w14:schemeClr w14:val="tx1"/>
                        </w14:solidFill>
                      </w14:textFill>
                    </w:rPr>
                    <w:t>0</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2</w:t>
                  </w:r>
                </w:p>
              </w:tc>
            </w:tr>
            <w:tr w14:paraId="5AD7D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pct"/>
                  <w:noWrap w:val="0"/>
                  <w:vAlign w:val="center"/>
                </w:tcPr>
                <w:p w14:paraId="3F341405">
                  <w:pPr>
                    <w:adjustRightInd w:val="0"/>
                    <w:snapToGrid w:val="0"/>
                    <w:spacing w:line="240" w:lineRule="auto"/>
                    <w:jc w:val="center"/>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eastAsia" w:cs="Times New Roman"/>
                      <w:color w:val="000000" w:themeColor="text1"/>
                      <w:kern w:val="2"/>
                      <w:sz w:val="21"/>
                      <w:szCs w:val="21"/>
                      <w:highlight w:val="none"/>
                      <w:vertAlign w:val="baseline"/>
                      <w:lang w:val="en-US" w:eastAsia="zh-CN" w:bidi="ar-SA"/>
                      <w14:textFill>
                        <w14:solidFill>
                          <w14:schemeClr w14:val="tx1"/>
                        </w14:solidFill>
                      </w14:textFill>
                    </w:rPr>
                    <w:t>14</w:t>
                  </w:r>
                </w:p>
              </w:tc>
              <w:tc>
                <w:tcPr>
                  <w:tcW w:w="966" w:type="pct"/>
                  <w:shd w:val="clear" w:color="auto" w:fill="auto"/>
                  <w:noWrap w:val="0"/>
                  <w:vAlign w:val="center"/>
                </w:tcPr>
                <w:p w14:paraId="71890301">
                  <w:pPr>
                    <w:adjustRightInd w:val="0"/>
                    <w:snapToGrid w:val="0"/>
                    <w:spacing w:line="240" w:lineRule="auto"/>
                    <w:jc w:val="center"/>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颗粒物</w:t>
                  </w:r>
                </w:p>
              </w:tc>
              <w:tc>
                <w:tcPr>
                  <w:tcW w:w="1013" w:type="pct"/>
                  <w:shd w:val="clear" w:color="auto" w:fill="auto"/>
                  <w:noWrap w:val="0"/>
                  <w:vAlign w:val="center"/>
                </w:tcPr>
                <w:p w14:paraId="482450F4">
                  <w:pPr>
                    <w:adjustRightInd w:val="0"/>
                    <w:snapToGrid w:val="0"/>
                    <w:spacing w:line="240" w:lineRule="auto"/>
                    <w:jc w:val="center"/>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有组织</w:t>
                  </w:r>
                </w:p>
              </w:tc>
              <w:tc>
                <w:tcPr>
                  <w:tcW w:w="1353" w:type="pct"/>
                  <w:shd w:val="clear" w:color="auto" w:fill="auto"/>
                  <w:noWrap w:val="0"/>
                  <w:vAlign w:val="center"/>
                </w:tcPr>
                <w:p w14:paraId="47AB9F71">
                  <w:pPr>
                    <w:adjustRightInd w:val="0"/>
                    <w:snapToGrid w:val="0"/>
                    <w:spacing w:line="240" w:lineRule="auto"/>
                    <w:jc w:val="center"/>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排放口AD01</w:t>
                  </w:r>
                  <w:r>
                    <w:rPr>
                      <w:rFonts w:hint="eastAsia" w:cs="Times New Roman"/>
                      <w:color w:val="000000" w:themeColor="text1"/>
                      <w:sz w:val="21"/>
                      <w:szCs w:val="21"/>
                      <w:highlight w:val="none"/>
                      <w:vertAlign w:val="baseline"/>
                      <w:lang w:val="en-US" w:eastAsia="zh-CN"/>
                      <w14:textFill>
                        <w14:solidFill>
                          <w14:schemeClr w14:val="tx1"/>
                        </w14:solidFill>
                      </w14:textFill>
                    </w:rPr>
                    <w:t>4</w:t>
                  </w:r>
                </w:p>
              </w:tc>
              <w:tc>
                <w:tcPr>
                  <w:tcW w:w="1115" w:type="pct"/>
                  <w:shd w:val="clear" w:color="auto" w:fill="auto"/>
                  <w:noWrap w:val="0"/>
                  <w:vAlign w:val="center"/>
                </w:tcPr>
                <w:p w14:paraId="1162C4A2">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t>0.</w:t>
                  </w:r>
                  <w:r>
                    <w:rPr>
                      <w:rFonts w:hint="eastAsia" w:cs="Times New Roman"/>
                      <w:i w:val="0"/>
                      <w:color w:val="000000" w:themeColor="text1"/>
                      <w:kern w:val="0"/>
                      <w:sz w:val="21"/>
                      <w:szCs w:val="21"/>
                      <w:highlight w:val="none"/>
                      <w:u w:val="none"/>
                      <w:lang w:val="en-US" w:eastAsia="zh-CN" w:bidi="ar"/>
                      <w14:textFill>
                        <w14:solidFill>
                          <w14:schemeClr w14:val="tx1"/>
                        </w14:solidFill>
                      </w14:textFill>
                    </w:rPr>
                    <w:t>04</w:t>
                  </w:r>
                </w:p>
              </w:tc>
            </w:tr>
            <w:tr w14:paraId="2378F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pct"/>
                  <w:shd w:val="clear" w:color="auto" w:fill="auto"/>
                  <w:noWrap w:val="0"/>
                  <w:vAlign w:val="center"/>
                </w:tcPr>
                <w:p w14:paraId="688F0D98">
                  <w:pPr>
                    <w:adjustRightInd w:val="0"/>
                    <w:snapToGrid w:val="0"/>
                    <w:spacing w:line="240" w:lineRule="auto"/>
                    <w:jc w:val="center"/>
                    <w:rPr>
                      <w:rFonts w:hint="eastAsia"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eastAsia" w:cs="Times New Roman"/>
                      <w:color w:val="000000" w:themeColor="text1"/>
                      <w:kern w:val="2"/>
                      <w:sz w:val="21"/>
                      <w:szCs w:val="21"/>
                      <w:highlight w:val="none"/>
                      <w:vertAlign w:val="baseline"/>
                      <w:lang w:val="en-US" w:eastAsia="zh-CN" w:bidi="ar-SA"/>
                      <w14:textFill>
                        <w14:solidFill>
                          <w14:schemeClr w14:val="tx1"/>
                        </w14:solidFill>
                      </w14:textFill>
                    </w:rPr>
                    <w:t>15</w:t>
                  </w:r>
                </w:p>
              </w:tc>
              <w:tc>
                <w:tcPr>
                  <w:tcW w:w="966" w:type="pct"/>
                  <w:shd w:val="clear" w:color="auto" w:fill="auto"/>
                  <w:noWrap w:val="0"/>
                  <w:vAlign w:val="center"/>
                </w:tcPr>
                <w:p w14:paraId="4E05E08E">
                  <w:pPr>
                    <w:adjustRightInd w:val="0"/>
                    <w:snapToGrid w:val="0"/>
                    <w:spacing w:line="240" w:lineRule="auto"/>
                    <w:jc w:val="center"/>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颗粒物</w:t>
                  </w:r>
                </w:p>
              </w:tc>
              <w:tc>
                <w:tcPr>
                  <w:tcW w:w="1013" w:type="pct"/>
                  <w:shd w:val="clear" w:color="auto" w:fill="auto"/>
                  <w:noWrap w:val="0"/>
                  <w:vAlign w:val="center"/>
                </w:tcPr>
                <w:p w14:paraId="202B6907">
                  <w:pPr>
                    <w:adjustRightInd w:val="0"/>
                    <w:snapToGrid w:val="0"/>
                    <w:spacing w:line="240" w:lineRule="auto"/>
                    <w:jc w:val="center"/>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有组织</w:t>
                  </w:r>
                </w:p>
              </w:tc>
              <w:tc>
                <w:tcPr>
                  <w:tcW w:w="1353" w:type="pct"/>
                  <w:shd w:val="clear" w:color="auto" w:fill="auto"/>
                  <w:noWrap w:val="0"/>
                  <w:vAlign w:val="center"/>
                </w:tcPr>
                <w:p w14:paraId="4FC4D44F">
                  <w:pPr>
                    <w:adjustRightInd w:val="0"/>
                    <w:snapToGrid w:val="0"/>
                    <w:spacing w:line="240" w:lineRule="auto"/>
                    <w:jc w:val="center"/>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排放口AD01</w:t>
                  </w:r>
                  <w:r>
                    <w:rPr>
                      <w:rFonts w:hint="eastAsia" w:cs="Times New Roman"/>
                      <w:color w:val="000000" w:themeColor="text1"/>
                      <w:sz w:val="21"/>
                      <w:szCs w:val="21"/>
                      <w:highlight w:val="none"/>
                      <w:vertAlign w:val="baseline"/>
                      <w:lang w:val="en-US" w:eastAsia="zh-CN"/>
                      <w14:textFill>
                        <w14:solidFill>
                          <w14:schemeClr w14:val="tx1"/>
                        </w14:solidFill>
                      </w14:textFill>
                    </w:rPr>
                    <w:t>5</w:t>
                  </w:r>
                </w:p>
              </w:tc>
              <w:tc>
                <w:tcPr>
                  <w:tcW w:w="1115" w:type="pct"/>
                  <w:shd w:val="clear" w:color="auto" w:fill="auto"/>
                  <w:noWrap w:val="0"/>
                  <w:vAlign w:val="center"/>
                </w:tcPr>
                <w:p w14:paraId="600DB617">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t>0.</w:t>
                  </w:r>
                  <w:r>
                    <w:rPr>
                      <w:rFonts w:hint="eastAsia" w:cs="Times New Roman"/>
                      <w:i w:val="0"/>
                      <w:color w:val="000000" w:themeColor="text1"/>
                      <w:kern w:val="0"/>
                      <w:sz w:val="21"/>
                      <w:szCs w:val="21"/>
                      <w:highlight w:val="none"/>
                      <w:u w:val="none"/>
                      <w:lang w:val="en-US" w:eastAsia="zh-CN" w:bidi="ar"/>
                      <w14:textFill>
                        <w14:solidFill>
                          <w14:schemeClr w14:val="tx1"/>
                        </w14:solidFill>
                      </w14:textFill>
                    </w:rPr>
                    <w:t>002</w:t>
                  </w:r>
                </w:p>
              </w:tc>
            </w:tr>
          </w:tbl>
          <w:p w14:paraId="72EE48D2">
            <w:pPr>
              <w:adjustRightInd w:val="0"/>
              <w:snapToGrid w:val="0"/>
              <w:spacing w:line="360" w:lineRule="auto"/>
              <w:ind w:firstLine="480" w:firstLineChars="200"/>
              <w:rPr>
                <w:rFonts w:hint="default" w:ascii="Times New Roman" w:hAnsi="Times New Roman" w:eastAsia="宋体" w:cs="Times New Roman"/>
                <w:color w:val="000000" w:themeColor="text1"/>
                <w:sz w:val="24"/>
                <w:highlight w:val="none"/>
                <w:lang w:eastAsia="zh-CN"/>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根据上表可知，本项目废气</w:t>
            </w:r>
            <w:r>
              <w:rPr>
                <w:rFonts w:hint="eastAsia" w:cs="Times New Roman"/>
                <w:color w:val="000000" w:themeColor="text1"/>
                <w:sz w:val="24"/>
                <w:highlight w:val="none"/>
                <w:lang w:val="en-US" w:eastAsia="zh-CN"/>
                <w14:textFill>
                  <w14:solidFill>
                    <w14:schemeClr w14:val="tx1"/>
                  </w14:solidFill>
                </w14:textFill>
              </w:rPr>
              <w:t>污染物</w:t>
            </w:r>
            <w:r>
              <w:rPr>
                <w:rFonts w:hint="default" w:ascii="Times New Roman" w:hAnsi="Times New Roman" w:eastAsia="宋体" w:cs="Times New Roman"/>
                <w:color w:val="000000" w:themeColor="text1"/>
                <w:sz w:val="24"/>
                <w:highlight w:val="none"/>
                <w14:textFill>
                  <w14:solidFill>
                    <w14:schemeClr w14:val="tx1"/>
                  </w14:solidFill>
                </w14:textFill>
              </w:rPr>
              <w:t>为颗粒物、NOx、SO</w:t>
            </w:r>
            <w:r>
              <w:rPr>
                <w:rFonts w:hint="default" w:ascii="Times New Roman" w:hAnsi="Times New Roman" w:eastAsia="宋体" w:cs="Times New Roman"/>
                <w:color w:val="000000" w:themeColor="text1"/>
                <w:sz w:val="24"/>
                <w:highlight w:val="none"/>
                <w:vertAlign w:val="subscript"/>
                <w14:textFill>
                  <w14:solidFill>
                    <w14:schemeClr w14:val="tx1"/>
                  </w14:solidFill>
                </w14:textFill>
              </w:rPr>
              <w:t>2</w:t>
            </w:r>
            <w:r>
              <w:rPr>
                <w:rFonts w:hint="eastAsia" w:cs="Times New Roman"/>
                <w:color w:val="000000" w:themeColor="text1"/>
                <w:sz w:val="24"/>
                <w:highlight w:val="none"/>
                <w:vertAlign w:val="baseline"/>
                <w:lang w:eastAsia="zh-CN"/>
                <w14:textFill>
                  <w14:solidFill>
                    <w14:schemeClr w14:val="tx1"/>
                  </w14:solidFill>
                </w14:textFill>
              </w:rPr>
              <w:t>、</w:t>
            </w:r>
            <w:r>
              <w:rPr>
                <w:rFonts w:hint="eastAsia" w:cs="Times New Roman"/>
                <w:color w:val="000000" w:themeColor="text1"/>
                <w:sz w:val="24"/>
                <w:highlight w:val="none"/>
                <w:vertAlign w:val="baseline"/>
                <w:lang w:val="en-US" w:eastAsia="zh-CN"/>
                <w14:textFill>
                  <w14:solidFill>
                    <w14:schemeClr w14:val="tx1"/>
                  </w14:solidFill>
                </w14:textFill>
              </w:rPr>
              <w:t>氨气</w:t>
            </w:r>
            <w:r>
              <w:rPr>
                <w:rFonts w:hint="eastAsia" w:cs="Times New Roman"/>
                <w:color w:val="000000" w:themeColor="text1"/>
                <w:sz w:val="24"/>
                <w:highlight w:val="none"/>
                <w:vertAlign w:val="baseli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排放量分别为</w:t>
            </w:r>
            <w:r>
              <w:rPr>
                <w:rFonts w:hint="eastAsia" w:cs="Times New Roman"/>
                <w:color w:val="000000" w:themeColor="text1"/>
                <w:sz w:val="24"/>
                <w:highlight w:val="none"/>
                <w:lang w:val="en-US" w:eastAsia="zh-CN"/>
                <w14:textFill>
                  <w14:solidFill>
                    <w14:schemeClr w14:val="tx1"/>
                  </w14:solidFill>
                </w14:textFill>
              </w:rPr>
              <w:t>11.052</w:t>
            </w:r>
            <w:r>
              <w:rPr>
                <w:rFonts w:hint="default" w:ascii="Times New Roman" w:hAnsi="Times New Roman" w:eastAsia="宋体" w:cs="Times New Roman"/>
                <w:color w:val="000000" w:themeColor="text1"/>
                <w:sz w:val="24"/>
                <w:highlight w:val="none"/>
                <w14:textFill>
                  <w14:solidFill>
                    <w14:schemeClr w14:val="tx1"/>
                  </w14:solidFill>
                </w14:textFill>
              </w:rPr>
              <w:t>t/a、</w:t>
            </w:r>
            <w:r>
              <w:rPr>
                <w:rFonts w:hint="eastAsia" w:cs="Times New Roman"/>
                <w:color w:val="000000" w:themeColor="text1"/>
                <w:sz w:val="24"/>
                <w:highlight w:val="none"/>
                <w:lang w:val="en-US" w:eastAsia="zh-CN"/>
                <w14:textFill>
                  <w14:solidFill>
                    <w14:schemeClr w14:val="tx1"/>
                  </w14:solidFill>
                </w14:textFill>
              </w:rPr>
              <w:t>94t</w:t>
            </w:r>
            <w:r>
              <w:rPr>
                <w:rFonts w:hint="default" w:ascii="Times New Roman" w:hAnsi="Times New Roman" w:eastAsia="宋体" w:cs="Times New Roman"/>
                <w:color w:val="000000" w:themeColor="text1"/>
                <w:sz w:val="24"/>
                <w:highlight w:val="none"/>
                <w14:textFill>
                  <w14:solidFill>
                    <w14:schemeClr w14:val="tx1"/>
                  </w14:solidFill>
                </w14:textFill>
              </w:rPr>
              <w:t>/a、</w:t>
            </w:r>
            <w:r>
              <w:rPr>
                <w:rFonts w:hint="eastAsia" w:cs="Times New Roman"/>
                <w:color w:val="000000" w:themeColor="text1"/>
                <w:sz w:val="24"/>
                <w:highlight w:val="none"/>
                <w:lang w:val="en-US" w:eastAsia="zh-CN"/>
                <w14:textFill>
                  <w14:solidFill>
                    <w14:schemeClr w14:val="tx1"/>
                  </w14:solidFill>
                </w14:textFill>
              </w:rPr>
              <w:t>39.44t</w:t>
            </w:r>
            <w:r>
              <w:rPr>
                <w:rFonts w:hint="default" w:ascii="Times New Roman" w:hAnsi="Times New Roman" w:eastAsia="宋体" w:cs="Times New Roman"/>
                <w:color w:val="000000" w:themeColor="text1"/>
                <w:sz w:val="24"/>
                <w:highlight w:val="none"/>
                <w14:textFill>
                  <w14:solidFill>
                    <w14:schemeClr w14:val="tx1"/>
                  </w14:solidFill>
                </w14:textFill>
              </w:rPr>
              <w:t>/a</w:t>
            </w:r>
            <w:r>
              <w:rPr>
                <w:rFonts w:hint="eastAsia" w:cs="Times New Roman"/>
                <w:color w:val="000000" w:themeColor="text1"/>
                <w:sz w:val="24"/>
                <w:highlight w:val="none"/>
                <w:lang w:eastAsia="zh-CN"/>
                <w14:textFill>
                  <w14:solidFill>
                    <w14:schemeClr w14:val="tx1"/>
                  </w14:solidFill>
                </w14:textFill>
              </w:rPr>
              <w:t>、</w:t>
            </w:r>
            <w:r>
              <w:rPr>
                <w:rFonts w:hint="eastAsia" w:cs="Times New Roman"/>
                <w:color w:val="000000" w:themeColor="text1"/>
                <w:sz w:val="24"/>
                <w:highlight w:val="none"/>
                <w:lang w:val="en-US" w:eastAsia="zh-CN"/>
                <w14:textFill>
                  <w14:solidFill>
                    <w14:schemeClr w14:val="tx1"/>
                  </w14:solidFill>
                </w14:textFill>
              </w:rPr>
              <w:t>3.6t/a</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p>
          <w:p w14:paraId="47618164">
            <w:pPr>
              <w:numPr>
                <w:ilvl w:val="0"/>
                <w:numId w:val="3"/>
              </w:numPr>
              <w:adjustRightInd w:val="0"/>
              <w:snapToGrid w:val="0"/>
              <w:spacing w:line="360" w:lineRule="auto"/>
              <w:ind w:firstLine="480" w:firstLineChars="200"/>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废水总量控制目标值</w:t>
            </w:r>
          </w:p>
          <w:p w14:paraId="7D8134A7">
            <w:pPr>
              <w:numPr>
                <w:ilvl w:val="0"/>
                <w:numId w:val="0"/>
              </w:numPr>
              <w:adjustRightInd w:val="0"/>
              <w:snapToGrid w:val="0"/>
              <w:spacing w:line="360" w:lineRule="auto"/>
              <w:ind w:firstLine="480" w:firstLineChars="20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本项目建</w:t>
            </w:r>
            <w:r>
              <w:rPr>
                <w:rFonts w:hint="eastAsia" w:cs="Times New Roman"/>
                <w:color w:val="000000" w:themeColor="text1"/>
                <w:sz w:val="24"/>
                <w:highlight w:val="none"/>
                <w:lang w:eastAsia="zh-CN"/>
                <w14:textFill>
                  <w14:solidFill>
                    <w14:schemeClr w14:val="tx1"/>
                  </w14:solidFill>
                </w14:textFill>
              </w:rPr>
              <w:t>成后</w:t>
            </w:r>
            <w:r>
              <w:rPr>
                <w:rFonts w:hint="default" w:ascii="Times New Roman" w:hAnsi="Times New Roman" w:eastAsia="宋体" w:cs="Times New Roman"/>
                <w:color w:val="000000" w:themeColor="text1"/>
                <w:sz w:val="24"/>
                <w:highlight w:val="none"/>
                <w14:textFill>
                  <w14:solidFill>
                    <w14:schemeClr w14:val="tx1"/>
                  </w14:solidFill>
                </w14:textFill>
              </w:rPr>
              <w:t>，项目生产</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辅助工程排水</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r>
              <w:rPr>
                <w:rFonts w:hint="eastAsia" w:cs="Times New Roman"/>
                <w:color w:val="000000" w:themeColor="text1"/>
                <w:sz w:val="24"/>
                <w:highlight w:val="none"/>
                <w:lang w:val="en-US" w:eastAsia="zh-CN"/>
                <w14:textFill>
                  <w14:solidFill>
                    <w14:schemeClr w14:val="tx1"/>
                  </w14:solidFill>
                </w14:textFill>
              </w:rPr>
              <w:t>通过</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罐车拉运至园区生产废水处理厂处理</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生活污水经厂区</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防渗</w:t>
            </w:r>
            <w:r>
              <w:rPr>
                <w:rFonts w:hint="default" w:ascii="Times New Roman" w:hAnsi="Times New Roman" w:eastAsia="宋体" w:cs="Times New Roman"/>
                <w:color w:val="000000" w:themeColor="text1"/>
                <w:sz w:val="24"/>
                <w:highlight w:val="none"/>
                <w14:textFill>
                  <w14:solidFill>
                    <w14:schemeClr w14:val="tx1"/>
                  </w14:solidFill>
                </w14:textFill>
              </w:rPr>
              <w:t>化粪池处理后</w:t>
            </w:r>
            <w:r>
              <w:rPr>
                <w:rFonts w:hint="eastAsia" w:cs="Times New Roman"/>
                <w:color w:val="000000" w:themeColor="text1"/>
                <w:sz w:val="24"/>
                <w:szCs w:val="24"/>
                <w:highlight w:val="none"/>
                <w:lang w:val="en-US" w:eastAsia="zh-CN"/>
                <w14:textFill>
                  <w14:solidFill>
                    <w14:schemeClr w14:val="tx1"/>
                  </w14:solidFill>
                </w14:textFill>
              </w:rPr>
              <w:t>罐车拉运至</w:t>
            </w:r>
            <w:r>
              <w:rPr>
                <w:rFonts w:hint="default" w:ascii="Times New Roman" w:hAnsi="Times New Roman" w:eastAsia="宋体" w:cs="Times New Roman"/>
                <w:color w:val="000000" w:themeColor="text1"/>
                <w:sz w:val="24"/>
                <w:highlight w:val="none"/>
                <w14:textFill>
                  <w14:solidFill>
                    <w14:schemeClr w14:val="tx1"/>
                  </w14:solidFill>
                </w14:textFill>
              </w:rPr>
              <w:t>园</w:t>
            </w:r>
            <w:r>
              <w:rPr>
                <w:rFonts w:hint="eastAsia" w:cs="Times New Roman"/>
                <w:color w:val="000000" w:themeColor="text1"/>
                <w:sz w:val="24"/>
                <w:highlight w:val="none"/>
                <w:lang w:val="en-US" w:eastAsia="zh-CN"/>
                <w14:textFill>
                  <w14:solidFill>
                    <w14:schemeClr w14:val="tx1"/>
                  </w14:solidFill>
                </w14:textFill>
              </w:rPr>
              <w:t>区</w:t>
            </w:r>
            <w:r>
              <w:rPr>
                <w:rFonts w:hint="default" w:ascii="Times New Roman" w:hAnsi="Times New Roman" w:eastAsia="宋体" w:cs="Times New Roman"/>
                <w:color w:val="000000" w:themeColor="text1"/>
                <w:sz w:val="24"/>
                <w:highlight w:val="none"/>
                <w14:textFill>
                  <w14:solidFill>
                    <w14:schemeClr w14:val="tx1"/>
                  </w14:solidFill>
                </w14:textFill>
              </w:rPr>
              <w:t>污水处理厂处理</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总量已包含在污水处理厂总量指标中，不需要进行申请。</w:t>
            </w:r>
          </w:p>
          <w:p w14:paraId="6155D567">
            <w:pPr>
              <w:numPr>
                <w:ilvl w:val="0"/>
                <w:numId w:val="3"/>
              </w:numPr>
              <w:adjustRightInd w:val="0"/>
              <w:snapToGrid w:val="0"/>
              <w:spacing w:line="360" w:lineRule="auto"/>
              <w:ind w:left="0" w:leftChars="0" w:firstLine="480" w:firstLineChars="200"/>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污染物总量控制</w:t>
            </w:r>
          </w:p>
          <w:p w14:paraId="1807A709">
            <w:pPr>
              <w:adjustRightInd w:val="0"/>
              <w:snapToGrid w:val="0"/>
              <w:spacing w:line="360" w:lineRule="auto"/>
              <w:ind w:firstLine="480" w:firstLineChars="20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本项目大气污染物排放总量指标为氮氧化物</w:t>
            </w:r>
            <w:r>
              <w:rPr>
                <w:rFonts w:hint="eastAsia" w:cs="Times New Roman"/>
                <w:color w:val="000000" w:themeColor="text1"/>
                <w:sz w:val="24"/>
                <w:highlight w:val="none"/>
                <w:lang w:val="en-US" w:eastAsia="zh-CN"/>
                <w14:textFill>
                  <w14:solidFill>
                    <w14:schemeClr w14:val="tx1"/>
                  </w14:solidFill>
                </w14:textFill>
              </w:rPr>
              <w:t>94</w:t>
            </w:r>
            <w:r>
              <w:rPr>
                <w:rFonts w:hint="default" w:ascii="Times New Roman" w:hAnsi="Times New Roman" w:eastAsia="宋体" w:cs="Times New Roman"/>
                <w:color w:val="000000" w:themeColor="text1"/>
                <w:sz w:val="24"/>
                <w:highlight w:val="none"/>
                <w14:textFill>
                  <w14:solidFill>
                    <w14:schemeClr w14:val="tx1"/>
                  </w14:solidFill>
                </w14:textFill>
              </w:rPr>
              <w:t>t/a</w:t>
            </w:r>
            <w:r>
              <w:rPr>
                <w:rFonts w:hint="eastAsia" w:cs="Times New Roman"/>
                <w:color w:val="000000" w:themeColor="text1"/>
                <w:sz w:val="24"/>
                <w:highlight w:val="none"/>
                <w:lang w:eastAsia="zh-CN"/>
                <w14:textFill>
                  <w14:solidFill>
                    <w14:schemeClr w14:val="tx1"/>
                  </w14:solidFill>
                </w14:textFill>
              </w:rPr>
              <w:t>、</w:t>
            </w:r>
            <w:r>
              <w:rPr>
                <w:rFonts w:hint="eastAsia" w:cs="Times New Roman"/>
                <w:color w:val="000000" w:themeColor="text1"/>
                <w:sz w:val="24"/>
                <w:highlight w:val="none"/>
                <w:lang w:val="en-US" w:eastAsia="zh-CN"/>
                <w14:textFill>
                  <w14:solidFill>
                    <w14:schemeClr w14:val="tx1"/>
                  </w14:solidFill>
                </w14:textFill>
              </w:rPr>
              <w:t>二氧化硫39.44t/a</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废水总量控制指标为：</w:t>
            </w:r>
            <w:r>
              <w:rPr>
                <w:rFonts w:hint="eastAsia" w:cs="Times New Roman"/>
                <w:color w:val="000000" w:themeColor="text1"/>
                <w:sz w:val="24"/>
                <w:highlight w:val="none"/>
                <w:lang w:val="en-US" w:eastAsia="zh-CN"/>
                <w14:textFill>
                  <w14:solidFill>
                    <w14:schemeClr w14:val="tx1"/>
                  </w14:solidFill>
                </w14:textFill>
              </w:rPr>
              <w:t>COD</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0t/a、氨氮</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0</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t/a。</w:t>
            </w:r>
          </w:p>
        </w:tc>
      </w:tr>
    </w:tbl>
    <w:p w14:paraId="7C5BB28B">
      <w:pPr>
        <w:pStyle w:val="20"/>
        <w:outlineLvl w:val="0"/>
        <w:rPr>
          <w:rFonts w:ascii="Times New Roman" w:hAnsi="Times New Roman" w:eastAsia="黑体"/>
          <w:snapToGrid w:val="0"/>
          <w:color w:val="000000" w:themeColor="text1"/>
          <w:sz w:val="30"/>
          <w:szCs w:val="30"/>
          <w:highlight w:val="none"/>
          <w14:textFill>
            <w14:solidFill>
              <w14:schemeClr w14:val="tx1"/>
            </w14:solidFill>
          </w14:textFill>
        </w:rPr>
        <w:sectPr>
          <w:pgSz w:w="11907" w:h="16840"/>
          <w:pgMar w:top="1701" w:right="1531" w:bottom="2127" w:left="1531" w:header="851" w:footer="851" w:gutter="0"/>
          <w:pgBorders>
            <w:top w:val="none" w:sz="0" w:space="0"/>
            <w:left w:val="none" w:sz="0" w:space="0"/>
            <w:bottom w:val="none" w:sz="0" w:space="0"/>
            <w:right w:val="none" w:sz="0" w:space="0"/>
          </w:pgBorders>
          <w:cols w:space="720" w:num="1"/>
          <w:docGrid w:linePitch="312" w:charSpace="0"/>
        </w:sectPr>
      </w:pPr>
    </w:p>
    <w:p w14:paraId="730067D4">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0" w:firstLineChars="0"/>
        <w:jc w:val="center"/>
        <w:textAlignment w:val="auto"/>
        <w:outlineLvl w:val="0"/>
        <w:rPr>
          <w:rFonts w:ascii="Times New Roman" w:hAnsi="Times New Roman" w:eastAsia="黑体" w:cs="Times New Roman"/>
          <w:snapToGrid w:val="0"/>
          <w:color w:val="000000" w:themeColor="text1"/>
          <w:sz w:val="30"/>
          <w:szCs w:val="30"/>
          <w:highlight w:val="none"/>
          <w14:textFill>
            <w14:solidFill>
              <w14:schemeClr w14:val="tx1"/>
            </w14:solidFill>
          </w14:textFill>
        </w:rPr>
      </w:pPr>
      <w:r>
        <w:rPr>
          <w:rFonts w:ascii="Times New Roman" w:hAnsi="Times New Roman" w:eastAsia="黑体" w:cs="Times New Roman"/>
          <w:snapToGrid w:val="0"/>
          <w:color w:val="000000" w:themeColor="text1"/>
          <w:sz w:val="30"/>
          <w:szCs w:val="30"/>
          <w:highlight w:val="none"/>
          <w14:textFill>
            <w14:solidFill>
              <w14:schemeClr w14:val="tx1"/>
            </w14:solidFill>
          </w14:textFill>
        </w:rPr>
        <w:t>四、主要环境影响和保护措施</w:t>
      </w:r>
    </w:p>
    <w:tbl>
      <w:tblPr>
        <w:tblStyle w:val="2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746"/>
        <w:gridCol w:w="8172"/>
      </w:tblGrid>
      <w:tr w14:paraId="0F3973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40" w:hRule="atLeast"/>
          <w:jc w:val="center"/>
        </w:trPr>
        <w:tc>
          <w:tcPr>
            <w:tcW w:w="746" w:type="dxa"/>
            <w:noWrap w:val="0"/>
            <w:tcMar>
              <w:left w:w="28" w:type="dxa"/>
              <w:right w:w="28" w:type="dxa"/>
            </w:tcMar>
            <w:vAlign w:val="center"/>
          </w:tcPr>
          <w:p w14:paraId="02B1E377">
            <w:pPr>
              <w:pStyle w:val="20"/>
              <w:adjustRightInd w:val="0"/>
              <w:snapToGrid w:val="0"/>
              <w:spacing w:before="0" w:beforeAutospacing="0" w:after="0" w:afterAutospacing="0"/>
              <w:jc w:val="center"/>
              <w:rPr>
                <w:rFonts w:hint="default" w:ascii="Times New Roman" w:hAnsi="Times New Roman" w:cs="Times New Roman"/>
                <w:b/>
                <w:bCs/>
                <w:color w:val="000000" w:themeColor="text1"/>
                <w:kern w:val="2"/>
                <w:szCs w:val="24"/>
                <w:highlight w:val="none"/>
                <w14:textFill>
                  <w14:solidFill>
                    <w14:schemeClr w14:val="tx1"/>
                  </w14:solidFill>
                </w14:textFill>
              </w:rPr>
            </w:pPr>
            <w:r>
              <w:rPr>
                <w:rFonts w:hint="default" w:ascii="Times New Roman" w:hAnsi="Times New Roman" w:cs="Times New Roman"/>
                <w:b/>
                <w:bCs/>
                <w:color w:val="000000" w:themeColor="text1"/>
                <w:kern w:val="2"/>
                <w:szCs w:val="24"/>
                <w:highlight w:val="none"/>
                <w14:textFill>
                  <w14:solidFill>
                    <w14:schemeClr w14:val="tx1"/>
                  </w14:solidFill>
                </w14:textFill>
              </w:rPr>
              <w:t>施工</w:t>
            </w:r>
          </w:p>
          <w:p w14:paraId="7952ADA8">
            <w:pPr>
              <w:pStyle w:val="20"/>
              <w:adjustRightInd w:val="0"/>
              <w:snapToGrid w:val="0"/>
              <w:spacing w:before="0" w:beforeAutospacing="0" w:after="0" w:afterAutospacing="0"/>
              <w:jc w:val="center"/>
              <w:rPr>
                <w:rFonts w:hint="default" w:ascii="Times New Roman" w:hAnsi="Times New Roman" w:cs="Times New Roman"/>
                <w:b/>
                <w:bCs/>
                <w:color w:val="000000" w:themeColor="text1"/>
                <w:kern w:val="2"/>
                <w:szCs w:val="24"/>
                <w:highlight w:val="none"/>
                <w14:textFill>
                  <w14:solidFill>
                    <w14:schemeClr w14:val="tx1"/>
                  </w14:solidFill>
                </w14:textFill>
              </w:rPr>
            </w:pPr>
            <w:r>
              <w:rPr>
                <w:rFonts w:hint="default" w:ascii="Times New Roman" w:hAnsi="Times New Roman" w:cs="Times New Roman"/>
                <w:b/>
                <w:bCs/>
                <w:color w:val="000000" w:themeColor="text1"/>
                <w:kern w:val="2"/>
                <w:szCs w:val="24"/>
                <w:highlight w:val="none"/>
                <w14:textFill>
                  <w14:solidFill>
                    <w14:schemeClr w14:val="tx1"/>
                  </w14:solidFill>
                </w14:textFill>
              </w:rPr>
              <w:t>期环</w:t>
            </w:r>
          </w:p>
          <w:p w14:paraId="1FB108E3">
            <w:pPr>
              <w:pStyle w:val="20"/>
              <w:adjustRightInd w:val="0"/>
              <w:snapToGrid w:val="0"/>
              <w:spacing w:before="0" w:beforeAutospacing="0" w:after="0" w:afterAutospacing="0"/>
              <w:jc w:val="center"/>
              <w:rPr>
                <w:rFonts w:hint="default" w:ascii="Times New Roman" w:hAnsi="Times New Roman" w:cs="Times New Roman"/>
                <w:b/>
                <w:bCs/>
                <w:color w:val="000000" w:themeColor="text1"/>
                <w:kern w:val="2"/>
                <w:szCs w:val="24"/>
                <w:highlight w:val="none"/>
                <w14:textFill>
                  <w14:solidFill>
                    <w14:schemeClr w14:val="tx1"/>
                  </w14:solidFill>
                </w14:textFill>
              </w:rPr>
            </w:pPr>
            <w:r>
              <w:rPr>
                <w:rFonts w:hint="default" w:ascii="Times New Roman" w:hAnsi="Times New Roman" w:cs="Times New Roman"/>
                <w:b/>
                <w:bCs/>
                <w:color w:val="000000" w:themeColor="text1"/>
                <w:kern w:val="2"/>
                <w:szCs w:val="24"/>
                <w:highlight w:val="none"/>
                <w14:textFill>
                  <w14:solidFill>
                    <w14:schemeClr w14:val="tx1"/>
                  </w14:solidFill>
                </w14:textFill>
              </w:rPr>
              <w:t>境保</w:t>
            </w:r>
          </w:p>
          <w:p w14:paraId="00C78BAA">
            <w:pPr>
              <w:pStyle w:val="20"/>
              <w:adjustRightInd w:val="0"/>
              <w:snapToGrid w:val="0"/>
              <w:spacing w:before="0" w:beforeAutospacing="0" w:after="0" w:afterAutospacing="0"/>
              <w:jc w:val="center"/>
              <w:rPr>
                <w:rFonts w:hint="default" w:ascii="Times New Roman" w:hAnsi="Times New Roman" w:cs="Times New Roman"/>
                <w:b/>
                <w:bCs/>
                <w:color w:val="000000" w:themeColor="text1"/>
                <w:kern w:val="2"/>
                <w:szCs w:val="24"/>
                <w:highlight w:val="none"/>
                <w14:textFill>
                  <w14:solidFill>
                    <w14:schemeClr w14:val="tx1"/>
                  </w14:solidFill>
                </w14:textFill>
              </w:rPr>
            </w:pPr>
            <w:r>
              <w:rPr>
                <w:rFonts w:hint="default" w:ascii="Times New Roman" w:hAnsi="Times New Roman" w:cs="Times New Roman"/>
                <w:b/>
                <w:bCs/>
                <w:color w:val="000000" w:themeColor="text1"/>
                <w:kern w:val="2"/>
                <w:szCs w:val="24"/>
                <w:highlight w:val="none"/>
                <w14:textFill>
                  <w14:solidFill>
                    <w14:schemeClr w14:val="tx1"/>
                  </w14:solidFill>
                </w14:textFill>
              </w:rPr>
              <w:t>护措</w:t>
            </w:r>
          </w:p>
          <w:p w14:paraId="2FC9A02E">
            <w:pPr>
              <w:pStyle w:val="20"/>
              <w:adjustRightInd w:val="0"/>
              <w:snapToGrid w:val="0"/>
              <w:spacing w:before="0" w:beforeAutospacing="0" w:after="0" w:afterAutospacing="0"/>
              <w:jc w:val="center"/>
              <w:rPr>
                <w:rFonts w:hint="default" w:ascii="Times New Roman" w:hAnsi="Times New Roman" w:cs="Times New Roman"/>
                <w:bCs/>
                <w:color w:val="000000" w:themeColor="text1"/>
                <w:kern w:val="2"/>
                <w:sz w:val="21"/>
                <w:szCs w:val="21"/>
                <w:highlight w:val="none"/>
                <w14:textFill>
                  <w14:solidFill>
                    <w14:schemeClr w14:val="tx1"/>
                  </w14:solidFill>
                </w14:textFill>
              </w:rPr>
            </w:pPr>
            <w:r>
              <w:rPr>
                <w:rFonts w:hint="default" w:ascii="Times New Roman" w:hAnsi="Times New Roman" w:cs="Times New Roman"/>
                <w:b/>
                <w:bCs/>
                <w:color w:val="000000" w:themeColor="text1"/>
                <w:kern w:val="2"/>
                <w:szCs w:val="24"/>
                <w:highlight w:val="none"/>
                <w14:textFill>
                  <w14:solidFill>
                    <w14:schemeClr w14:val="tx1"/>
                  </w14:solidFill>
                </w14:textFill>
              </w:rPr>
              <w:t>施</w:t>
            </w:r>
          </w:p>
        </w:tc>
        <w:tc>
          <w:tcPr>
            <w:tcW w:w="8162" w:type="dxa"/>
            <w:noWrap w:val="0"/>
            <w:vAlign w:val="center"/>
          </w:tcPr>
          <w:p w14:paraId="312545C6">
            <w:pPr>
              <w:pStyle w:val="14"/>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b/>
                <w:bCs/>
                <w:color w:val="000000" w:themeColor="text1"/>
                <w:sz w:val="24"/>
                <w:szCs w:val="24"/>
                <w:highlight w:val="none"/>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lang w:eastAsia="zh-CN"/>
                <w14:textFill>
                  <w14:solidFill>
                    <w14:schemeClr w14:val="tx1"/>
                  </w14:solidFill>
                </w14:textFill>
              </w:rPr>
              <w:t>1.</w:t>
            </w:r>
            <w:r>
              <w:rPr>
                <w:rFonts w:hint="default" w:ascii="Times New Roman" w:hAnsi="Times New Roman" w:eastAsia="宋体" w:cs="Times New Roman"/>
                <w:b/>
                <w:bCs/>
                <w:color w:val="000000" w:themeColor="text1"/>
                <w:sz w:val="24"/>
                <w:szCs w:val="24"/>
                <w:highlight w:val="none"/>
                <w14:textFill>
                  <w14:solidFill>
                    <w14:schemeClr w14:val="tx1"/>
                  </w14:solidFill>
                </w14:textFill>
              </w:rPr>
              <w:t>大气环境保护措施</w:t>
            </w:r>
          </w:p>
          <w:p w14:paraId="672DEE6D">
            <w:pPr>
              <w:adjustRightInd w:val="0"/>
              <w:snapToGrid w:val="0"/>
              <w:spacing w:line="360" w:lineRule="auto"/>
              <w:ind w:firstLine="480" w:firstLineChars="20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1</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粉尘防治措施分析</w:t>
            </w:r>
          </w:p>
          <w:p w14:paraId="33A8143F">
            <w:pPr>
              <w:adjustRightInd w:val="0"/>
              <w:snapToGrid w:val="0"/>
              <w:spacing w:line="360" w:lineRule="auto"/>
              <w:ind w:firstLine="480" w:firstLineChars="20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①施工场地四周设置围栏，当起风时，可使影响距离缩短；</w:t>
            </w:r>
          </w:p>
          <w:p w14:paraId="0C4D70FD">
            <w:pPr>
              <w:adjustRightInd w:val="0"/>
              <w:snapToGrid w:val="0"/>
              <w:spacing w:line="360" w:lineRule="auto"/>
              <w:ind w:firstLine="480" w:firstLineChars="20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②开挖、钻孔等过程，应洒水使作业面保持一定的湿度；对施工场地内松散、干涸的表土，经常洒水防止扬尘；</w:t>
            </w:r>
          </w:p>
          <w:p w14:paraId="6DEBF901">
            <w:pPr>
              <w:adjustRightInd w:val="0"/>
              <w:snapToGrid w:val="0"/>
              <w:spacing w:line="360" w:lineRule="auto"/>
              <w:ind w:firstLine="480" w:firstLineChars="20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③加强回填土方堆放场的管理，采取土方表面压实、定期喷水、覆盖等措施；不需要的泥土、建筑材料弃渣应及时运走；</w:t>
            </w:r>
          </w:p>
          <w:p w14:paraId="2BC08AC9">
            <w:pPr>
              <w:adjustRightInd w:val="0"/>
              <w:snapToGrid w:val="0"/>
              <w:spacing w:line="360" w:lineRule="auto"/>
              <w:ind w:firstLine="480" w:firstLineChars="20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④施工前对</w:t>
            </w:r>
            <w:r>
              <w:rPr>
                <w:rFonts w:hint="eastAsia" w:cs="Times New Roman"/>
                <w:color w:val="000000" w:themeColor="text1"/>
                <w:sz w:val="24"/>
                <w:highlight w:val="none"/>
                <w:lang w:eastAsia="zh-CN"/>
                <w14:textFill>
                  <w14:solidFill>
                    <w14:schemeClr w14:val="tx1"/>
                  </w14:solidFill>
                </w14:textFill>
              </w:rPr>
              <w:t>进场</w:t>
            </w:r>
            <w:r>
              <w:rPr>
                <w:rFonts w:hint="default" w:ascii="Times New Roman" w:hAnsi="Times New Roman" w:eastAsia="宋体" w:cs="Times New Roman"/>
                <w:color w:val="000000" w:themeColor="text1"/>
                <w:sz w:val="24"/>
                <w:highlight w:val="none"/>
                <w14:textFill>
                  <w14:solidFill>
                    <w14:schemeClr w14:val="tx1"/>
                  </w14:solidFill>
                </w14:textFill>
              </w:rPr>
              <w:t>道路路面进行硬化，同时应</w:t>
            </w:r>
            <w:r>
              <w:rPr>
                <w:rFonts w:hint="eastAsia" w:cs="Times New Roman"/>
                <w:color w:val="000000" w:themeColor="text1"/>
                <w:sz w:val="24"/>
                <w:highlight w:val="none"/>
                <w:lang w:eastAsia="zh-CN"/>
                <w14:textFill>
                  <w14:solidFill>
                    <w14:schemeClr w14:val="tx1"/>
                  </w14:solidFill>
                </w14:textFill>
              </w:rPr>
              <w:t>限制</w:t>
            </w:r>
            <w:r>
              <w:rPr>
                <w:rFonts w:hint="default" w:ascii="Times New Roman" w:hAnsi="Times New Roman" w:eastAsia="宋体" w:cs="Times New Roman"/>
                <w:color w:val="000000" w:themeColor="text1"/>
                <w:sz w:val="24"/>
                <w:highlight w:val="none"/>
                <w14:textFill>
                  <w14:solidFill>
                    <w14:schemeClr w14:val="tx1"/>
                  </w14:solidFill>
                </w14:textFill>
              </w:rPr>
              <w:t>车速，施工场地出口设水池，车辆驶出施工场地时经过水清洗后可清除车轮上所沾泥土，减少行驶产生的扬尘；</w:t>
            </w:r>
          </w:p>
          <w:p w14:paraId="7803F5C0">
            <w:pPr>
              <w:adjustRightInd w:val="0"/>
              <w:snapToGrid w:val="0"/>
              <w:spacing w:line="360" w:lineRule="auto"/>
              <w:ind w:firstLine="480" w:firstLineChars="20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⑤加强运输管理，如散货车不得超高超载、使用有盖的运输车辆，以免车辆颠簸物料洒出；水泥使用密封罐装运输车，装卸应有除尘装置，防止扬尘污染；化学物质的运输要防止泄漏；坚持文明装卸；</w:t>
            </w:r>
          </w:p>
          <w:p w14:paraId="5FCFDC6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⑥施工单位必须加强施工区域的管理。建筑材料的堆场以及</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混凝土搅拌机</w:t>
            </w:r>
            <w:r>
              <w:rPr>
                <w:rFonts w:hint="default" w:ascii="Times New Roman" w:hAnsi="Times New Roman" w:eastAsia="宋体" w:cs="Times New Roman"/>
                <w:color w:val="000000" w:themeColor="text1"/>
                <w:sz w:val="24"/>
                <w:highlight w:val="none"/>
                <w14:textFill>
                  <w14:solidFill>
                    <w14:schemeClr w14:val="tx1"/>
                  </w14:solidFill>
                </w14:textFill>
              </w:rPr>
              <w:t>定点定位，不宜设在居住区的上风向；根据风速，采取相应的防尘措施，对散料堆场采用水喷淋防尘，或用</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篷布</w:t>
            </w:r>
            <w:r>
              <w:rPr>
                <w:rFonts w:hint="default" w:ascii="Times New Roman" w:hAnsi="Times New Roman" w:eastAsia="宋体" w:cs="Times New Roman"/>
                <w:color w:val="000000" w:themeColor="text1"/>
                <w:sz w:val="24"/>
                <w:highlight w:val="none"/>
                <w14:textFill>
                  <w14:solidFill>
                    <w14:schemeClr w14:val="tx1"/>
                  </w14:solidFill>
                </w14:textFill>
              </w:rPr>
              <w:t>遮盖散料堆；</w:t>
            </w:r>
          </w:p>
          <w:p w14:paraId="16CAD14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⑦合理安排施工计划，根据平面布局，可以对场地局部提前进行绿化，改善生态景观，减轻扬尘环境影响；</w:t>
            </w:r>
          </w:p>
          <w:p w14:paraId="1F1FFBA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⑧挖掘土石方过程要遵守施工建筑规定及有关水土保持规定，尽力减</w:t>
            </w:r>
          </w:p>
          <w:p w14:paraId="6516DEC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轻植被破坏，减少扬尘，保护环境。</w:t>
            </w:r>
          </w:p>
          <w:p w14:paraId="2BAA3AA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车辆废气防治措施分析</w:t>
            </w:r>
          </w:p>
          <w:p w14:paraId="45555A3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加强对施工车辆的检修和维护，严禁使用超期服役和尾气超标的车辆。对施工期间进出施工现场车流量进行合理安排，防止施工现场车流量过大。尽可能使用耗油低，排气小的施工车辆，选用优质燃油，减少机械和车辆的有害废气排放。</w:t>
            </w:r>
          </w:p>
          <w:p w14:paraId="2F12FEED">
            <w:pPr>
              <w:pStyle w:val="14"/>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b/>
                <w:bCs/>
                <w:color w:val="000000" w:themeColor="text1"/>
                <w:sz w:val="24"/>
                <w:szCs w:val="24"/>
                <w:highlight w:val="none"/>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lang w:eastAsia="zh-CN"/>
                <w14:textFill>
                  <w14:solidFill>
                    <w14:schemeClr w14:val="tx1"/>
                  </w14:solidFill>
                </w14:textFill>
              </w:rPr>
              <w:t>2.</w:t>
            </w:r>
            <w:r>
              <w:rPr>
                <w:rFonts w:hint="default" w:ascii="Times New Roman" w:hAnsi="Times New Roman" w:eastAsia="宋体" w:cs="Times New Roman"/>
                <w:b/>
                <w:bCs/>
                <w:color w:val="000000" w:themeColor="text1"/>
                <w:sz w:val="24"/>
                <w:szCs w:val="24"/>
                <w:highlight w:val="none"/>
                <w14:textFill>
                  <w14:solidFill>
                    <w14:schemeClr w14:val="tx1"/>
                  </w14:solidFill>
                </w14:textFill>
              </w:rPr>
              <w:t>水环境保护措施</w:t>
            </w:r>
          </w:p>
          <w:p w14:paraId="3A30195F">
            <w:pPr>
              <w:adjustRightInd w:val="0"/>
              <w:snapToGrid w:val="0"/>
              <w:spacing w:line="360" w:lineRule="auto"/>
              <w:ind w:firstLine="480" w:firstLineChars="20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施工期废水来源于施工机械冲洗废水和施工阶段产生的泥浆废水。施工机械冲洗废水排放量小，冲洗废水主要是水泥碎粒、沙土构成的悬浮物污染；泥浆废水是一种含有微细颗粒的悬浮</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浑浊</w:t>
            </w:r>
            <w:r>
              <w:rPr>
                <w:rFonts w:hint="default" w:ascii="Times New Roman" w:hAnsi="Times New Roman" w:eastAsia="宋体" w:cs="Times New Roman"/>
                <w:color w:val="000000" w:themeColor="text1"/>
                <w:sz w:val="24"/>
                <w:highlight w:val="none"/>
                <w14:textFill>
                  <w14:solidFill>
                    <w14:schemeClr w14:val="tx1"/>
                  </w14:solidFill>
                </w14:textFill>
              </w:rPr>
              <w:t>液体，外观呈土灰色，比重1.20~1.46</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含泥量</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30%～50%，</w:t>
            </w:r>
            <w:r>
              <w:rPr>
                <w:rFonts w:hint="default" w:ascii="Times New Roman" w:hAnsi="Times New Roman" w:eastAsia="宋体" w:cs="Times New Roman"/>
                <w:color w:val="000000" w:themeColor="text1"/>
                <w:sz w:val="24"/>
                <w:highlight w:val="none"/>
                <w14:textFill>
                  <w14:solidFill>
                    <w14:schemeClr w14:val="tx1"/>
                  </w14:solidFill>
                </w14:textFill>
              </w:rPr>
              <w:t>pH值约6~7</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经沉淀后全部回用。</w:t>
            </w:r>
          </w:p>
          <w:p w14:paraId="3A74C3E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themeColor="text1"/>
                <w:spacing w:val="-7"/>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同时为了防止建筑施工对周围地下水体产生的石油类等的污染，建设单位应与施工单位</w:t>
            </w:r>
            <w:r>
              <w:rPr>
                <w:rFonts w:hint="eastAsia" w:cs="Times New Roman"/>
                <w:color w:val="000000" w:themeColor="text1"/>
                <w:sz w:val="24"/>
                <w:highlight w:val="none"/>
                <w:lang w:eastAsia="zh-CN"/>
                <w14:textFill>
                  <w14:solidFill>
                    <w14:schemeClr w14:val="tx1"/>
                  </w14:solidFill>
                </w14:textFill>
              </w:rPr>
              <w:t>密切配合</w:t>
            </w:r>
            <w:r>
              <w:rPr>
                <w:rFonts w:hint="default" w:ascii="Times New Roman" w:hAnsi="Times New Roman" w:eastAsia="宋体" w:cs="Times New Roman"/>
                <w:color w:val="000000" w:themeColor="text1"/>
                <w:sz w:val="24"/>
                <w:highlight w:val="none"/>
                <w14:textFill>
                  <w14:solidFill>
                    <w14:schemeClr w14:val="tx1"/>
                  </w14:solidFill>
                </w14:textFill>
              </w:rPr>
              <w:t>，定期清洁施工机械表面不必要的润滑油及其它油废，并妥善处置；加强施工机械设备维修保养，避免施工过程中燃料油的跑、冒、滴、漏；不得随意在施工区域内冲洗汽车</w:t>
            </w:r>
            <w:r>
              <w:rPr>
                <w:rFonts w:hint="default" w:ascii="Times New Roman" w:hAnsi="Times New Roman" w:eastAsia="宋体" w:cs="Times New Roman"/>
                <w:color w:val="000000" w:themeColor="text1"/>
                <w:spacing w:val="-7"/>
                <w:sz w:val="24"/>
                <w:szCs w:val="24"/>
                <w:highlight w:val="none"/>
                <w14:textFill>
                  <w14:solidFill>
                    <w14:schemeClr w14:val="tx1"/>
                  </w14:solidFill>
                </w14:textFill>
              </w:rPr>
              <w:t>，对施工机械进行检修和清洗时必须定点，检修和清洗场地必须经水泥硬化。</w:t>
            </w:r>
          </w:p>
          <w:p w14:paraId="6CB094BC">
            <w:pPr>
              <w:pStyle w:val="14"/>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b/>
                <w:bCs/>
                <w:color w:val="000000" w:themeColor="text1"/>
                <w:sz w:val="24"/>
                <w:szCs w:val="24"/>
                <w:highlight w:val="none"/>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lang w:eastAsia="zh-CN"/>
                <w14:textFill>
                  <w14:solidFill>
                    <w14:schemeClr w14:val="tx1"/>
                  </w14:solidFill>
                </w14:textFill>
              </w:rPr>
              <w:t>3.</w:t>
            </w:r>
            <w:r>
              <w:rPr>
                <w:rFonts w:hint="default" w:ascii="Times New Roman" w:hAnsi="Times New Roman" w:eastAsia="宋体" w:cs="Times New Roman"/>
                <w:b/>
                <w:bCs/>
                <w:color w:val="000000" w:themeColor="text1"/>
                <w:sz w:val="24"/>
                <w:szCs w:val="24"/>
                <w:highlight w:val="none"/>
                <w14:textFill>
                  <w14:solidFill>
                    <w14:schemeClr w14:val="tx1"/>
                  </w14:solidFill>
                </w14:textFill>
              </w:rPr>
              <w:t>固体废物保护措施</w:t>
            </w:r>
          </w:p>
          <w:p w14:paraId="68A0A8DD">
            <w:pPr>
              <w:pStyle w:val="14"/>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施工期产生的固体废弃物主要为建筑施工垃圾和生活垃圾。</w:t>
            </w:r>
          </w:p>
          <w:p w14:paraId="69FDD829">
            <w:pPr>
              <w:pStyle w:val="14"/>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施工单位采取以下环境保护措施：</w:t>
            </w:r>
          </w:p>
          <w:p w14:paraId="365F707D">
            <w:pPr>
              <w:pStyle w:val="14"/>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fldChar w:fldCharType="begin"/>
            </w:r>
            <w:r>
              <w:rPr>
                <w:rFonts w:hint="default" w:ascii="Times New Roman" w:hAnsi="Times New Roman" w:eastAsia="宋体" w:cs="Times New Roman"/>
                <w:color w:val="000000" w:themeColor="text1"/>
                <w:sz w:val="24"/>
                <w:szCs w:val="24"/>
                <w:highlight w:val="none"/>
                <w14:textFill>
                  <w14:solidFill>
                    <w14:schemeClr w14:val="tx1"/>
                  </w14:solidFill>
                </w14:textFill>
              </w:rPr>
              <w:instrText xml:space="preserve"> = 1 \* GB3 </w:instrText>
            </w:r>
            <w:r>
              <w:rPr>
                <w:rFonts w:hint="default" w:ascii="Times New Roman" w:hAnsi="Times New Roman" w:eastAsia="宋体" w:cs="Times New Roman"/>
                <w:color w:val="000000" w:themeColor="text1"/>
                <w:sz w:val="24"/>
                <w:szCs w:val="24"/>
                <w:highlight w:val="none"/>
                <w14:textFill>
                  <w14:solidFill>
                    <w14:schemeClr w14:val="tx1"/>
                  </w14:solidFill>
                </w14:textFill>
              </w:rPr>
              <w:fldChar w:fldCharType="separate"/>
            </w:r>
            <w:r>
              <w:rPr>
                <w:rFonts w:hint="default" w:ascii="Times New Roman" w:hAnsi="Times New Roman" w:eastAsia="宋体" w:cs="Times New Roman"/>
                <w:color w:val="000000" w:themeColor="text1"/>
                <w:sz w:val="24"/>
                <w:szCs w:val="24"/>
                <w:highlight w:val="none"/>
                <w14:textFill>
                  <w14:solidFill>
                    <w14:schemeClr w14:val="tx1"/>
                  </w14:solidFill>
                </w14:textFill>
              </w:rPr>
              <w:t>①</w:t>
            </w:r>
            <w:r>
              <w:rPr>
                <w:rFonts w:hint="default" w:ascii="Times New Roman" w:hAnsi="Times New Roman" w:eastAsia="宋体" w:cs="Times New Roman"/>
                <w:color w:val="000000" w:themeColor="text1"/>
                <w:sz w:val="24"/>
                <w:szCs w:val="24"/>
                <w:highlight w:val="none"/>
                <w14:textFill>
                  <w14:solidFill>
                    <w14:schemeClr w14:val="tx1"/>
                  </w14:solidFill>
                </w14:textFill>
              </w:rPr>
              <w:fldChar w:fldCharType="end"/>
            </w:r>
            <w:r>
              <w:rPr>
                <w:rFonts w:hint="default" w:ascii="Times New Roman" w:hAnsi="Times New Roman" w:eastAsia="宋体" w:cs="Times New Roman"/>
                <w:color w:val="000000" w:themeColor="text1"/>
                <w:sz w:val="24"/>
                <w:szCs w:val="24"/>
                <w:highlight w:val="none"/>
                <w14:textFill>
                  <w14:solidFill>
                    <w14:schemeClr w14:val="tx1"/>
                  </w14:solidFill>
                </w14:textFill>
              </w:rPr>
              <w:t>设立建筑垃圾集中收集地点。施工结束后，要对砖头、木块、钢材等固体废物及时收集，尽量回用，不能回用的委托环卫部门处理，以防造成二次污染；</w:t>
            </w:r>
          </w:p>
          <w:p w14:paraId="7F8E3D06">
            <w:pPr>
              <w:pStyle w:val="14"/>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fldChar w:fldCharType="begin"/>
            </w:r>
            <w:r>
              <w:rPr>
                <w:rFonts w:hint="default" w:ascii="Times New Roman" w:hAnsi="Times New Roman" w:eastAsia="宋体" w:cs="Times New Roman"/>
                <w:color w:val="000000" w:themeColor="text1"/>
                <w:sz w:val="24"/>
                <w:szCs w:val="24"/>
                <w:highlight w:val="none"/>
                <w14:textFill>
                  <w14:solidFill>
                    <w14:schemeClr w14:val="tx1"/>
                  </w14:solidFill>
                </w14:textFill>
              </w:rPr>
              <w:instrText xml:space="preserve"> = 2 \* GB3 </w:instrText>
            </w:r>
            <w:r>
              <w:rPr>
                <w:rFonts w:hint="default" w:ascii="Times New Roman" w:hAnsi="Times New Roman" w:eastAsia="宋体" w:cs="Times New Roman"/>
                <w:color w:val="000000" w:themeColor="text1"/>
                <w:sz w:val="24"/>
                <w:szCs w:val="24"/>
                <w:highlight w:val="none"/>
                <w14:textFill>
                  <w14:solidFill>
                    <w14:schemeClr w14:val="tx1"/>
                  </w14:solidFill>
                </w14:textFill>
              </w:rPr>
              <w:fldChar w:fldCharType="separate"/>
            </w:r>
            <w:r>
              <w:rPr>
                <w:rFonts w:hint="default" w:ascii="Times New Roman" w:hAnsi="Times New Roman" w:eastAsia="宋体" w:cs="Times New Roman"/>
                <w:color w:val="000000" w:themeColor="text1"/>
                <w:sz w:val="24"/>
                <w:szCs w:val="24"/>
                <w:highlight w:val="none"/>
                <w14:textFill>
                  <w14:solidFill>
                    <w14:schemeClr w14:val="tx1"/>
                  </w14:solidFill>
                </w14:textFill>
              </w:rPr>
              <w:t>②</w:t>
            </w:r>
            <w:r>
              <w:rPr>
                <w:rFonts w:hint="default" w:ascii="Times New Roman" w:hAnsi="Times New Roman" w:eastAsia="宋体" w:cs="Times New Roman"/>
                <w:color w:val="000000" w:themeColor="text1"/>
                <w:sz w:val="24"/>
                <w:szCs w:val="24"/>
                <w:highlight w:val="none"/>
                <w14:textFill>
                  <w14:solidFill>
                    <w14:schemeClr w14:val="tx1"/>
                  </w14:solidFill>
                </w14:textFill>
              </w:rPr>
              <w:fldChar w:fldCharType="end"/>
            </w:r>
            <w:r>
              <w:rPr>
                <w:rFonts w:hint="default" w:ascii="Times New Roman" w:hAnsi="Times New Roman" w:eastAsia="宋体" w:cs="Times New Roman"/>
                <w:color w:val="000000" w:themeColor="text1"/>
                <w:sz w:val="24"/>
                <w:szCs w:val="24"/>
                <w:highlight w:val="none"/>
                <w14:textFill>
                  <w14:solidFill>
                    <w14:schemeClr w14:val="tx1"/>
                  </w14:solidFill>
                </w14:textFill>
              </w:rPr>
              <w:t>施工单位设临时垃圾箱对生活垃圾进行收集，定期由当地环卫部门清运处置。</w:t>
            </w:r>
          </w:p>
          <w:p w14:paraId="793F7757">
            <w:pPr>
              <w:pStyle w:val="14"/>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采取以上控制措施，施工期</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固体废物</w:t>
            </w:r>
            <w:r>
              <w:rPr>
                <w:rFonts w:hint="default" w:ascii="Times New Roman" w:hAnsi="Times New Roman" w:eastAsia="宋体" w:cs="Times New Roman"/>
                <w:color w:val="000000" w:themeColor="text1"/>
                <w:sz w:val="24"/>
                <w:szCs w:val="24"/>
                <w:highlight w:val="none"/>
                <w14:textFill>
                  <w14:solidFill>
                    <w14:schemeClr w14:val="tx1"/>
                  </w14:solidFill>
                </w14:textFill>
              </w:rPr>
              <w:t>对环境的影响</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较小</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p>
          <w:p w14:paraId="6D13BFB0">
            <w:pPr>
              <w:pStyle w:val="14"/>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b/>
                <w:bCs/>
                <w:color w:val="000000" w:themeColor="text1"/>
                <w:sz w:val="24"/>
                <w:szCs w:val="24"/>
                <w:highlight w:val="none"/>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lang w:eastAsia="zh-CN"/>
                <w14:textFill>
                  <w14:solidFill>
                    <w14:schemeClr w14:val="tx1"/>
                  </w14:solidFill>
                </w14:textFill>
              </w:rPr>
              <w:t>4.</w:t>
            </w:r>
            <w:r>
              <w:rPr>
                <w:rFonts w:hint="default" w:ascii="Times New Roman" w:hAnsi="Times New Roman" w:eastAsia="宋体" w:cs="Times New Roman"/>
                <w:b/>
                <w:bCs/>
                <w:color w:val="000000" w:themeColor="text1"/>
                <w:sz w:val="24"/>
                <w:szCs w:val="24"/>
                <w:highlight w:val="none"/>
                <w14:textFill>
                  <w14:solidFill>
                    <w14:schemeClr w14:val="tx1"/>
                  </w14:solidFill>
                </w14:textFill>
              </w:rPr>
              <w:t>声环境保护措施</w:t>
            </w:r>
          </w:p>
          <w:p w14:paraId="674C1CD7">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bookmarkStart w:id="6" w:name="_Toc25637714"/>
            <w:r>
              <w:rPr>
                <w:rFonts w:hint="default" w:ascii="Times New Roman" w:hAnsi="Times New Roman" w:eastAsia="宋体" w:cs="Times New Roman"/>
                <w:color w:val="000000" w:themeColor="text1"/>
                <w:sz w:val="24"/>
                <w:szCs w:val="24"/>
                <w:highlight w:val="none"/>
                <w14:textFill>
                  <w14:solidFill>
                    <w14:schemeClr w14:val="tx1"/>
                  </w14:solidFill>
                </w14:textFill>
              </w:rPr>
              <w:t>施工期噪声为各种机械设备产生的噪声和车辆行驶时产生的噪声，主要为施工机械设备产生的作业噪声。施工机械有推土机、载重汽车、挖掘机等。根据类比调查和有关资料：这些建筑施工机械的声源噪声强度大多在60~90dB</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A</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左右，上述噪声仅对施工现场区域范围和周围250m内的地区有影响。施工过程中基础开挖等活动均选择在白天进行，噪声影响主要在白天，机械设备的运作都是间歇性的，施工过程中产生的噪声具有间歇性和短暂性的特点，随着实施期的结束而消失。</w:t>
            </w:r>
          </w:p>
          <w:p w14:paraId="7C34C49C">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施工场地噪声主要来自各类高噪声施工机械，为减少施工噪声影响，实施期要遵守《建筑施工噪声排放标准》（GB12523-20</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25</w:t>
            </w:r>
            <w:r>
              <w:rPr>
                <w:rFonts w:hint="default" w:ascii="Times New Roman" w:hAnsi="Times New Roman" w:eastAsia="宋体" w:cs="Times New Roman"/>
                <w:color w:val="000000" w:themeColor="text1"/>
                <w:sz w:val="24"/>
                <w:szCs w:val="24"/>
                <w:highlight w:val="none"/>
                <w14:textFill>
                  <w14:solidFill>
                    <w14:schemeClr w14:val="tx1"/>
                  </w14:solidFill>
                </w14:textFill>
              </w:rPr>
              <w:t>）的要求，进行施工时间限值及相应的噪声防控，建议采取以下防护措施：</w:t>
            </w:r>
          </w:p>
          <w:p w14:paraId="7E4319A2">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①施工时选用噪声符合国家相关标准的施工设备。加强设备维护和保养，保持机械润滑，减少运行噪声。同时加强管理，以减少因施工设备维护和保养不当产生的噪声。</w:t>
            </w:r>
          </w:p>
          <w:p w14:paraId="7F82EFDB">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②高噪声施工设备尽量安排在日间作业，减少夜间施工量</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p>
          <w:p w14:paraId="7C28D632">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③加强施工管理，优化施工场地布置</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p>
          <w:p w14:paraId="11017005">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④降低人为噪声：按规定操作机械设备，材料装卸过程中，尽量减少碰撞声音</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p>
          <w:p w14:paraId="59CE88E7">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黑体" w:cs="Times New Roman"/>
                <w:b/>
                <w:bCs/>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施工期噪声的影响具有短暂性、流动性的特点，随着施工期的结束而消失。</w:t>
            </w:r>
            <w:bookmarkEnd w:id="6"/>
          </w:p>
          <w:p w14:paraId="1E2DC299">
            <w:pPr>
              <w:pStyle w:val="14"/>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5</w:t>
            </w:r>
            <w:r>
              <w:rPr>
                <w:rFonts w:hint="default" w:ascii="Times New Roman" w:hAnsi="Times New Roman" w:eastAsia="宋体" w:cs="Times New Roman"/>
                <w:b/>
                <w:bCs/>
                <w:color w:val="000000" w:themeColor="text1"/>
                <w:sz w:val="24"/>
                <w:szCs w:val="24"/>
                <w:highlight w:val="none"/>
                <w14:textFill>
                  <w14:solidFill>
                    <w14:schemeClr w14:val="tx1"/>
                  </w14:solidFill>
                </w14:textFill>
              </w:rPr>
              <w:t>.</w:t>
            </w: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施工期生态环境保护措施分析</w:t>
            </w:r>
          </w:p>
          <w:p w14:paraId="6C037304">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本项目建设单位空地建设，原来地表结构及下垫面植被均已完全遭到破坏。项目施工期施工活动对厂址附近生态环境的不利影响在土地利用、水土流失等方面。具体保护措施如下：</w:t>
            </w:r>
          </w:p>
          <w:p w14:paraId="766399FF">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1</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建设活动应控制在一定范围内，严格规定施工场所和运输线路，并设立鲜明标志，严禁随意扩大施工范围，少占土地。</w:t>
            </w:r>
          </w:p>
          <w:p w14:paraId="2BB36F03">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2</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本项目占地面积相对较小，建设期各场地平整、临时弃土弃渣将会破坏原地表植被，这些破坏是</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可以</w:t>
            </w:r>
            <w:r>
              <w:rPr>
                <w:rFonts w:hint="default" w:ascii="Times New Roman" w:hAnsi="Times New Roman" w:eastAsia="宋体" w:cs="Times New Roman"/>
                <w:color w:val="000000" w:themeColor="text1"/>
                <w:sz w:val="24"/>
                <w:szCs w:val="24"/>
                <w:highlight w:val="none"/>
                <w14:textFill>
                  <w14:solidFill>
                    <w14:schemeClr w14:val="tx1"/>
                  </w14:solidFill>
                </w14:textFill>
              </w:rPr>
              <w:t>恢复的，随着施工的结束，这些植被将逐渐恢复，因此在施工过程中要做好施工场地的规划，明确弃土弃渣点和施工范围，尽可能减少施工影响范围，施工结束后，要尽可能恢复临时占地的土地功能。</w:t>
            </w:r>
          </w:p>
          <w:p w14:paraId="04AD8FF7">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3</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施工过程中，应将施工工人临时住所、材料堆放场设置在院墙内，减少扰动范围。</w:t>
            </w:r>
          </w:p>
          <w:p w14:paraId="2B82AE16">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4</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施工时注重植被保护；施工结束后，应立即种植植被实施绿化</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p>
        </w:tc>
      </w:tr>
      <w:tr w14:paraId="08FC58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983" w:hRule="atLeast"/>
          <w:jc w:val="center"/>
        </w:trPr>
        <w:tc>
          <w:tcPr>
            <w:tcW w:w="746" w:type="dxa"/>
            <w:noWrap w:val="0"/>
            <w:tcMar>
              <w:left w:w="28" w:type="dxa"/>
              <w:right w:w="28" w:type="dxa"/>
            </w:tcMar>
            <w:vAlign w:val="center"/>
          </w:tcPr>
          <w:p w14:paraId="3F54DD01">
            <w:pPr>
              <w:adjustRightInd w:val="0"/>
              <w:snapToGrid w:val="0"/>
              <w:jc w:val="center"/>
              <w:rPr>
                <w:rFonts w:hint="default" w:ascii="Times New Roman" w:hAnsi="Times New Roman" w:cs="Times New Roman"/>
                <w:b/>
                <w:color w:val="000000" w:themeColor="text1"/>
                <w:sz w:val="24"/>
                <w:highlight w:val="none"/>
                <w14:textFill>
                  <w14:solidFill>
                    <w14:schemeClr w14:val="tx1"/>
                  </w14:solidFill>
                </w14:textFill>
              </w:rPr>
            </w:pPr>
            <w:r>
              <w:rPr>
                <w:rFonts w:hint="default" w:ascii="Times New Roman" w:hAnsi="Times New Roman" w:cs="Times New Roman"/>
                <w:b/>
                <w:color w:val="000000" w:themeColor="text1"/>
                <w:sz w:val="24"/>
                <w:highlight w:val="none"/>
                <w14:textFill>
                  <w14:solidFill>
                    <w14:schemeClr w14:val="tx1"/>
                  </w14:solidFill>
                </w14:textFill>
              </w:rPr>
              <w:t>运营</w:t>
            </w:r>
          </w:p>
          <w:p w14:paraId="39E5B007">
            <w:pPr>
              <w:adjustRightInd w:val="0"/>
              <w:snapToGrid w:val="0"/>
              <w:jc w:val="center"/>
              <w:rPr>
                <w:rFonts w:hint="default" w:ascii="Times New Roman" w:hAnsi="Times New Roman" w:cs="Times New Roman"/>
                <w:b/>
                <w:color w:val="000000" w:themeColor="text1"/>
                <w:sz w:val="24"/>
                <w:highlight w:val="none"/>
                <w14:textFill>
                  <w14:solidFill>
                    <w14:schemeClr w14:val="tx1"/>
                  </w14:solidFill>
                </w14:textFill>
              </w:rPr>
            </w:pPr>
            <w:r>
              <w:rPr>
                <w:rFonts w:hint="default" w:ascii="Times New Roman" w:hAnsi="Times New Roman" w:cs="Times New Roman"/>
                <w:b/>
                <w:color w:val="000000" w:themeColor="text1"/>
                <w:sz w:val="24"/>
                <w:highlight w:val="none"/>
                <w14:textFill>
                  <w14:solidFill>
                    <w14:schemeClr w14:val="tx1"/>
                  </w14:solidFill>
                </w14:textFill>
              </w:rPr>
              <w:t>期环</w:t>
            </w:r>
          </w:p>
          <w:p w14:paraId="1908DDBA">
            <w:pPr>
              <w:adjustRightInd w:val="0"/>
              <w:snapToGrid w:val="0"/>
              <w:jc w:val="center"/>
              <w:rPr>
                <w:rFonts w:hint="default" w:ascii="Times New Roman" w:hAnsi="Times New Roman" w:cs="Times New Roman"/>
                <w:b/>
                <w:color w:val="000000" w:themeColor="text1"/>
                <w:sz w:val="24"/>
                <w:highlight w:val="none"/>
                <w14:textFill>
                  <w14:solidFill>
                    <w14:schemeClr w14:val="tx1"/>
                  </w14:solidFill>
                </w14:textFill>
              </w:rPr>
            </w:pPr>
            <w:r>
              <w:rPr>
                <w:rFonts w:hint="default" w:ascii="Times New Roman" w:hAnsi="Times New Roman" w:cs="Times New Roman"/>
                <w:b/>
                <w:color w:val="000000" w:themeColor="text1"/>
                <w:sz w:val="24"/>
                <w:highlight w:val="none"/>
                <w14:textFill>
                  <w14:solidFill>
                    <w14:schemeClr w14:val="tx1"/>
                  </w14:solidFill>
                </w14:textFill>
              </w:rPr>
              <w:t>境影</w:t>
            </w:r>
          </w:p>
          <w:p w14:paraId="5E043DFA">
            <w:pPr>
              <w:adjustRightInd w:val="0"/>
              <w:snapToGrid w:val="0"/>
              <w:jc w:val="center"/>
              <w:rPr>
                <w:rFonts w:hint="default" w:ascii="Times New Roman" w:hAnsi="Times New Roman" w:cs="Times New Roman"/>
                <w:b/>
                <w:color w:val="000000" w:themeColor="text1"/>
                <w:sz w:val="24"/>
                <w:highlight w:val="none"/>
                <w14:textFill>
                  <w14:solidFill>
                    <w14:schemeClr w14:val="tx1"/>
                  </w14:solidFill>
                </w14:textFill>
              </w:rPr>
            </w:pPr>
            <w:r>
              <w:rPr>
                <w:rFonts w:hint="default" w:ascii="Times New Roman" w:hAnsi="Times New Roman" w:cs="Times New Roman"/>
                <w:b/>
                <w:color w:val="000000" w:themeColor="text1"/>
                <w:sz w:val="24"/>
                <w:highlight w:val="none"/>
                <w14:textFill>
                  <w14:solidFill>
                    <w14:schemeClr w14:val="tx1"/>
                  </w14:solidFill>
                </w14:textFill>
              </w:rPr>
              <w:t>响和</w:t>
            </w:r>
          </w:p>
          <w:p w14:paraId="2766017E">
            <w:pPr>
              <w:adjustRightInd w:val="0"/>
              <w:snapToGrid w:val="0"/>
              <w:jc w:val="center"/>
              <w:rPr>
                <w:rFonts w:hint="default" w:ascii="Times New Roman" w:hAnsi="Times New Roman" w:cs="Times New Roman"/>
                <w:bCs/>
                <w:color w:val="000000" w:themeColor="text1"/>
                <w:sz w:val="24"/>
                <w:highlight w:val="none"/>
                <w14:textFill>
                  <w14:solidFill>
                    <w14:schemeClr w14:val="tx1"/>
                  </w14:solidFill>
                </w14:textFill>
              </w:rPr>
            </w:pPr>
            <w:r>
              <w:rPr>
                <w:rFonts w:hint="default" w:ascii="Times New Roman" w:hAnsi="Times New Roman" w:cs="Times New Roman"/>
                <w:b/>
                <w:color w:val="000000" w:themeColor="text1"/>
                <w:sz w:val="24"/>
                <w:highlight w:val="none"/>
                <w14:textFill>
                  <w14:solidFill>
                    <w14:schemeClr w14:val="tx1"/>
                  </w14:solidFill>
                </w14:textFill>
              </w:rPr>
              <w:t>保护</w:t>
            </w:r>
          </w:p>
          <w:p w14:paraId="03D21174">
            <w:pPr>
              <w:adjustRightInd w:val="0"/>
              <w:snapToGrid w:val="0"/>
              <w:jc w:val="center"/>
              <w:rPr>
                <w:rFonts w:hint="default" w:ascii="Times New Roman" w:hAnsi="Times New Roman" w:cs="Times New Roman"/>
                <w:bCs/>
                <w:color w:val="000000" w:themeColor="text1"/>
                <w:szCs w:val="21"/>
                <w:highlight w:val="none"/>
                <w14:textFill>
                  <w14:solidFill>
                    <w14:schemeClr w14:val="tx1"/>
                  </w14:solidFill>
                </w14:textFill>
              </w:rPr>
            </w:pPr>
            <w:r>
              <w:rPr>
                <w:rFonts w:hint="default" w:ascii="Times New Roman" w:hAnsi="Times New Roman" w:cs="Times New Roman"/>
                <w:b/>
                <w:color w:val="000000" w:themeColor="text1"/>
                <w:sz w:val="24"/>
                <w:highlight w:val="none"/>
                <w14:textFill>
                  <w14:solidFill>
                    <w14:schemeClr w14:val="tx1"/>
                  </w14:solidFill>
                </w14:textFill>
              </w:rPr>
              <w:t>措施</w:t>
            </w:r>
          </w:p>
        </w:tc>
        <w:tc>
          <w:tcPr>
            <w:tcW w:w="8162" w:type="dxa"/>
            <w:noWrap w:val="0"/>
            <w:vAlign w:val="center"/>
          </w:tcPr>
          <w:p w14:paraId="0F0D8F3E">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outlineLvl w:val="1"/>
              <w:rPr>
                <w:rFonts w:hint="default" w:ascii="Times New Roman" w:hAnsi="Times New Roman" w:eastAsia="宋体" w:cs="Times New Roman"/>
                <w:b/>
                <w:bCs/>
                <w:color w:val="000000" w:themeColor="text1"/>
                <w:sz w:val="24"/>
                <w:highlight w:val="none"/>
                <w14:textFill>
                  <w14:solidFill>
                    <w14:schemeClr w14:val="tx1"/>
                  </w14:solidFill>
                </w14:textFill>
              </w:rPr>
            </w:pPr>
            <w:r>
              <w:rPr>
                <w:rFonts w:hint="default" w:ascii="Times New Roman" w:hAnsi="Times New Roman" w:eastAsia="宋体" w:cs="Times New Roman"/>
                <w:b/>
                <w:bCs/>
                <w:color w:val="000000" w:themeColor="text1"/>
                <w:sz w:val="24"/>
                <w:highlight w:val="none"/>
                <w:lang w:eastAsia="zh-CN"/>
                <w14:textFill>
                  <w14:solidFill>
                    <w14:schemeClr w14:val="tx1"/>
                  </w14:solidFill>
                </w14:textFill>
              </w:rPr>
              <w:t>1.</w:t>
            </w:r>
            <w:r>
              <w:rPr>
                <w:rFonts w:hint="default" w:ascii="Times New Roman" w:hAnsi="Times New Roman" w:eastAsia="宋体" w:cs="Times New Roman"/>
                <w:b/>
                <w:bCs/>
                <w:color w:val="000000" w:themeColor="text1"/>
                <w:sz w:val="24"/>
                <w:highlight w:val="none"/>
                <w14:textFill>
                  <w14:solidFill>
                    <w14:schemeClr w14:val="tx1"/>
                  </w14:solidFill>
                </w14:textFill>
              </w:rPr>
              <w:t>大气环境影响分析</w:t>
            </w:r>
          </w:p>
          <w:p w14:paraId="4FDF21B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000000" w:themeColor="text1"/>
                <w:sz w:val="24"/>
                <w:highlight w:val="none"/>
                <w14:textFill>
                  <w14:solidFill>
                    <w14:schemeClr w14:val="tx1"/>
                  </w14:solidFill>
                </w14:textFill>
              </w:rPr>
            </w:pPr>
            <w:r>
              <w:rPr>
                <w:rFonts w:hint="default" w:ascii="Times New Roman" w:hAnsi="Times New Roman" w:eastAsia="宋体" w:cs="Times New Roman"/>
                <w:b w:val="0"/>
                <w:bCs w:val="0"/>
                <w:color w:val="000000" w:themeColor="text1"/>
                <w:sz w:val="24"/>
                <w:highlight w:val="none"/>
                <w14:textFill>
                  <w14:solidFill>
                    <w14:schemeClr w14:val="tx1"/>
                  </w14:solidFill>
                </w14:textFill>
              </w:rPr>
              <w:t>（1）废气产生、治理措施及排放情况</w:t>
            </w:r>
          </w:p>
          <w:p w14:paraId="4CF72A5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pP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1）</w:t>
            </w:r>
            <w:r>
              <w:rPr>
                <w:rFonts w:hint="eastAsia" w:cs="Times New Roman"/>
                <w:b w:val="0"/>
                <w:bCs w:val="0"/>
                <w:color w:val="000000" w:themeColor="text1"/>
                <w:sz w:val="24"/>
                <w:szCs w:val="24"/>
                <w:highlight w:val="none"/>
                <w:lang w:val="en-US" w:eastAsia="zh-CN"/>
                <w14:textFill>
                  <w14:solidFill>
                    <w14:schemeClr w14:val="tx1"/>
                  </w14:solidFill>
                </w14:textFill>
              </w:rPr>
              <w:t>原料粉</w:t>
            </w: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仓顶粉尘</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（G1-1、G1-2）</w:t>
            </w:r>
          </w:p>
          <w:p w14:paraId="1B36F4E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项目所使用的</w:t>
            </w:r>
            <w:r>
              <w:rPr>
                <w:rFonts w:hint="eastAsia" w:cs="Times New Roman"/>
                <w:b w:val="0"/>
                <w:bCs w:val="0"/>
                <w:color w:val="000000" w:themeColor="text1"/>
                <w:sz w:val="24"/>
                <w:szCs w:val="24"/>
                <w:highlight w:val="none"/>
                <w:lang w:val="en-US" w:eastAsia="zh-CN"/>
                <w14:textFill>
                  <w14:solidFill>
                    <w14:schemeClr w14:val="tx1"/>
                  </w14:solidFill>
                </w14:textFill>
              </w:rPr>
              <w:t>原料粉</w:t>
            </w: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由</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内蒙古伊东高新材料有限公司</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通过气力输送</w:t>
            </w:r>
            <w:r>
              <w:rPr>
                <w:rFonts w:hint="default" w:ascii="Times New Roman" w:hAnsi="Times New Roman" w:eastAsia="宋体" w:cs="Times New Roman"/>
                <w:color w:val="000000" w:themeColor="text1"/>
                <w:sz w:val="24"/>
                <w:szCs w:val="24"/>
                <w:highlight w:val="none"/>
                <w14:textFill>
                  <w14:solidFill>
                    <w14:schemeClr w14:val="tx1"/>
                  </w14:solidFill>
                </w14:textFill>
              </w:rPr>
              <w:t>至企业</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筒仓</w:t>
            </w:r>
            <w:r>
              <w:rPr>
                <w:rFonts w:hint="default" w:ascii="Times New Roman" w:hAnsi="Times New Roman" w:eastAsia="宋体" w:cs="Times New Roman"/>
                <w:color w:val="000000" w:themeColor="text1"/>
                <w:sz w:val="24"/>
                <w:szCs w:val="24"/>
                <w:highlight w:val="none"/>
                <w14:textFill>
                  <w14:solidFill>
                    <w14:schemeClr w14:val="tx1"/>
                  </w14:solidFill>
                </w14:textFill>
              </w:rPr>
              <w:t>内，</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筒仓装卸状态下</w:t>
            </w:r>
            <w:r>
              <w:rPr>
                <w:rFonts w:hint="default" w:ascii="Times New Roman" w:hAnsi="Times New Roman" w:eastAsia="宋体" w:cs="Times New Roman"/>
                <w:color w:val="000000" w:themeColor="text1"/>
                <w:sz w:val="24"/>
                <w:szCs w:val="24"/>
                <w:highlight w:val="none"/>
                <w14:textFill>
                  <w14:solidFill>
                    <w14:schemeClr w14:val="tx1"/>
                  </w14:solidFill>
                </w14:textFill>
              </w:rPr>
              <w:t>仓顶呼吸孔会产生粉尘。</w:t>
            </w:r>
            <w:r>
              <w:rPr>
                <w:rFonts w:hint="eastAsia" w:cs="Times New Roman"/>
                <w:color w:val="000000" w:themeColor="text1"/>
                <w:sz w:val="24"/>
                <w:szCs w:val="24"/>
                <w:highlight w:val="none"/>
                <w:lang w:val="en-US" w:eastAsia="zh-CN"/>
                <w14:textFill>
                  <w14:solidFill>
                    <w14:schemeClr w14:val="tx1"/>
                  </w14:solidFill>
                </w14:textFill>
              </w:rPr>
              <w:t>原料粉</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参照《3021、3022、3029水泥制品制造行业系数手册（含3022砼结构构件、3029其他水泥类似制品制造）行业》中混凝土制品的物料输送储存源强产污系数为0.12kg/t-产品，本项目输送皮带封闭处理，合计颗粒物产生量24t/a。</w:t>
            </w:r>
          </w:p>
          <w:p w14:paraId="24B71FF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本项目在</w:t>
            </w:r>
            <w:r>
              <w:rPr>
                <w:rFonts w:hint="eastAsia" w:cs="Times New Roman"/>
                <w:b w:val="0"/>
                <w:bCs w:val="0"/>
                <w:color w:val="000000" w:themeColor="text1"/>
                <w:sz w:val="24"/>
                <w:szCs w:val="24"/>
                <w:highlight w:val="none"/>
                <w:lang w:val="en-US" w:eastAsia="zh-CN"/>
                <w14:textFill>
                  <w14:solidFill>
                    <w14:schemeClr w14:val="tx1"/>
                  </w14:solidFill>
                </w14:textFill>
              </w:rPr>
              <w:t>原料粉</w:t>
            </w:r>
            <w:r>
              <w:rPr>
                <w:rFonts w:hint="default" w:ascii="Times New Roman" w:hAnsi="Times New Roman" w:eastAsia="宋体" w:cs="Times New Roman"/>
                <w:color w:val="000000" w:themeColor="text1"/>
                <w:sz w:val="24"/>
                <w:szCs w:val="24"/>
                <w:highlight w:val="none"/>
                <w14:textFill>
                  <w14:solidFill>
                    <w14:schemeClr w14:val="tx1"/>
                  </w14:solidFill>
                </w14:textFill>
              </w:rPr>
              <w:t>仓配备仓顶除尘器，通过风机（风量为</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100</w:t>
            </w:r>
            <w:r>
              <w:rPr>
                <w:rFonts w:hint="default" w:ascii="Times New Roman" w:hAnsi="Times New Roman" w:eastAsia="宋体" w:cs="Times New Roman"/>
                <w:color w:val="000000" w:themeColor="text1"/>
                <w:sz w:val="24"/>
                <w:szCs w:val="24"/>
                <w:highlight w:val="none"/>
                <w14:textFill>
                  <w14:solidFill>
                    <w14:schemeClr w14:val="tx1"/>
                  </w14:solidFill>
                </w14:textFill>
              </w:rPr>
              <w:t>00m</w:t>
            </w:r>
            <w:r>
              <w:rPr>
                <w:rFonts w:hint="default" w:ascii="Times New Roman" w:hAnsi="Times New Roman" w:eastAsia="宋体"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z w:val="24"/>
                <w:szCs w:val="24"/>
                <w:highlight w:val="none"/>
                <w14:textFill>
                  <w14:solidFill>
                    <w14:schemeClr w14:val="tx1"/>
                  </w14:solidFill>
                </w14:textFill>
              </w:rPr>
              <w:t>/h</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和10</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0</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00</w:t>
            </w:r>
            <w:r>
              <w:rPr>
                <w:rFonts w:hint="default" w:ascii="Times New Roman" w:hAnsi="Times New Roman" w:eastAsia="宋体" w:cs="Times New Roman"/>
                <w:color w:val="000000" w:themeColor="text1"/>
                <w:sz w:val="24"/>
                <w:szCs w:val="24"/>
                <w:highlight w:val="none"/>
                <w14:textFill>
                  <w14:solidFill>
                    <w14:schemeClr w14:val="tx1"/>
                  </w14:solidFill>
                </w14:textFill>
              </w:rPr>
              <w:t>m</w:t>
            </w:r>
            <w:r>
              <w:rPr>
                <w:rFonts w:hint="default" w:ascii="Times New Roman" w:hAnsi="Times New Roman" w:eastAsia="宋体"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z w:val="24"/>
                <w:szCs w:val="24"/>
                <w:highlight w:val="none"/>
                <w14:textFill>
                  <w14:solidFill>
                    <w14:schemeClr w14:val="tx1"/>
                  </w14:solidFill>
                </w14:textFill>
              </w:rPr>
              <w:t>/h，年工作</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2400</w:t>
            </w:r>
            <w:r>
              <w:rPr>
                <w:rFonts w:hint="default" w:ascii="Times New Roman" w:hAnsi="Times New Roman" w:eastAsia="宋体" w:cs="Times New Roman"/>
                <w:color w:val="000000" w:themeColor="text1"/>
                <w:sz w:val="24"/>
                <w:szCs w:val="24"/>
                <w:highlight w:val="none"/>
                <w14:textFill>
                  <w14:solidFill>
                    <w14:schemeClr w14:val="tx1"/>
                  </w14:solidFill>
                </w14:textFill>
              </w:rPr>
              <w:t>h）经内置仓顶除尘器处理（除尘效率99%）后由</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42</w:t>
            </w:r>
            <w:r>
              <w:rPr>
                <w:rFonts w:hint="default" w:ascii="Times New Roman" w:hAnsi="Times New Roman" w:eastAsia="宋体" w:cs="Times New Roman"/>
                <w:color w:val="000000" w:themeColor="text1"/>
                <w:sz w:val="24"/>
                <w:szCs w:val="24"/>
                <w:highlight w:val="none"/>
                <w14:textFill>
                  <w14:solidFill>
                    <w14:schemeClr w14:val="tx1"/>
                  </w14:solidFill>
                </w14:textFill>
              </w:rPr>
              <w:t>m</w:t>
            </w:r>
            <w:r>
              <w:rPr>
                <w:rFonts w:hint="eastAsia" w:cs="Times New Roman"/>
                <w:color w:val="000000" w:themeColor="text1"/>
                <w:sz w:val="24"/>
                <w:highlight w:val="none"/>
                <w:lang w:val="en-US" w:eastAsia="zh-CN"/>
                <w14:textFill>
                  <w14:solidFill>
                    <w14:schemeClr w14:val="tx1"/>
                  </w14:solidFill>
                </w14:textFill>
              </w:rPr>
              <w:t>高</w:t>
            </w:r>
            <w:r>
              <w:rPr>
                <w:rFonts w:hint="eastAsia" w:cs="Times New Roman"/>
                <w:color w:val="000000" w:themeColor="text1"/>
                <w:sz w:val="24"/>
                <w:szCs w:val="24"/>
                <w:highlight w:val="none"/>
                <w:lang w:val="en-US" w:eastAsia="zh-CN"/>
                <w14:textFill>
                  <w14:solidFill>
                    <w14:schemeClr w14:val="tx1"/>
                  </w14:solidFill>
                </w14:textFill>
              </w:rPr>
              <w:t>排气口</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DA001、DA002</w:t>
            </w:r>
            <w:r>
              <w:rPr>
                <w:rFonts w:hint="default" w:ascii="Times New Roman" w:hAnsi="Times New Roman" w:eastAsia="宋体" w:cs="Times New Roman"/>
                <w:color w:val="000000" w:themeColor="text1"/>
                <w:sz w:val="24"/>
                <w:szCs w:val="24"/>
                <w:highlight w:val="none"/>
                <w14:textFill>
                  <w14:solidFill>
                    <w14:schemeClr w14:val="tx1"/>
                  </w14:solidFill>
                </w14:textFill>
              </w:rPr>
              <w:t>）排放，根据产污系数及防治措施，各筒仓粉尘产排情况见</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下表</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p>
          <w:p w14:paraId="37EB4BBF">
            <w:pPr>
              <w:keepNext w:val="0"/>
              <w:keepLines w:val="0"/>
              <w:pageBreakBefore w:val="0"/>
              <w:widowControl w:val="0"/>
              <w:kinsoku/>
              <w:wordWrap/>
              <w:overflowPunct/>
              <w:topLinePunct w:val="0"/>
              <w:autoSpaceDE/>
              <w:autoSpaceDN/>
              <w:bidi w:val="0"/>
              <w:adjustRightInd/>
              <w:snapToGrid w:val="0"/>
              <w:spacing w:line="240" w:lineRule="auto"/>
              <w:ind w:firstLine="482" w:firstLineChars="200"/>
              <w:jc w:val="center"/>
              <w:textAlignment w:val="auto"/>
              <w:rPr>
                <w:rFonts w:hint="default" w:ascii="Times New Roman" w:hAnsi="Times New Roman" w:eastAsia="仿宋" w:cs="Times New Roman"/>
                <w:color w:val="000000" w:themeColor="text1"/>
                <w:sz w:val="24"/>
                <w:highlight w:val="none"/>
                <w14:textFill>
                  <w14:solidFill>
                    <w14:schemeClr w14:val="tx1"/>
                  </w14:solidFill>
                </w14:textFill>
              </w:rPr>
            </w:pPr>
            <w:r>
              <w:rPr>
                <w:rFonts w:hint="default" w:ascii="Times New Roman" w:hAnsi="Times New Roman" w:eastAsia="宋体" w:cs="Times New Roman"/>
                <w:b/>
                <w:bCs/>
                <w:color w:val="000000" w:themeColor="text1"/>
                <w:kern w:val="2"/>
                <w:sz w:val="24"/>
                <w:szCs w:val="24"/>
                <w:highlight w:val="none"/>
                <w14:textFill>
                  <w14:solidFill>
                    <w14:schemeClr w14:val="tx1"/>
                  </w14:solidFill>
                </w14:textFill>
              </w:rPr>
              <w:t>表</w:t>
            </w:r>
            <w:r>
              <w:rPr>
                <w:rFonts w:hint="default" w:ascii="Times New Roman" w:hAnsi="Times New Roman" w:eastAsia="宋体" w:cs="Times New Roman"/>
                <w:b/>
                <w:bCs/>
                <w:color w:val="000000" w:themeColor="text1"/>
                <w:kern w:val="2"/>
                <w:sz w:val="24"/>
                <w:szCs w:val="24"/>
                <w:highlight w:val="none"/>
                <w:lang w:val="en-US" w:eastAsia="zh-CN"/>
                <w14:textFill>
                  <w14:solidFill>
                    <w14:schemeClr w14:val="tx1"/>
                  </w14:solidFill>
                </w14:textFill>
              </w:rPr>
              <w:t>4-1</w:t>
            </w:r>
            <w:r>
              <w:rPr>
                <w:rFonts w:hint="eastAsia" w:cs="Times New Roman"/>
                <w:b/>
                <w:bCs/>
                <w:color w:val="000000" w:themeColor="text1"/>
                <w:kern w:val="2"/>
                <w:sz w:val="24"/>
                <w:szCs w:val="24"/>
                <w:highlight w:val="none"/>
                <w:lang w:val="en-US" w:eastAsia="zh-CN"/>
                <w14:textFill>
                  <w14:solidFill>
                    <w14:schemeClr w14:val="tx1"/>
                  </w14:solidFill>
                </w14:textFill>
              </w:rPr>
              <w:t>原料粉</w:t>
            </w:r>
            <w:r>
              <w:rPr>
                <w:rFonts w:hint="default" w:ascii="Times New Roman" w:hAnsi="Times New Roman" w:cs="Times New Roman"/>
                <w:b/>
                <w:bCs/>
                <w:color w:val="000000" w:themeColor="text1"/>
                <w:kern w:val="2"/>
                <w:sz w:val="24"/>
                <w:szCs w:val="24"/>
                <w:highlight w:val="none"/>
                <w14:textFill>
                  <w14:solidFill>
                    <w14:schemeClr w14:val="tx1"/>
                  </w14:solidFill>
                </w14:textFill>
              </w:rPr>
              <w:t>筒仓粉尘产排情况一览表</w:t>
            </w:r>
          </w:p>
          <w:tbl>
            <w:tblPr>
              <w:tblStyle w:val="24"/>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1135"/>
              <w:gridCol w:w="924"/>
              <w:gridCol w:w="672"/>
              <w:gridCol w:w="823"/>
              <w:gridCol w:w="823"/>
              <w:gridCol w:w="823"/>
              <w:gridCol w:w="1169"/>
              <w:gridCol w:w="726"/>
              <w:gridCol w:w="845"/>
            </w:tblGrid>
            <w:tr w14:paraId="5E82B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2" w:hRule="atLeast"/>
              </w:trPr>
              <w:tc>
                <w:tcPr>
                  <w:tcW w:w="715" w:type="pct"/>
                  <w:vMerge w:val="restart"/>
                  <w:noWrap w:val="0"/>
                  <w:vAlign w:val="center"/>
                </w:tcPr>
                <w:p w14:paraId="7CF30B21">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装置</w:t>
                  </w:r>
                </w:p>
              </w:tc>
              <w:tc>
                <w:tcPr>
                  <w:tcW w:w="582" w:type="pct"/>
                  <w:vMerge w:val="restart"/>
                  <w:noWrap w:val="0"/>
                  <w:vAlign w:val="center"/>
                </w:tcPr>
                <w:p w14:paraId="320D623D">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污染源</w:t>
                  </w:r>
                </w:p>
              </w:tc>
              <w:tc>
                <w:tcPr>
                  <w:tcW w:w="423" w:type="pct"/>
                  <w:vMerge w:val="restart"/>
                  <w:noWrap w:val="0"/>
                  <w:vAlign w:val="center"/>
                </w:tcPr>
                <w:p w14:paraId="48C67320">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污染物</w:t>
                  </w:r>
                </w:p>
              </w:tc>
              <w:tc>
                <w:tcPr>
                  <w:tcW w:w="518" w:type="pct"/>
                  <w:vMerge w:val="restart"/>
                  <w:noWrap w:val="0"/>
                  <w:vAlign w:val="center"/>
                </w:tcPr>
                <w:p w14:paraId="3F76FE48">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风机</w:t>
                  </w:r>
                </w:p>
                <w:p w14:paraId="3F290080">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风量</w:t>
                  </w:r>
                </w:p>
                <w:p w14:paraId="284A4FA9">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eastAsia" w:ascii="Times New Roman" w:hAnsi="Times New Roman" w:cs="Times New Roman"/>
                      <w:b w:val="0"/>
                      <w:bCs w:val="0"/>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m</w:t>
                  </w:r>
                  <w:r>
                    <w:rPr>
                      <w:rFonts w:hint="default" w:ascii="Times New Roman" w:hAnsi="Times New Roman" w:eastAsia="宋体" w:cs="Times New Roman"/>
                      <w:b w:val="0"/>
                      <w:bCs w:val="0"/>
                      <w:color w:val="000000" w:themeColor="text1"/>
                      <w:sz w:val="21"/>
                      <w:szCs w:val="21"/>
                      <w:highlight w:val="none"/>
                      <w:vertAlign w:val="superscript"/>
                      <w:lang w:eastAsia="zh-CN"/>
                      <w14:textFill>
                        <w14:solidFill>
                          <w14:schemeClr w14:val="tx1"/>
                        </w14:solidFill>
                      </w14:textFill>
                    </w:rPr>
                    <w:t>3</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/h</w:t>
                  </w:r>
                  <w:r>
                    <w:rPr>
                      <w:rFonts w:hint="eastAsia" w:ascii="Times New Roman" w:hAnsi="Times New Roman" w:cs="Times New Roman"/>
                      <w:b w:val="0"/>
                      <w:bCs w:val="0"/>
                      <w:color w:val="000000" w:themeColor="text1"/>
                      <w:sz w:val="21"/>
                      <w:szCs w:val="21"/>
                      <w:highlight w:val="none"/>
                      <w:lang w:eastAsia="zh-CN"/>
                      <w14:textFill>
                        <w14:solidFill>
                          <w14:schemeClr w14:val="tx1"/>
                        </w14:solidFill>
                      </w14:textFill>
                    </w:rPr>
                    <w:t>)</w:t>
                  </w:r>
                </w:p>
              </w:tc>
              <w:tc>
                <w:tcPr>
                  <w:tcW w:w="518" w:type="pct"/>
                  <w:vMerge w:val="restart"/>
                  <w:noWrap w:val="0"/>
                  <w:vAlign w:val="center"/>
                </w:tcPr>
                <w:p w14:paraId="4B678903">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污染物</w:t>
                  </w:r>
                </w:p>
                <w:p w14:paraId="2052BCDB">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产生</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量</w:t>
                  </w:r>
                </w:p>
                <w:p w14:paraId="63382981">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eastAsia" w:ascii="Times New Roman" w:hAnsi="Times New Roman" w:cs="Times New Roman"/>
                      <w:b w:val="0"/>
                      <w:bCs w:val="0"/>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t</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a</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w:t>
                  </w:r>
                </w:p>
              </w:tc>
              <w:tc>
                <w:tcPr>
                  <w:tcW w:w="517" w:type="pct"/>
                  <w:vMerge w:val="restart"/>
                  <w:noWrap w:val="0"/>
                  <w:vAlign w:val="center"/>
                </w:tcPr>
                <w:p w14:paraId="4B970F83">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处理</w:t>
                  </w:r>
                </w:p>
                <w:p w14:paraId="280D2E6F">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效率</w:t>
                  </w:r>
                </w:p>
                <w:p w14:paraId="3A30F4A0">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w:t>
                  </w:r>
                </w:p>
              </w:tc>
              <w:tc>
                <w:tcPr>
                  <w:tcW w:w="1193" w:type="pct"/>
                  <w:gridSpan w:val="2"/>
                  <w:noWrap w:val="0"/>
                  <w:vAlign w:val="center"/>
                </w:tcPr>
                <w:p w14:paraId="7FE0A49F">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污染物排放</w:t>
                  </w:r>
                </w:p>
              </w:tc>
              <w:tc>
                <w:tcPr>
                  <w:tcW w:w="532" w:type="pct"/>
                  <w:vMerge w:val="restart"/>
                  <w:noWrap w:val="0"/>
                  <w:vAlign w:val="center"/>
                </w:tcPr>
                <w:p w14:paraId="37A4AED9">
                  <w:pPr>
                    <w:pStyle w:val="85"/>
                    <w:kinsoku w:val="0"/>
                    <w:overflowPunct w:val="0"/>
                    <w:snapToGrid w:val="0"/>
                    <w:jc w:val="cente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排气</w:t>
                  </w:r>
                  <w:r>
                    <w:rPr>
                      <w:rFonts w:hint="eastAsia" w:cs="Times New Roman"/>
                      <w:color w:val="000000" w:themeColor="text1"/>
                      <w:sz w:val="24"/>
                      <w:szCs w:val="24"/>
                      <w:highlight w:val="none"/>
                      <w:lang w:val="en-US" w:eastAsia="zh-CN"/>
                      <w14:textFill>
                        <w14:solidFill>
                          <w14:schemeClr w14:val="tx1"/>
                        </w14:solidFill>
                      </w14:textFill>
                    </w:rPr>
                    <w:t>口</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高度</w:t>
                  </w:r>
                </w:p>
                <w:p w14:paraId="1AB7014F">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(m)</w:t>
                  </w:r>
                </w:p>
              </w:tc>
            </w:tr>
            <w:tr w14:paraId="602EB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19" w:hRule="atLeast"/>
              </w:trPr>
              <w:tc>
                <w:tcPr>
                  <w:tcW w:w="715" w:type="pct"/>
                  <w:vMerge w:val="continue"/>
                  <w:noWrap w:val="0"/>
                  <w:vAlign w:val="center"/>
                </w:tcPr>
                <w:p w14:paraId="2C5C9EB7">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582" w:type="pct"/>
                  <w:vMerge w:val="continue"/>
                  <w:noWrap w:val="0"/>
                  <w:vAlign w:val="center"/>
                </w:tcPr>
                <w:p w14:paraId="73D2D614">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423" w:type="pct"/>
                  <w:vMerge w:val="continue"/>
                  <w:noWrap w:val="0"/>
                  <w:vAlign w:val="center"/>
                </w:tcPr>
                <w:p w14:paraId="304DA397">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518" w:type="pct"/>
                  <w:vMerge w:val="continue"/>
                  <w:noWrap w:val="0"/>
                  <w:vAlign w:val="center"/>
                </w:tcPr>
                <w:p w14:paraId="69527A19">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518" w:type="pct"/>
                  <w:vMerge w:val="continue"/>
                  <w:noWrap w:val="0"/>
                  <w:vAlign w:val="center"/>
                </w:tcPr>
                <w:p w14:paraId="06E5E5DE">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517" w:type="pct"/>
                  <w:vMerge w:val="continue"/>
                  <w:noWrap w:val="0"/>
                  <w:vAlign w:val="center"/>
                </w:tcPr>
                <w:p w14:paraId="658CA34B">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736" w:type="pct"/>
                  <w:noWrap w:val="0"/>
                  <w:vAlign w:val="center"/>
                </w:tcPr>
                <w:p w14:paraId="7AE62DE3">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排放浓度</w:t>
                  </w:r>
                </w:p>
                <w:p w14:paraId="63319631">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eastAsia" w:ascii="Times New Roman" w:hAnsi="Times New Roman" w:cs="Times New Roman"/>
                      <w:b w:val="0"/>
                      <w:bCs w:val="0"/>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mg/</w:t>
                  </w: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m</w:t>
                  </w:r>
                  <w:r>
                    <w:rPr>
                      <w:rFonts w:hint="default" w:ascii="Times New Roman" w:hAnsi="Times New Roman" w:eastAsia="宋体" w:cs="Times New Roman"/>
                      <w:b w:val="0"/>
                      <w:bCs w:val="0"/>
                      <w:color w:val="000000" w:themeColor="text1"/>
                      <w:sz w:val="21"/>
                      <w:szCs w:val="21"/>
                      <w:highlight w:val="none"/>
                      <w:vertAlign w:val="superscript"/>
                      <w:lang w:eastAsia="zh-CN"/>
                      <w14:textFill>
                        <w14:solidFill>
                          <w14:schemeClr w14:val="tx1"/>
                        </w14:solidFill>
                      </w14:textFill>
                    </w:rPr>
                    <w:t>3</w:t>
                  </w:r>
                  <w:r>
                    <w:rPr>
                      <w:rFonts w:hint="eastAsia" w:ascii="Times New Roman" w:hAnsi="Times New Roman" w:cs="Times New Roman"/>
                      <w:b w:val="0"/>
                      <w:bCs w:val="0"/>
                      <w:color w:val="000000" w:themeColor="text1"/>
                      <w:sz w:val="21"/>
                      <w:szCs w:val="21"/>
                      <w:highlight w:val="none"/>
                      <w:vertAlign w:val="baseline"/>
                      <w:lang w:eastAsia="zh-CN"/>
                      <w14:textFill>
                        <w14:solidFill>
                          <w14:schemeClr w14:val="tx1"/>
                        </w14:solidFill>
                      </w14:textFill>
                    </w:rPr>
                    <w:t>)</w:t>
                  </w:r>
                </w:p>
              </w:tc>
              <w:tc>
                <w:tcPr>
                  <w:tcW w:w="457" w:type="pct"/>
                  <w:noWrap w:val="0"/>
                  <w:vAlign w:val="center"/>
                </w:tcPr>
                <w:p w14:paraId="11F5424D">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排放量</w:t>
                  </w:r>
                </w:p>
                <w:p w14:paraId="103E62E8">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eastAsia" w:ascii="Times New Roman" w:hAnsi="Times New Roman" w:cs="Times New Roman"/>
                      <w:b w:val="0"/>
                      <w:bCs w:val="0"/>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t</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a</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w:t>
                  </w:r>
                </w:p>
              </w:tc>
              <w:tc>
                <w:tcPr>
                  <w:tcW w:w="532" w:type="pct"/>
                  <w:vMerge w:val="continue"/>
                  <w:noWrap w:val="0"/>
                  <w:vAlign w:val="center"/>
                </w:tcPr>
                <w:p w14:paraId="2346BE4B">
                  <w:pPr>
                    <w:pStyle w:val="85"/>
                    <w:kinsoku w:val="0"/>
                    <w:overflowPunct w:val="0"/>
                    <w:snapToGrid w:val="0"/>
                    <w:jc w:val="center"/>
                    <w:rPr>
                      <w:rFonts w:hint="eastAsia" w:ascii="Times New Roman" w:hAnsi="Times New Roman" w:cs="Times New Roman"/>
                      <w:b w:val="0"/>
                      <w:bCs w:val="0"/>
                      <w:color w:val="000000" w:themeColor="text1"/>
                      <w:sz w:val="21"/>
                      <w:szCs w:val="21"/>
                      <w:highlight w:val="none"/>
                      <w:lang w:eastAsia="zh-CN"/>
                      <w14:textFill>
                        <w14:solidFill>
                          <w14:schemeClr w14:val="tx1"/>
                        </w14:solidFill>
                      </w14:textFill>
                    </w:rPr>
                  </w:pPr>
                </w:p>
              </w:tc>
            </w:tr>
            <w:tr w14:paraId="5E556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8" w:hRule="atLeast"/>
              </w:trPr>
              <w:tc>
                <w:tcPr>
                  <w:tcW w:w="715" w:type="pct"/>
                  <w:noWrap w:val="0"/>
                  <w:vAlign w:val="center"/>
                </w:tcPr>
                <w:p w14:paraId="661E054B">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原料粉</w:t>
                  </w:r>
                </w:p>
                <w:p w14:paraId="379FF13B">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筒仓</w:t>
                  </w:r>
                </w:p>
              </w:tc>
              <w:tc>
                <w:tcPr>
                  <w:tcW w:w="582" w:type="pct"/>
                  <w:noWrap w:val="0"/>
                  <w:vAlign w:val="center"/>
                </w:tcPr>
                <w:p w14:paraId="69A5A1F2">
                  <w:pPr>
                    <w:kinsoku w:val="0"/>
                    <w:overflowPunct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DA001</w:t>
                  </w:r>
                </w:p>
              </w:tc>
              <w:tc>
                <w:tcPr>
                  <w:tcW w:w="423" w:type="pct"/>
                  <w:vMerge w:val="restart"/>
                  <w:noWrap w:val="0"/>
                  <w:vAlign w:val="center"/>
                </w:tcPr>
                <w:p w14:paraId="13CCADA1">
                  <w:pPr>
                    <w:pStyle w:val="85"/>
                    <w:kinsoku w:val="0"/>
                    <w:overflowPunct w:val="0"/>
                    <w:snapToGrid w:val="0"/>
                    <w:ind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颗</w:t>
                  </w:r>
                </w:p>
                <w:p w14:paraId="6F02D6D7">
                  <w:pPr>
                    <w:pStyle w:val="85"/>
                    <w:kinsoku w:val="0"/>
                    <w:overflowPunct w:val="0"/>
                    <w:snapToGrid w:val="0"/>
                    <w:ind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粒</w:t>
                  </w:r>
                </w:p>
                <w:p w14:paraId="7F9F980C">
                  <w:pPr>
                    <w:pStyle w:val="85"/>
                    <w:kinsoku w:val="0"/>
                    <w:overflowPunct w:val="0"/>
                    <w:snapToGrid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物</w:t>
                  </w:r>
                </w:p>
              </w:tc>
              <w:tc>
                <w:tcPr>
                  <w:tcW w:w="518" w:type="pct"/>
                  <w:noWrap w:val="0"/>
                  <w:vAlign w:val="center"/>
                </w:tcPr>
                <w:p w14:paraId="44DB6EAB">
                  <w:pPr>
                    <w:pStyle w:val="85"/>
                    <w:kinsoku w:val="0"/>
                    <w:overflowPunct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10000</w:t>
                  </w:r>
                </w:p>
              </w:tc>
              <w:tc>
                <w:tcPr>
                  <w:tcW w:w="518" w:type="pct"/>
                  <w:noWrap w:val="0"/>
                  <w:vAlign w:val="center"/>
                </w:tcPr>
                <w:p w14:paraId="2AC813B9">
                  <w:pPr>
                    <w:pStyle w:val="85"/>
                    <w:kinsoku w:val="0"/>
                    <w:overflowPunct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12</w:t>
                  </w:r>
                </w:p>
              </w:tc>
              <w:tc>
                <w:tcPr>
                  <w:tcW w:w="517" w:type="pct"/>
                  <w:noWrap w:val="0"/>
                  <w:vAlign w:val="center"/>
                </w:tcPr>
                <w:p w14:paraId="49EDC614">
                  <w:pPr>
                    <w:pStyle w:val="85"/>
                    <w:kinsoku w:val="0"/>
                    <w:overflowPunct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99</w:t>
                  </w:r>
                </w:p>
              </w:tc>
              <w:tc>
                <w:tcPr>
                  <w:tcW w:w="736" w:type="pct"/>
                  <w:noWrap w:val="0"/>
                  <w:vAlign w:val="center"/>
                </w:tcPr>
                <w:p w14:paraId="463B2BE0">
                  <w:pPr>
                    <w:keepNext w:val="0"/>
                    <w:keepLines w:val="0"/>
                    <w:widowControl/>
                    <w:suppressLineNumbers w:val="0"/>
                    <w:jc w:val="center"/>
                    <w:textAlignment w:val="cente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t>5</w:t>
                  </w:r>
                </w:p>
              </w:tc>
              <w:tc>
                <w:tcPr>
                  <w:tcW w:w="457" w:type="pct"/>
                  <w:noWrap w:val="0"/>
                  <w:vAlign w:val="center"/>
                </w:tcPr>
                <w:p w14:paraId="7B9C2140">
                  <w:pPr>
                    <w:keepNext w:val="0"/>
                    <w:keepLines w:val="0"/>
                    <w:widowControl/>
                    <w:suppressLineNumbers w:val="0"/>
                    <w:jc w:val="center"/>
                    <w:textAlignment w:val="cente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t>0.12</w:t>
                  </w:r>
                </w:p>
              </w:tc>
              <w:tc>
                <w:tcPr>
                  <w:tcW w:w="532" w:type="pct"/>
                  <w:noWrap w:val="0"/>
                  <w:vAlign w:val="center"/>
                </w:tcPr>
                <w:p w14:paraId="222E28A4">
                  <w:pPr>
                    <w:keepNext w:val="0"/>
                    <w:keepLines w:val="0"/>
                    <w:widowControl/>
                    <w:suppressLineNumbers w:val="0"/>
                    <w:jc w:val="center"/>
                    <w:textAlignment w:val="cente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color w:val="000000" w:themeColor="text1"/>
                      <w:kern w:val="0"/>
                      <w:sz w:val="21"/>
                      <w:szCs w:val="21"/>
                      <w:highlight w:val="none"/>
                      <w:u w:val="none"/>
                      <w:lang w:val="en-US" w:eastAsia="zh-CN" w:bidi="ar"/>
                      <w14:textFill>
                        <w14:solidFill>
                          <w14:schemeClr w14:val="tx1"/>
                        </w14:solidFill>
                      </w14:textFill>
                    </w:rPr>
                    <w:t>42</w:t>
                  </w:r>
                </w:p>
              </w:tc>
            </w:tr>
            <w:tr w14:paraId="543F2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5" w:hRule="atLeast"/>
              </w:trPr>
              <w:tc>
                <w:tcPr>
                  <w:tcW w:w="715" w:type="pct"/>
                  <w:noWrap w:val="0"/>
                  <w:vAlign w:val="center"/>
                </w:tcPr>
                <w:p w14:paraId="7E3157DF">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原料粉</w:t>
                  </w:r>
                </w:p>
                <w:p w14:paraId="11ECD08C">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筒仓</w:t>
                  </w:r>
                </w:p>
              </w:tc>
              <w:tc>
                <w:tcPr>
                  <w:tcW w:w="582" w:type="pct"/>
                  <w:noWrap w:val="0"/>
                  <w:vAlign w:val="center"/>
                </w:tcPr>
                <w:p w14:paraId="4FE02820">
                  <w:pPr>
                    <w:kinsoku w:val="0"/>
                    <w:overflowPunct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DA002</w:t>
                  </w:r>
                </w:p>
              </w:tc>
              <w:tc>
                <w:tcPr>
                  <w:tcW w:w="423" w:type="pct"/>
                  <w:vMerge w:val="continue"/>
                  <w:noWrap w:val="0"/>
                  <w:vAlign w:val="center"/>
                </w:tcPr>
                <w:p w14:paraId="040B944E">
                  <w:pPr>
                    <w:pStyle w:val="85"/>
                    <w:kinsoku w:val="0"/>
                    <w:overflowPunct w:val="0"/>
                    <w:snapToGrid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18" w:type="pct"/>
                  <w:noWrap w:val="0"/>
                  <w:vAlign w:val="center"/>
                </w:tcPr>
                <w:p w14:paraId="5E19DA73">
                  <w:pPr>
                    <w:pStyle w:val="85"/>
                    <w:kinsoku w:val="0"/>
                    <w:overflowPunct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10000</w:t>
                  </w:r>
                </w:p>
              </w:tc>
              <w:tc>
                <w:tcPr>
                  <w:tcW w:w="518" w:type="pct"/>
                  <w:noWrap w:val="0"/>
                  <w:vAlign w:val="center"/>
                </w:tcPr>
                <w:p w14:paraId="6D120208">
                  <w:pPr>
                    <w:pStyle w:val="85"/>
                    <w:kinsoku w:val="0"/>
                    <w:overflowPunct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12</w:t>
                  </w:r>
                </w:p>
              </w:tc>
              <w:tc>
                <w:tcPr>
                  <w:tcW w:w="517" w:type="pct"/>
                  <w:noWrap w:val="0"/>
                  <w:vAlign w:val="center"/>
                </w:tcPr>
                <w:p w14:paraId="10C785C5">
                  <w:pPr>
                    <w:pStyle w:val="85"/>
                    <w:kinsoku w:val="0"/>
                    <w:overflowPunct w:val="0"/>
                    <w:snapToGrid w:val="0"/>
                    <w:jc w:val="cente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99</w:t>
                  </w:r>
                </w:p>
              </w:tc>
              <w:tc>
                <w:tcPr>
                  <w:tcW w:w="736" w:type="pct"/>
                  <w:noWrap w:val="0"/>
                  <w:vAlign w:val="center"/>
                </w:tcPr>
                <w:p w14:paraId="5B409FF2">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5</w:t>
                  </w:r>
                </w:p>
              </w:tc>
              <w:tc>
                <w:tcPr>
                  <w:tcW w:w="457" w:type="pct"/>
                  <w:noWrap w:val="0"/>
                  <w:vAlign w:val="center"/>
                </w:tcPr>
                <w:p w14:paraId="28BD5A44">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0.12</w:t>
                  </w:r>
                </w:p>
              </w:tc>
              <w:tc>
                <w:tcPr>
                  <w:tcW w:w="532" w:type="pct"/>
                  <w:noWrap w:val="0"/>
                  <w:vAlign w:val="center"/>
                </w:tcPr>
                <w:p w14:paraId="4CA34215">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42</w:t>
                  </w:r>
                </w:p>
              </w:tc>
            </w:tr>
            <w:tr w14:paraId="262EE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5" w:hRule="atLeast"/>
              </w:trPr>
              <w:tc>
                <w:tcPr>
                  <w:tcW w:w="3274" w:type="pct"/>
                  <w:gridSpan w:val="6"/>
                  <w:noWrap w:val="0"/>
                  <w:vAlign w:val="center"/>
                </w:tcPr>
                <w:p w14:paraId="7A812C03">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排放</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限值</w:t>
                  </w:r>
                </w:p>
              </w:tc>
              <w:tc>
                <w:tcPr>
                  <w:tcW w:w="736" w:type="pct"/>
                  <w:noWrap w:val="0"/>
                  <w:vAlign w:val="center"/>
                </w:tcPr>
                <w:p w14:paraId="76CD4248">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20</w:t>
                  </w:r>
                </w:p>
              </w:tc>
              <w:tc>
                <w:tcPr>
                  <w:tcW w:w="457" w:type="pct"/>
                  <w:noWrap w:val="0"/>
                  <w:vAlign w:val="center"/>
                </w:tcPr>
                <w:p w14:paraId="4A8C601A">
                  <w:pPr>
                    <w:pStyle w:val="85"/>
                    <w:kinsoku w:val="0"/>
                    <w:overflowPunct w:val="0"/>
                    <w:snapToGrid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532" w:type="pct"/>
                  <w:noWrap w:val="0"/>
                  <w:vAlign w:val="center"/>
                </w:tcPr>
                <w:p w14:paraId="01A89FAA">
                  <w:pPr>
                    <w:pStyle w:val="85"/>
                    <w:kinsoku w:val="0"/>
                    <w:overflowPunct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p>
              </w:tc>
            </w:tr>
            <w:tr w14:paraId="08716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5" w:hRule="atLeast"/>
              </w:trPr>
              <w:tc>
                <w:tcPr>
                  <w:tcW w:w="3274" w:type="pct"/>
                  <w:gridSpan w:val="6"/>
                  <w:noWrap w:val="0"/>
                  <w:vAlign w:val="center"/>
                </w:tcPr>
                <w:p w14:paraId="22EBB5BF">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达标情况</w:t>
                  </w:r>
                </w:p>
              </w:tc>
              <w:tc>
                <w:tcPr>
                  <w:tcW w:w="736" w:type="pct"/>
                  <w:noWrap w:val="0"/>
                  <w:vAlign w:val="center"/>
                </w:tcPr>
                <w:p w14:paraId="729F5F12">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达标</w:t>
                  </w:r>
                </w:p>
              </w:tc>
              <w:tc>
                <w:tcPr>
                  <w:tcW w:w="457" w:type="pct"/>
                  <w:noWrap w:val="0"/>
                  <w:vAlign w:val="center"/>
                </w:tcPr>
                <w:p w14:paraId="31EB425C">
                  <w:pPr>
                    <w:pStyle w:val="85"/>
                    <w:kinsoku w:val="0"/>
                    <w:overflowPunct w:val="0"/>
                    <w:snapToGrid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p>
              </w:tc>
              <w:tc>
                <w:tcPr>
                  <w:tcW w:w="532" w:type="pct"/>
                  <w:noWrap w:val="0"/>
                  <w:vAlign w:val="center"/>
                </w:tcPr>
                <w:p w14:paraId="6983E961">
                  <w:pPr>
                    <w:pStyle w:val="85"/>
                    <w:kinsoku w:val="0"/>
                    <w:overflowPunct w:val="0"/>
                    <w:snapToGrid w:val="0"/>
                    <w:jc w:val="cente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p>
              </w:tc>
            </w:tr>
          </w:tbl>
          <w:p w14:paraId="674A3BF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2）转运粉尘</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（G1-3）</w:t>
            </w:r>
          </w:p>
          <w:p w14:paraId="2E4AA4A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highlight w:val="none"/>
                <w:vertAlign w:val="baseline"/>
                <w:lang w:val="en-US" w:eastAsia="zh-CN"/>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原料粉</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转运封闭仓至悬浮炉前预热旋风器物流入口，</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粉尘参照《3021、3022、3029水泥制品制造行业系数手册（含3022砼结构构件、3029其他水泥类似制品制造）行业》中混凝土制品的物料输送储存源强产污系数为0.12kg/t-产品，本项目输送皮带封闭处理，合计颗粒物产生量24t/a。粉尘配置1台袋式除尘器，除尘器风量为10000Nm</w:t>
            </w:r>
            <w:r>
              <w:rPr>
                <w:rFonts w:hint="default" w:ascii="Times New Roman" w:hAnsi="Times New Roman" w:eastAsia="宋体" w:cs="Times New Roman"/>
                <w:color w:val="000000" w:themeColor="text1"/>
                <w:sz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/h，</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布袋材质为玻璃纤维布袋，</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除尘效率为99%，年运行时间为</w:t>
            </w:r>
            <w:r>
              <w:rPr>
                <w:rFonts w:hint="default" w:ascii="Times New Roman" w:hAnsi="Times New Roman" w:cs="Times New Roman"/>
                <w:color w:val="000000" w:themeColor="text1"/>
                <w:sz w:val="24"/>
                <w:highlight w:val="none"/>
                <w:lang w:val="en-US" w:eastAsia="zh-CN"/>
                <w14:textFill>
                  <w14:solidFill>
                    <w14:schemeClr w14:val="tx1"/>
                  </w14:solidFill>
                </w14:textFill>
              </w:rPr>
              <w:t>72</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00h</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，则污染物排放量0</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.24</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t/a，排放浓度为</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24</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mg/m</w:t>
            </w:r>
            <w:r>
              <w:rPr>
                <w:rFonts w:hint="default" w:ascii="Times New Roman" w:hAnsi="Times New Roman" w:eastAsia="宋体" w:cs="Times New Roman"/>
                <w:color w:val="000000" w:themeColor="text1"/>
                <w:sz w:val="24"/>
                <w:szCs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highlight w:val="none"/>
                <w:vertAlign w:val="baseline"/>
                <w:lang w:val="en-US" w:eastAsia="zh-CN"/>
                <w14:textFill>
                  <w14:solidFill>
                    <w14:schemeClr w14:val="tx1"/>
                  </w14:solidFill>
                </w14:textFill>
              </w:rPr>
              <w:t>。</w:t>
            </w:r>
          </w:p>
          <w:p w14:paraId="43586FCA">
            <w:pPr>
              <w:keepNext w:val="0"/>
              <w:keepLines w:val="0"/>
              <w:pageBreakBefore w:val="0"/>
              <w:widowControl w:val="0"/>
              <w:kinsoku/>
              <w:wordWrap/>
              <w:overflowPunct/>
              <w:topLinePunct w:val="0"/>
              <w:autoSpaceDE/>
              <w:autoSpaceDN/>
              <w:bidi w:val="0"/>
              <w:adjustRightInd/>
              <w:snapToGrid w:val="0"/>
              <w:spacing w:line="240" w:lineRule="auto"/>
              <w:ind w:firstLine="482" w:firstLineChars="200"/>
              <w:jc w:val="center"/>
              <w:textAlignment w:val="auto"/>
              <w:rPr>
                <w:rFonts w:hint="default" w:ascii="Times New Roman" w:hAnsi="Times New Roman" w:eastAsia="宋体" w:cs="Times New Roman"/>
                <w:b/>
                <w:bCs/>
                <w:color w:val="000000" w:themeColor="text1"/>
                <w:kern w:val="2"/>
                <w:sz w:val="24"/>
                <w:szCs w:val="24"/>
                <w:highlight w:val="none"/>
                <w14:textFill>
                  <w14:solidFill>
                    <w14:schemeClr w14:val="tx1"/>
                  </w14:solidFill>
                </w14:textFill>
              </w:rPr>
            </w:pPr>
          </w:p>
          <w:p w14:paraId="18174566">
            <w:pPr>
              <w:keepNext w:val="0"/>
              <w:keepLines w:val="0"/>
              <w:pageBreakBefore w:val="0"/>
              <w:widowControl w:val="0"/>
              <w:kinsoku/>
              <w:wordWrap/>
              <w:overflowPunct/>
              <w:topLinePunct w:val="0"/>
              <w:autoSpaceDE/>
              <w:autoSpaceDN/>
              <w:bidi w:val="0"/>
              <w:adjustRightInd/>
              <w:snapToGrid w:val="0"/>
              <w:spacing w:line="240" w:lineRule="auto"/>
              <w:ind w:firstLine="482" w:firstLineChars="200"/>
              <w:jc w:val="center"/>
              <w:textAlignment w:val="auto"/>
              <w:rPr>
                <w:rFonts w:hint="default" w:ascii="Times New Roman" w:hAnsi="Times New Roman" w:eastAsia="宋体" w:cs="Times New Roman"/>
                <w:b/>
                <w:bCs/>
                <w:color w:val="000000" w:themeColor="text1"/>
                <w:kern w:val="2"/>
                <w:sz w:val="24"/>
                <w:szCs w:val="24"/>
                <w:highlight w:val="none"/>
                <w14:textFill>
                  <w14:solidFill>
                    <w14:schemeClr w14:val="tx1"/>
                  </w14:solidFill>
                </w14:textFill>
              </w:rPr>
            </w:pPr>
          </w:p>
          <w:p w14:paraId="4971D338">
            <w:pPr>
              <w:keepNext w:val="0"/>
              <w:keepLines w:val="0"/>
              <w:pageBreakBefore w:val="0"/>
              <w:widowControl w:val="0"/>
              <w:kinsoku/>
              <w:wordWrap/>
              <w:overflowPunct/>
              <w:topLinePunct w:val="0"/>
              <w:autoSpaceDE/>
              <w:autoSpaceDN/>
              <w:bidi w:val="0"/>
              <w:adjustRightInd/>
              <w:snapToGrid w:val="0"/>
              <w:spacing w:line="240" w:lineRule="auto"/>
              <w:ind w:firstLine="482" w:firstLineChars="200"/>
              <w:jc w:val="center"/>
              <w:textAlignment w:val="auto"/>
              <w:rPr>
                <w:rFonts w:hint="default" w:ascii="Times New Roman" w:hAnsi="Times New Roman" w:eastAsia="仿宋" w:cs="Times New Roman"/>
                <w:color w:val="000000" w:themeColor="text1"/>
                <w:sz w:val="24"/>
                <w:highlight w:val="none"/>
                <w14:textFill>
                  <w14:solidFill>
                    <w14:schemeClr w14:val="tx1"/>
                  </w14:solidFill>
                </w14:textFill>
              </w:rPr>
            </w:pPr>
            <w:r>
              <w:rPr>
                <w:rFonts w:hint="default" w:ascii="Times New Roman" w:hAnsi="Times New Roman" w:eastAsia="宋体" w:cs="Times New Roman"/>
                <w:b/>
                <w:bCs/>
                <w:color w:val="000000" w:themeColor="text1"/>
                <w:kern w:val="2"/>
                <w:sz w:val="24"/>
                <w:szCs w:val="24"/>
                <w:highlight w:val="none"/>
                <w14:textFill>
                  <w14:solidFill>
                    <w14:schemeClr w14:val="tx1"/>
                  </w14:solidFill>
                </w14:textFill>
              </w:rPr>
              <w:t>表</w:t>
            </w:r>
            <w:r>
              <w:rPr>
                <w:rFonts w:hint="default" w:ascii="Times New Roman" w:hAnsi="Times New Roman" w:eastAsia="宋体" w:cs="Times New Roman"/>
                <w:b/>
                <w:bCs/>
                <w:color w:val="000000" w:themeColor="text1"/>
                <w:kern w:val="2"/>
                <w:sz w:val="24"/>
                <w:szCs w:val="24"/>
                <w:highlight w:val="none"/>
                <w:lang w:val="en-US" w:eastAsia="zh-CN"/>
                <w14:textFill>
                  <w14:solidFill>
                    <w14:schemeClr w14:val="tx1"/>
                  </w14:solidFill>
                </w14:textFill>
              </w:rPr>
              <w:t>4-2</w:t>
            </w:r>
            <w:r>
              <w:rPr>
                <w:rFonts w:hint="default" w:ascii="Times New Roman" w:hAnsi="Times New Roman" w:cs="Times New Roman"/>
                <w:b/>
                <w:bCs/>
                <w:color w:val="000000" w:themeColor="text1"/>
                <w:kern w:val="2"/>
                <w:sz w:val="24"/>
                <w:szCs w:val="24"/>
                <w:highlight w:val="none"/>
                <w:lang w:val="en-US" w:eastAsia="zh-CN"/>
                <w14:textFill>
                  <w14:solidFill>
                    <w14:schemeClr w14:val="tx1"/>
                  </w14:solidFill>
                </w14:textFill>
              </w:rPr>
              <w:t>转运</w:t>
            </w:r>
            <w:r>
              <w:rPr>
                <w:rFonts w:hint="default" w:ascii="Times New Roman" w:hAnsi="Times New Roman" w:cs="Times New Roman"/>
                <w:b/>
                <w:bCs/>
                <w:color w:val="000000" w:themeColor="text1"/>
                <w:kern w:val="2"/>
                <w:sz w:val="24"/>
                <w:szCs w:val="24"/>
                <w:highlight w:val="none"/>
                <w14:textFill>
                  <w14:solidFill>
                    <w14:schemeClr w14:val="tx1"/>
                  </w14:solidFill>
                </w14:textFill>
              </w:rPr>
              <w:t>粉尘产排情况一览表</w:t>
            </w:r>
          </w:p>
          <w:tbl>
            <w:tblPr>
              <w:tblStyle w:val="24"/>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628"/>
              <w:gridCol w:w="903"/>
              <w:gridCol w:w="747"/>
              <w:gridCol w:w="985"/>
              <w:gridCol w:w="1007"/>
              <w:gridCol w:w="804"/>
              <w:gridCol w:w="1158"/>
              <w:gridCol w:w="723"/>
              <w:gridCol w:w="985"/>
            </w:tblGrid>
            <w:tr w14:paraId="17D9B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2" w:hRule="atLeast"/>
              </w:trPr>
              <w:tc>
                <w:tcPr>
                  <w:tcW w:w="396" w:type="pct"/>
                  <w:vMerge w:val="restart"/>
                  <w:noWrap w:val="0"/>
                  <w:vAlign w:val="center"/>
                </w:tcPr>
                <w:p w14:paraId="4F1C77C1">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装置</w:t>
                  </w:r>
                </w:p>
              </w:tc>
              <w:tc>
                <w:tcPr>
                  <w:tcW w:w="569" w:type="pct"/>
                  <w:vMerge w:val="restart"/>
                  <w:noWrap w:val="0"/>
                  <w:vAlign w:val="center"/>
                </w:tcPr>
                <w:p w14:paraId="744B8E9A">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污染源</w:t>
                  </w:r>
                </w:p>
              </w:tc>
              <w:tc>
                <w:tcPr>
                  <w:tcW w:w="470" w:type="pct"/>
                  <w:vMerge w:val="restart"/>
                  <w:noWrap w:val="0"/>
                  <w:vAlign w:val="center"/>
                </w:tcPr>
                <w:p w14:paraId="14C388E5">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污染物</w:t>
                  </w:r>
                </w:p>
              </w:tc>
              <w:tc>
                <w:tcPr>
                  <w:tcW w:w="620" w:type="pct"/>
                  <w:vMerge w:val="restart"/>
                  <w:noWrap w:val="0"/>
                  <w:vAlign w:val="center"/>
                </w:tcPr>
                <w:p w14:paraId="78CD5F59">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风机</w:t>
                  </w:r>
                </w:p>
                <w:p w14:paraId="324D624F">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风量</w:t>
                  </w:r>
                </w:p>
                <w:p w14:paraId="59988F81">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eastAsia" w:ascii="Times New Roman" w:hAnsi="Times New Roman" w:cs="Times New Roman"/>
                      <w:b w:val="0"/>
                      <w:bCs w:val="0"/>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m</w:t>
                  </w:r>
                  <w:r>
                    <w:rPr>
                      <w:rFonts w:hint="default" w:ascii="Times New Roman" w:hAnsi="Times New Roman" w:eastAsia="宋体" w:cs="Times New Roman"/>
                      <w:b w:val="0"/>
                      <w:bCs w:val="0"/>
                      <w:color w:val="000000" w:themeColor="text1"/>
                      <w:sz w:val="21"/>
                      <w:szCs w:val="21"/>
                      <w:highlight w:val="none"/>
                      <w:vertAlign w:val="superscript"/>
                      <w:lang w:eastAsia="zh-CN"/>
                      <w14:textFill>
                        <w14:solidFill>
                          <w14:schemeClr w14:val="tx1"/>
                        </w14:solidFill>
                      </w14:textFill>
                    </w:rPr>
                    <w:t>3</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/h</w:t>
                  </w:r>
                  <w:r>
                    <w:rPr>
                      <w:rFonts w:hint="eastAsia" w:ascii="Times New Roman" w:hAnsi="Times New Roman" w:cs="Times New Roman"/>
                      <w:b w:val="0"/>
                      <w:bCs w:val="0"/>
                      <w:color w:val="000000" w:themeColor="text1"/>
                      <w:sz w:val="21"/>
                      <w:szCs w:val="21"/>
                      <w:highlight w:val="none"/>
                      <w:lang w:eastAsia="zh-CN"/>
                      <w14:textFill>
                        <w14:solidFill>
                          <w14:schemeClr w14:val="tx1"/>
                        </w14:solidFill>
                      </w14:textFill>
                    </w:rPr>
                    <w:t>)</w:t>
                  </w:r>
                </w:p>
              </w:tc>
              <w:tc>
                <w:tcPr>
                  <w:tcW w:w="634" w:type="pct"/>
                  <w:vMerge w:val="restart"/>
                  <w:noWrap w:val="0"/>
                  <w:vAlign w:val="center"/>
                </w:tcPr>
                <w:p w14:paraId="34FB911A">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污染物</w:t>
                  </w:r>
                </w:p>
                <w:p w14:paraId="5FA46E30">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产生</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量</w:t>
                  </w:r>
                </w:p>
                <w:p w14:paraId="5A1E938C">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eastAsia" w:ascii="Times New Roman" w:hAnsi="Times New Roman" w:cs="Times New Roman"/>
                      <w:b w:val="0"/>
                      <w:bCs w:val="0"/>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t</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a</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w:t>
                  </w:r>
                </w:p>
              </w:tc>
              <w:tc>
                <w:tcPr>
                  <w:tcW w:w="505" w:type="pct"/>
                  <w:vMerge w:val="restart"/>
                  <w:noWrap w:val="0"/>
                  <w:vAlign w:val="center"/>
                </w:tcPr>
                <w:p w14:paraId="3033182D">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处理</w:t>
                  </w:r>
                </w:p>
                <w:p w14:paraId="4D50C762">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效率</w:t>
                  </w:r>
                </w:p>
                <w:p w14:paraId="1EC8FF8C">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w:t>
                  </w:r>
                </w:p>
              </w:tc>
              <w:tc>
                <w:tcPr>
                  <w:tcW w:w="1184" w:type="pct"/>
                  <w:gridSpan w:val="2"/>
                  <w:noWrap w:val="0"/>
                  <w:vAlign w:val="center"/>
                </w:tcPr>
                <w:p w14:paraId="6DD229B2">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污染物排放</w:t>
                  </w:r>
                </w:p>
              </w:tc>
              <w:tc>
                <w:tcPr>
                  <w:tcW w:w="620" w:type="pct"/>
                  <w:vMerge w:val="restart"/>
                  <w:noWrap w:val="0"/>
                  <w:vAlign w:val="center"/>
                </w:tcPr>
                <w:p w14:paraId="1A0EADCC">
                  <w:pPr>
                    <w:pStyle w:val="85"/>
                    <w:kinsoku w:val="0"/>
                    <w:overflowPunct w:val="0"/>
                    <w:snapToGrid w:val="0"/>
                    <w:jc w:val="cente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排气</w:t>
                  </w:r>
                  <w:r>
                    <w:rPr>
                      <w:rFonts w:hint="eastAsia" w:cs="Times New Roman"/>
                      <w:color w:val="000000" w:themeColor="text1"/>
                      <w:sz w:val="24"/>
                      <w:szCs w:val="24"/>
                      <w:highlight w:val="none"/>
                      <w:lang w:val="en-US" w:eastAsia="zh-CN"/>
                      <w14:textFill>
                        <w14:solidFill>
                          <w14:schemeClr w14:val="tx1"/>
                        </w14:solidFill>
                      </w14:textFill>
                    </w:rPr>
                    <w:t>口</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高度（m）</w:t>
                  </w:r>
                </w:p>
              </w:tc>
            </w:tr>
            <w:tr w14:paraId="01459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19" w:hRule="atLeast"/>
              </w:trPr>
              <w:tc>
                <w:tcPr>
                  <w:tcW w:w="396" w:type="pct"/>
                  <w:vMerge w:val="continue"/>
                  <w:noWrap w:val="0"/>
                  <w:vAlign w:val="center"/>
                </w:tcPr>
                <w:p w14:paraId="28B390E5">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569" w:type="pct"/>
                  <w:vMerge w:val="continue"/>
                  <w:noWrap w:val="0"/>
                  <w:vAlign w:val="center"/>
                </w:tcPr>
                <w:p w14:paraId="07BD2F5B">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470" w:type="pct"/>
                  <w:vMerge w:val="continue"/>
                  <w:noWrap w:val="0"/>
                  <w:vAlign w:val="center"/>
                </w:tcPr>
                <w:p w14:paraId="73BF4195">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620" w:type="pct"/>
                  <w:vMerge w:val="continue"/>
                  <w:noWrap w:val="0"/>
                  <w:vAlign w:val="center"/>
                </w:tcPr>
                <w:p w14:paraId="74B9BE5E">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634" w:type="pct"/>
                  <w:vMerge w:val="continue"/>
                  <w:noWrap w:val="0"/>
                  <w:vAlign w:val="center"/>
                </w:tcPr>
                <w:p w14:paraId="1E8585C4">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505" w:type="pct"/>
                  <w:vMerge w:val="continue"/>
                  <w:noWrap w:val="0"/>
                  <w:vAlign w:val="center"/>
                </w:tcPr>
                <w:p w14:paraId="4B7D1A1B">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729" w:type="pct"/>
                  <w:noWrap w:val="0"/>
                  <w:vAlign w:val="center"/>
                </w:tcPr>
                <w:p w14:paraId="033ABEE8">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排放浓度</w:t>
                  </w:r>
                </w:p>
                <w:p w14:paraId="7C16EBE6">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eastAsia" w:ascii="Times New Roman" w:hAnsi="Times New Roman" w:cs="Times New Roman"/>
                      <w:b w:val="0"/>
                      <w:bCs w:val="0"/>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mg/</w:t>
                  </w: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m</w:t>
                  </w:r>
                  <w:r>
                    <w:rPr>
                      <w:rFonts w:hint="default" w:ascii="Times New Roman" w:hAnsi="Times New Roman" w:eastAsia="宋体" w:cs="Times New Roman"/>
                      <w:b w:val="0"/>
                      <w:bCs w:val="0"/>
                      <w:color w:val="000000" w:themeColor="text1"/>
                      <w:sz w:val="21"/>
                      <w:szCs w:val="21"/>
                      <w:highlight w:val="none"/>
                      <w:vertAlign w:val="superscript"/>
                      <w:lang w:eastAsia="zh-CN"/>
                      <w14:textFill>
                        <w14:solidFill>
                          <w14:schemeClr w14:val="tx1"/>
                        </w14:solidFill>
                      </w14:textFill>
                    </w:rPr>
                    <w:t>3</w:t>
                  </w:r>
                  <w:r>
                    <w:rPr>
                      <w:rFonts w:hint="eastAsia" w:ascii="Times New Roman" w:hAnsi="Times New Roman" w:cs="Times New Roman"/>
                      <w:b w:val="0"/>
                      <w:bCs w:val="0"/>
                      <w:color w:val="000000" w:themeColor="text1"/>
                      <w:sz w:val="21"/>
                      <w:szCs w:val="21"/>
                      <w:highlight w:val="none"/>
                      <w:vertAlign w:val="baseline"/>
                      <w:lang w:eastAsia="zh-CN"/>
                      <w14:textFill>
                        <w14:solidFill>
                          <w14:schemeClr w14:val="tx1"/>
                        </w14:solidFill>
                      </w14:textFill>
                    </w:rPr>
                    <w:t>)</w:t>
                  </w:r>
                </w:p>
              </w:tc>
              <w:tc>
                <w:tcPr>
                  <w:tcW w:w="455" w:type="pct"/>
                  <w:noWrap w:val="0"/>
                  <w:vAlign w:val="center"/>
                </w:tcPr>
                <w:p w14:paraId="000935A2">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排放量</w:t>
                  </w:r>
                </w:p>
                <w:p w14:paraId="188DF863">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eastAsia" w:ascii="Times New Roman" w:hAnsi="Times New Roman" w:cs="Times New Roman"/>
                      <w:b w:val="0"/>
                      <w:bCs w:val="0"/>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t</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a</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w:t>
                  </w:r>
                </w:p>
              </w:tc>
              <w:tc>
                <w:tcPr>
                  <w:tcW w:w="620" w:type="pct"/>
                  <w:vMerge w:val="continue"/>
                  <w:noWrap w:val="0"/>
                  <w:vAlign w:val="center"/>
                </w:tcPr>
                <w:p w14:paraId="383CCB6D">
                  <w:pPr>
                    <w:pStyle w:val="85"/>
                    <w:kinsoku w:val="0"/>
                    <w:overflowPunct w:val="0"/>
                    <w:snapToGrid w:val="0"/>
                    <w:jc w:val="center"/>
                    <w:rPr>
                      <w:rFonts w:hint="eastAsia" w:ascii="Times New Roman" w:hAnsi="Times New Roman" w:cs="Times New Roman"/>
                      <w:b w:val="0"/>
                      <w:bCs w:val="0"/>
                      <w:color w:val="000000" w:themeColor="text1"/>
                      <w:sz w:val="21"/>
                      <w:szCs w:val="21"/>
                      <w:highlight w:val="none"/>
                      <w:lang w:eastAsia="zh-CN"/>
                      <w14:textFill>
                        <w14:solidFill>
                          <w14:schemeClr w14:val="tx1"/>
                        </w14:solidFill>
                      </w14:textFill>
                    </w:rPr>
                  </w:pPr>
                </w:p>
              </w:tc>
            </w:tr>
            <w:tr w14:paraId="2BCFD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8" w:hRule="atLeast"/>
              </w:trPr>
              <w:tc>
                <w:tcPr>
                  <w:tcW w:w="396" w:type="pct"/>
                  <w:noWrap w:val="0"/>
                  <w:vAlign w:val="center"/>
                </w:tcPr>
                <w:p w14:paraId="326F9FBC">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转运</w:t>
                  </w:r>
                </w:p>
                <w:p w14:paraId="4364C6AC">
                  <w:pPr>
                    <w:pStyle w:val="85"/>
                    <w:kinsoku w:val="0"/>
                    <w:overflowPunct w:val="0"/>
                    <w:snapToGrid w:val="0"/>
                    <w:jc w:val="cente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站</w:t>
                  </w:r>
                </w:p>
              </w:tc>
              <w:tc>
                <w:tcPr>
                  <w:tcW w:w="569" w:type="pct"/>
                  <w:noWrap w:val="0"/>
                  <w:vAlign w:val="center"/>
                </w:tcPr>
                <w:p w14:paraId="1EABB976">
                  <w:pPr>
                    <w:kinsoku w:val="0"/>
                    <w:overflowPunct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DA003</w:t>
                  </w:r>
                </w:p>
              </w:tc>
              <w:tc>
                <w:tcPr>
                  <w:tcW w:w="470" w:type="pct"/>
                  <w:noWrap w:val="0"/>
                  <w:vAlign w:val="center"/>
                </w:tcPr>
                <w:p w14:paraId="558FF44D">
                  <w:pPr>
                    <w:pStyle w:val="85"/>
                    <w:kinsoku w:val="0"/>
                    <w:overflowPunct w:val="0"/>
                    <w:snapToGrid w:val="0"/>
                    <w:ind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颗粒物</w:t>
                  </w:r>
                </w:p>
              </w:tc>
              <w:tc>
                <w:tcPr>
                  <w:tcW w:w="620" w:type="pct"/>
                  <w:noWrap w:val="0"/>
                  <w:vAlign w:val="center"/>
                </w:tcPr>
                <w:p w14:paraId="2B95DC39">
                  <w:pPr>
                    <w:pStyle w:val="85"/>
                    <w:kinsoku w:val="0"/>
                    <w:overflowPunct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10000</w:t>
                  </w:r>
                </w:p>
              </w:tc>
              <w:tc>
                <w:tcPr>
                  <w:tcW w:w="634" w:type="pct"/>
                  <w:noWrap w:val="0"/>
                  <w:vAlign w:val="center"/>
                </w:tcPr>
                <w:p w14:paraId="3425DFCE">
                  <w:pPr>
                    <w:pStyle w:val="85"/>
                    <w:kinsoku w:val="0"/>
                    <w:overflowPunct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24</w:t>
                  </w:r>
                </w:p>
              </w:tc>
              <w:tc>
                <w:tcPr>
                  <w:tcW w:w="505" w:type="pct"/>
                  <w:noWrap w:val="0"/>
                  <w:vAlign w:val="center"/>
                </w:tcPr>
                <w:p w14:paraId="42A67BAF">
                  <w:pPr>
                    <w:pStyle w:val="85"/>
                    <w:kinsoku w:val="0"/>
                    <w:overflowPunct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99</w:t>
                  </w:r>
                </w:p>
              </w:tc>
              <w:tc>
                <w:tcPr>
                  <w:tcW w:w="729" w:type="pct"/>
                  <w:noWrap w:val="0"/>
                  <w:vAlign w:val="center"/>
                </w:tcPr>
                <w:p w14:paraId="560B8B76">
                  <w:pPr>
                    <w:keepNext w:val="0"/>
                    <w:keepLines w:val="0"/>
                    <w:widowControl/>
                    <w:suppressLineNumbers w:val="0"/>
                    <w:jc w:val="center"/>
                    <w:textAlignment w:val="cente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cs="Times New Roman"/>
                      <w:i w:val="0"/>
                      <w:color w:val="000000" w:themeColor="text1"/>
                      <w:kern w:val="0"/>
                      <w:sz w:val="21"/>
                      <w:szCs w:val="21"/>
                      <w:highlight w:val="none"/>
                      <w:u w:val="none"/>
                      <w:lang w:val="en-US" w:eastAsia="zh-CN" w:bidi="ar"/>
                      <w14:textFill>
                        <w14:solidFill>
                          <w14:schemeClr w14:val="tx1"/>
                        </w14:solidFill>
                      </w14:textFill>
                    </w:rPr>
                    <w:t>24</w:t>
                  </w:r>
                </w:p>
              </w:tc>
              <w:tc>
                <w:tcPr>
                  <w:tcW w:w="455" w:type="pct"/>
                  <w:noWrap w:val="0"/>
                  <w:vAlign w:val="center"/>
                </w:tcPr>
                <w:p w14:paraId="7C820953">
                  <w:pPr>
                    <w:keepNext w:val="0"/>
                    <w:keepLines w:val="0"/>
                    <w:widowControl/>
                    <w:suppressLineNumbers w:val="0"/>
                    <w:jc w:val="center"/>
                    <w:textAlignment w:val="cente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t>0.</w:t>
                  </w:r>
                  <w:r>
                    <w:rPr>
                      <w:rFonts w:hint="default" w:ascii="Times New Roman" w:hAnsi="Times New Roman" w:cs="Times New Roman"/>
                      <w:i w:val="0"/>
                      <w:color w:val="000000" w:themeColor="text1"/>
                      <w:kern w:val="0"/>
                      <w:sz w:val="21"/>
                      <w:szCs w:val="21"/>
                      <w:highlight w:val="none"/>
                      <w:u w:val="none"/>
                      <w:lang w:val="en-US" w:eastAsia="zh-CN" w:bidi="ar"/>
                      <w14:textFill>
                        <w14:solidFill>
                          <w14:schemeClr w14:val="tx1"/>
                        </w14:solidFill>
                      </w14:textFill>
                    </w:rPr>
                    <w:t>24</w:t>
                  </w:r>
                </w:p>
              </w:tc>
              <w:tc>
                <w:tcPr>
                  <w:tcW w:w="620" w:type="pct"/>
                  <w:noWrap w:val="0"/>
                  <w:vAlign w:val="center"/>
                </w:tcPr>
                <w:p w14:paraId="7392E9A0">
                  <w:pPr>
                    <w:keepNext w:val="0"/>
                    <w:keepLines w:val="0"/>
                    <w:widowControl/>
                    <w:suppressLineNumbers w:val="0"/>
                    <w:jc w:val="center"/>
                    <w:textAlignment w:val="cente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color w:val="000000" w:themeColor="text1"/>
                      <w:kern w:val="0"/>
                      <w:sz w:val="21"/>
                      <w:szCs w:val="21"/>
                      <w:highlight w:val="none"/>
                      <w:u w:val="none"/>
                      <w:lang w:val="en-US" w:eastAsia="zh-CN" w:bidi="ar"/>
                      <w14:textFill>
                        <w14:solidFill>
                          <w14:schemeClr w14:val="tx1"/>
                        </w14:solidFill>
                      </w14:textFill>
                    </w:rPr>
                    <w:t>15</w:t>
                  </w:r>
                </w:p>
              </w:tc>
            </w:tr>
            <w:tr w14:paraId="4C184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5" w:hRule="atLeast"/>
              </w:trPr>
              <w:tc>
                <w:tcPr>
                  <w:tcW w:w="3195" w:type="pct"/>
                  <w:gridSpan w:val="6"/>
                  <w:noWrap w:val="0"/>
                  <w:vAlign w:val="center"/>
                </w:tcPr>
                <w:p w14:paraId="6717B22B">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排放</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限值</w:t>
                  </w:r>
                </w:p>
              </w:tc>
              <w:tc>
                <w:tcPr>
                  <w:tcW w:w="729" w:type="pct"/>
                  <w:noWrap w:val="0"/>
                  <w:vAlign w:val="center"/>
                </w:tcPr>
                <w:p w14:paraId="242C937D">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30</w:t>
                  </w:r>
                </w:p>
              </w:tc>
              <w:tc>
                <w:tcPr>
                  <w:tcW w:w="455" w:type="pct"/>
                  <w:noWrap w:val="0"/>
                  <w:vAlign w:val="center"/>
                </w:tcPr>
                <w:p w14:paraId="51F54754">
                  <w:pPr>
                    <w:pStyle w:val="85"/>
                    <w:kinsoku w:val="0"/>
                    <w:overflowPunct w:val="0"/>
                    <w:snapToGrid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620" w:type="pct"/>
                  <w:noWrap w:val="0"/>
                  <w:vAlign w:val="center"/>
                </w:tcPr>
                <w:p w14:paraId="3A4E26FD">
                  <w:pPr>
                    <w:pStyle w:val="85"/>
                    <w:kinsoku w:val="0"/>
                    <w:overflowPunct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p>
              </w:tc>
            </w:tr>
            <w:tr w14:paraId="0F983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5" w:hRule="atLeast"/>
              </w:trPr>
              <w:tc>
                <w:tcPr>
                  <w:tcW w:w="3195" w:type="pct"/>
                  <w:gridSpan w:val="6"/>
                  <w:noWrap w:val="0"/>
                  <w:vAlign w:val="center"/>
                </w:tcPr>
                <w:p w14:paraId="6913762D">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达标情况</w:t>
                  </w:r>
                </w:p>
              </w:tc>
              <w:tc>
                <w:tcPr>
                  <w:tcW w:w="729" w:type="pct"/>
                  <w:noWrap w:val="0"/>
                  <w:vAlign w:val="center"/>
                </w:tcPr>
                <w:p w14:paraId="2A4E4B9E">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达标</w:t>
                  </w:r>
                </w:p>
              </w:tc>
              <w:tc>
                <w:tcPr>
                  <w:tcW w:w="455" w:type="pct"/>
                  <w:noWrap w:val="0"/>
                  <w:vAlign w:val="center"/>
                </w:tcPr>
                <w:p w14:paraId="01EA6CC3">
                  <w:pPr>
                    <w:pStyle w:val="85"/>
                    <w:kinsoku w:val="0"/>
                    <w:overflowPunct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p>
              </w:tc>
              <w:tc>
                <w:tcPr>
                  <w:tcW w:w="620" w:type="pct"/>
                  <w:noWrap w:val="0"/>
                  <w:vAlign w:val="center"/>
                </w:tcPr>
                <w:p w14:paraId="037CECE1">
                  <w:pPr>
                    <w:pStyle w:val="85"/>
                    <w:kinsoku w:val="0"/>
                    <w:overflowPunct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p>
              </w:tc>
            </w:tr>
          </w:tbl>
          <w:p w14:paraId="5FE66BBC">
            <w:pPr>
              <w:keepNext w:val="0"/>
              <w:keepLines w:val="0"/>
              <w:pageBreakBefore w:val="0"/>
              <w:widowControl w:val="0"/>
              <w:numPr>
                <w:ilvl w:val="0"/>
                <w:numId w:val="4"/>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pPr>
            <w:r>
              <w:rPr>
                <w:rFonts w:hint="eastAsia" w:cs="Times New Roman"/>
                <w:color w:val="000000" w:themeColor="text1"/>
                <w:sz w:val="24"/>
                <w:highlight w:val="none"/>
                <w:lang w:val="en-US" w:eastAsia="zh-CN"/>
                <w14:textFill>
                  <w14:solidFill>
                    <w14:schemeClr w14:val="tx1"/>
                  </w14:solidFill>
                </w14:textFill>
              </w:rPr>
              <w:t>窑尾喂料仓卸料</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粉尘</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（G1-4）</w:t>
            </w:r>
          </w:p>
          <w:p w14:paraId="59D811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窑尾筒仓粉尘参照《3021、3022、3029水泥制品制造行业系数手册（含3022砼结构构件、3029其他水泥类似制品制造）行业》中混凝土制品的物料输送储存源强产污系数为0.12kg/t-产品，本项目输送皮带封闭处理，合计颗粒物产生量24t/a。粉尘配置1台袋式除尘器，除尘器风量为10000Nm</w:t>
            </w:r>
            <w:r>
              <w:rPr>
                <w:rFonts w:hint="default" w:ascii="Times New Roman" w:hAnsi="Times New Roman" w:eastAsia="宋体" w:cs="Times New Roman"/>
                <w:color w:val="000000" w:themeColor="text1"/>
                <w:sz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/h，除尘效率为99%，年运行时间为2400h。</w:t>
            </w:r>
          </w:p>
          <w:p w14:paraId="2782770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1个</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窑</w:t>
            </w:r>
            <w:r>
              <w:rPr>
                <w:rFonts w:hint="default" w:ascii="Times New Roman" w:hAnsi="Times New Roman" w:cs="Times New Roman"/>
                <w:b w:val="0"/>
                <w:bCs w:val="0"/>
                <w:color w:val="000000" w:themeColor="text1"/>
                <w:sz w:val="24"/>
                <w:highlight w:val="none"/>
                <w:lang w:val="en-US" w:eastAsia="zh-CN"/>
                <w14:textFill>
                  <w14:solidFill>
                    <w14:schemeClr w14:val="tx1"/>
                  </w14:solidFill>
                </w14:textFill>
              </w:rPr>
              <w:t>尾</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筒仓粉尘产生量为24t/a，袋式除尘器的除尘效率为99%，则排放量为0.24t/a。</w:t>
            </w:r>
          </w:p>
          <w:p w14:paraId="496E221C">
            <w:pPr>
              <w:keepNext w:val="0"/>
              <w:keepLines w:val="0"/>
              <w:pageBreakBefore w:val="0"/>
              <w:widowControl w:val="0"/>
              <w:kinsoku/>
              <w:wordWrap/>
              <w:overflowPunct/>
              <w:topLinePunct w:val="0"/>
              <w:autoSpaceDE/>
              <w:autoSpaceDN/>
              <w:bidi w:val="0"/>
              <w:adjustRightInd/>
              <w:snapToGrid w:val="0"/>
              <w:spacing w:line="240" w:lineRule="auto"/>
              <w:ind w:firstLine="482" w:firstLineChars="200"/>
              <w:jc w:val="center"/>
              <w:textAlignment w:val="auto"/>
              <w:rPr>
                <w:rFonts w:hint="default" w:ascii="Times New Roman" w:hAnsi="Times New Roman" w:eastAsia="仿宋" w:cs="Times New Roman"/>
                <w:color w:val="000000" w:themeColor="text1"/>
                <w:sz w:val="24"/>
                <w:highlight w:val="none"/>
                <w14:textFill>
                  <w14:solidFill>
                    <w14:schemeClr w14:val="tx1"/>
                  </w14:solidFill>
                </w14:textFill>
              </w:rPr>
            </w:pPr>
            <w:r>
              <w:rPr>
                <w:rFonts w:hint="default" w:ascii="Times New Roman" w:hAnsi="Times New Roman" w:eastAsia="宋体" w:cs="Times New Roman"/>
                <w:b/>
                <w:bCs/>
                <w:color w:val="000000" w:themeColor="text1"/>
                <w:kern w:val="2"/>
                <w:sz w:val="24"/>
                <w:szCs w:val="24"/>
                <w:highlight w:val="none"/>
                <w14:textFill>
                  <w14:solidFill>
                    <w14:schemeClr w14:val="tx1"/>
                  </w14:solidFill>
                </w14:textFill>
              </w:rPr>
              <w:t>表</w:t>
            </w:r>
            <w:r>
              <w:rPr>
                <w:rFonts w:hint="default" w:ascii="Times New Roman" w:hAnsi="Times New Roman" w:eastAsia="宋体" w:cs="Times New Roman"/>
                <w:b/>
                <w:bCs/>
                <w:color w:val="000000" w:themeColor="text1"/>
                <w:kern w:val="2"/>
                <w:sz w:val="24"/>
                <w:szCs w:val="24"/>
                <w:highlight w:val="none"/>
                <w:lang w:val="en-US" w:eastAsia="zh-CN"/>
                <w14:textFill>
                  <w14:solidFill>
                    <w14:schemeClr w14:val="tx1"/>
                  </w14:solidFill>
                </w14:textFill>
              </w:rPr>
              <w:t>4-5</w:t>
            </w:r>
            <w:r>
              <w:rPr>
                <w:rFonts w:hint="default" w:ascii="Times New Roman" w:hAnsi="Times New Roman" w:cs="Times New Roman"/>
                <w:b/>
                <w:bCs/>
                <w:color w:val="000000" w:themeColor="text1"/>
                <w:kern w:val="2"/>
                <w:sz w:val="24"/>
                <w:szCs w:val="24"/>
                <w:highlight w:val="none"/>
                <w:lang w:val="en-US" w:eastAsia="zh-CN"/>
                <w14:textFill>
                  <w14:solidFill>
                    <w14:schemeClr w14:val="tx1"/>
                  </w14:solidFill>
                </w14:textFill>
              </w:rPr>
              <w:t>窑尾仓顶废气</w:t>
            </w:r>
            <w:r>
              <w:rPr>
                <w:rFonts w:hint="default" w:ascii="Times New Roman" w:hAnsi="Times New Roman" w:cs="Times New Roman"/>
                <w:b/>
                <w:bCs/>
                <w:color w:val="000000" w:themeColor="text1"/>
                <w:kern w:val="2"/>
                <w:sz w:val="24"/>
                <w:szCs w:val="24"/>
                <w:highlight w:val="none"/>
                <w14:textFill>
                  <w14:solidFill>
                    <w14:schemeClr w14:val="tx1"/>
                  </w14:solidFill>
                </w14:textFill>
              </w:rPr>
              <w:t>粉尘产排情况一览表</w:t>
            </w:r>
          </w:p>
          <w:tbl>
            <w:tblPr>
              <w:tblStyle w:val="2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862"/>
              <w:gridCol w:w="862"/>
              <w:gridCol w:w="742"/>
              <w:gridCol w:w="863"/>
              <w:gridCol w:w="863"/>
              <w:gridCol w:w="607"/>
              <w:gridCol w:w="1127"/>
              <w:gridCol w:w="863"/>
              <w:gridCol w:w="1154"/>
            </w:tblGrid>
            <w:tr w14:paraId="028AB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2" w:hRule="atLeast"/>
              </w:trPr>
              <w:tc>
                <w:tcPr>
                  <w:tcW w:w="543" w:type="pct"/>
                  <w:vMerge w:val="restart"/>
                  <w:noWrap w:val="0"/>
                  <w:vAlign w:val="center"/>
                </w:tcPr>
                <w:p w14:paraId="1F60F421">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装置</w:t>
                  </w:r>
                </w:p>
              </w:tc>
              <w:tc>
                <w:tcPr>
                  <w:tcW w:w="543" w:type="pct"/>
                  <w:vMerge w:val="restart"/>
                  <w:noWrap w:val="0"/>
                  <w:vAlign w:val="center"/>
                </w:tcPr>
                <w:p w14:paraId="3916DE1D">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污染源</w:t>
                  </w:r>
                </w:p>
              </w:tc>
              <w:tc>
                <w:tcPr>
                  <w:tcW w:w="467" w:type="pct"/>
                  <w:vMerge w:val="restart"/>
                  <w:noWrap w:val="0"/>
                  <w:vAlign w:val="center"/>
                </w:tcPr>
                <w:p w14:paraId="15424872">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污染物</w:t>
                  </w:r>
                </w:p>
              </w:tc>
              <w:tc>
                <w:tcPr>
                  <w:tcW w:w="543" w:type="pct"/>
                  <w:vMerge w:val="restart"/>
                  <w:noWrap w:val="0"/>
                  <w:vAlign w:val="center"/>
                </w:tcPr>
                <w:p w14:paraId="67AA21C8">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风机</w:t>
                  </w:r>
                </w:p>
                <w:p w14:paraId="3D70C7C2">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风量</w:t>
                  </w:r>
                </w:p>
                <w:p w14:paraId="4F7A283E">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(m</w:t>
                  </w:r>
                  <w:r>
                    <w:rPr>
                      <w:rFonts w:hint="default" w:ascii="Times New Roman" w:hAnsi="Times New Roman" w:eastAsia="宋体" w:cs="Times New Roman"/>
                      <w:b w:val="0"/>
                      <w:bCs w:val="0"/>
                      <w:color w:val="000000" w:themeColor="text1"/>
                      <w:sz w:val="21"/>
                      <w:szCs w:val="21"/>
                      <w:highlight w:val="none"/>
                      <w:vertAlign w:val="superscript"/>
                      <w:lang w:eastAsia="zh-CN"/>
                      <w14:textFill>
                        <w14:solidFill>
                          <w14:schemeClr w14:val="tx1"/>
                        </w14:solidFill>
                      </w14:textFill>
                    </w:rPr>
                    <w:t>3</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/h</w:t>
                  </w: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w:t>
                  </w:r>
                </w:p>
              </w:tc>
              <w:tc>
                <w:tcPr>
                  <w:tcW w:w="543" w:type="pct"/>
                  <w:vMerge w:val="restart"/>
                  <w:noWrap w:val="0"/>
                  <w:vAlign w:val="center"/>
                </w:tcPr>
                <w:p w14:paraId="758831E6">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污染物</w:t>
                  </w:r>
                </w:p>
                <w:p w14:paraId="6E1CD740">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产生</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量</w:t>
                  </w:r>
                </w:p>
                <w:p w14:paraId="01029DBE">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t</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a)</w:t>
                  </w:r>
                </w:p>
              </w:tc>
              <w:tc>
                <w:tcPr>
                  <w:tcW w:w="381" w:type="pct"/>
                  <w:vMerge w:val="restart"/>
                  <w:noWrap w:val="0"/>
                  <w:vAlign w:val="center"/>
                </w:tcPr>
                <w:p w14:paraId="771DF526">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处理</w:t>
                  </w:r>
                </w:p>
                <w:p w14:paraId="1EA0ECCE">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效率</w:t>
                  </w:r>
                </w:p>
                <w:p w14:paraId="2342997F">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w:t>
                  </w:r>
                </w:p>
              </w:tc>
              <w:tc>
                <w:tcPr>
                  <w:tcW w:w="1252" w:type="pct"/>
                  <w:gridSpan w:val="2"/>
                  <w:noWrap w:val="0"/>
                  <w:vAlign w:val="center"/>
                </w:tcPr>
                <w:p w14:paraId="60C421BE">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污染物排放</w:t>
                  </w:r>
                </w:p>
              </w:tc>
              <w:tc>
                <w:tcPr>
                  <w:tcW w:w="726" w:type="pct"/>
                  <w:vMerge w:val="restart"/>
                  <w:noWrap w:val="0"/>
                  <w:vAlign w:val="center"/>
                </w:tcPr>
                <w:p w14:paraId="52F4646B">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排气</w:t>
                  </w:r>
                  <w:r>
                    <w:rPr>
                      <w:rFonts w:hint="eastAsia" w:cs="Times New Roman"/>
                      <w:color w:val="000000" w:themeColor="text1"/>
                      <w:sz w:val="24"/>
                      <w:szCs w:val="24"/>
                      <w:highlight w:val="none"/>
                      <w:lang w:val="en-US" w:eastAsia="zh-CN"/>
                      <w14:textFill>
                        <w14:solidFill>
                          <w14:schemeClr w14:val="tx1"/>
                        </w14:solidFill>
                      </w14:textFill>
                    </w:rPr>
                    <w:t>口</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高度（m）</w:t>
                  </w:r>
                </w:p>
              </w:tc>
            </w:tr>
            <w:tr w14:paraId="6AD56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19" w:hRule="atLeast"/>
              </w:trPr>
              <w:tc>
                <w:tcPr>
                  <w:tcW w:w="543" w:type="pct"/>
                  <w:vMerge w:val="continue"/>
                  <w:noWrap w:val="0"/>
                  <w:vAlign w:val="center"/>
                </w:tcPr>
                <w:p w14:paraId="4096A315">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543" w:type="pct"/>
                  <w:vMerge w:val="continue"/>
                  <w:noWrap w:val="0"/>
                  <w:vAlign w:val="center"/>
                </w:tcPr>
                <w:p w14:paraId="7786D4AE">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467" w:type="pct"/>
                  <w:vMerge w:val="continue"/>
                  <w:noWrap w:val="0"/>
                  <w:vAlign w:val="center"/>
                </w:tcPr>
                <w:p w14:paraId="5490AA3E">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543" w:type="pct"/>
                  <w:vMerge w:val="continue"/>
                  <w:noWrap w:val="0"/>
                  <w:vAlign w:val="center"/>
                </w:tcPr>
                <w:p w14:paraId="2CABEA3C">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543" w:type="pct"/>
                  <w:vMerge w:val="continue"/>
                  <w:noWrap w:val="0"/>
                  <w:vAlign w:val="center"/>
                </w:tcPr>
                <w:p w14:paraId="5590CA89">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381" w:type="pct"/>
                  <w:vMerge w:val="continue"/>
                  <w:noWrap w:val="0"/>
                  <w:vAlign w:val="center"/>
                </w:tcPr>
                <w:p w14:paraId="06B0F8CE">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709" w:type="pct"/>
                  <w:noWrap w:val="0"/>
                  <w:vAlign w:val="center"/>
                </w:tcPr>
                <w:p w14:paraId="6CB9A730">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排放浓度</w:t>
                  </w:r>
                </w:p>
                <w:p w14:paraId="7DF7A5F9">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mg/</w:t>
                  </w: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m</w:t>
                  </w:r>
                  <w:r>
                    <w:rPr>
                      <w:rFonts w:hint="default" w:ascii="Times New Roman" w:hAnsi="Times New Roman" w:eastAsia="宋体" w:cs="Times New Roman"/>
                      <w:b w:val="0"/>
                      <w:bCs w:val="0"/>
                      <w:color w:val="000000" w:themeColor="text1"/>
                      <w:sz w:val="21"/>
                      <w:szCs w:val="21"/>
                      <w:highlight w:val="none"/>
                      <w:vertAlign w:val="superscript"/>
                      <w:lang w:eastAsia="zh-CN"/>
                      <w14:textFill>
                        <w14:solidFill>
                          <w14:schemeClr w14:val="tx1"/>
                        </w14:solidFill>
                      </w14:textFill>
                    </w:rPr>
                    <w:t>3</w:t>
                  </w:r>
                  <w:r>
                    <w:rPr>
                      <w:rFonts w:hint="default" w:ascii="Times New Roman" w:hAnsi="Times New Roman" w:eastAsia="宋体" w:cs="Times New Roman"/>
                      <w:b w:val="0"/>
                      <w:bCs w:val="0"/>
                      <w:color w:val="000000" w:themeColor="text1"/>
                      <w:sz w:val="21"/>
                      <w:szCs w:val="21"/>
                      <w:highlight w:val="none"/>
                      <w:vertAlign w:val="baseline"/>
                      <w:lang w:eastAsia="zh-CN"/>
                      <w14:textFill>
                        <w14:solidFill>
                          <w14:schemeClr w14:val="tx1"/>
                        </w14:solidFill>
                      </w14:textFill>
                    </w:rPr>
                    <w:t>)</w:t>
                  </w:r>
                </w:p>
              </w:tc>
              <w:tc>
                <w:tcPr>
                  <w:tcW w:w="543" w:type="pct"/>
                  <w:noWrap w:val="0"/>
                  <w:vAlign w:val="center"/>
                </w:tcPr>
                <w:p w14:paraId="4AB0D434">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排放量</w:t>
                  </w:r>
                </w:p>
                <w:p w14:paraId="0D2A530A">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t</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a)</w:t>
                  </w:r>
                </w:p>
              </w:tc>
              <w:tc>
                <w:tcPr>
                  <w:tcW w:w="726" w:type="pct"/>
                  <w:vMerge w:val="continue"/>
                  <w:noWrap w:val="0"/>
                  <w:vAlign w:val="center"/>
                </w:tcPr>
                <w:p w14:paraId="200FE4A6">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pPr>
                </w:p>
              </w:tc>
            </w:tr>
            <w:tr w14:paraId="0E023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8" w:hRule="atLeast"/>
              </w:trPr>
              <w:tc>
                <w:tcPr>
                  <w:tcW w:w="543" w:type="pct"/>
                  <w:noWrap w:val="0"/>
                  <w:vAlign w:val="center"/>
                </w:tcPr>
                <w:p w14:paraId="645D9444">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窑</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尾</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仓</w:t>
                  </w:r>
                </w:p>
              </w:tc>
              <w:tc>
                <w:tcPr>
                  <w:tcW w:w="543" w:type="pct"/>
                  <w:noWrap w:val="0"/>
                  <w:vAlign w:val="center"/>
                </w:tcPr>
                <w:p w14:paraId="291B14F9">
                  <w:pPr>
                    <w:kinsoku w:val="0"/>
                    <w:overflowPunct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DA00</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4</w:t>
                  </w:r>
                </w:p>
              </w:tc>
              <w:tc>
                <w:tcPr>
                  <w:tcW w:w="467" w:type="pct"/>
                  <w:noWrap w:val="0"/>
                  <w:vAlign w:val="center"/>
                </w:tcPr>
                <w:p w14:paraId="6216F4E3">
                  <w:pPr>
                    <w:pStyle w:val="85"/>
                    <w:kinsoku w:val="0"/>
                    <w:overflowPunct w:val="0"/>
                    <w:snapToGrid w:val="0"/>
                    <w:ind w:firstLine="0" w:firstLineChars="0"/>
                    <w:jc w:val="both"/>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颗粒物</w:t>
                  </w:r>
                </w:p>
              </w:tc>
              <w:tc>
                <w:tcPr>
                  <w:tcW w:w="543" w:type="pct"/>
                  <w:noWrap w:val="0"/>
                  <w:vAlign w:val="center"/>
                </w:tcPr>
                <w:p w14:paraId="7AEBB70B">
                  <w:pPr>
                    <w:pStyle w:val="85"/>
                    <w:kinsoku w:val="0"/>
                    <w:overflowPunct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10000</w:t>
                  </w:r>
                </w:p>
              </w:tc>
              <w:tc>
                <w:tcPr>
                  <w:tcW w:w="543" w:type="pct"/>
                  <w:noWrap w:val="0"/>
                  <w:vAlign w:val="center"/>
                </w:tcPr>
                <w:p w14:paraId="5019578E">
                  <w:pPr>
                    <w:pStyle w:val="85"/>
                    <w:kinsoku w:val="0"/>
                    <w:overflowPunct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24</w:t>
                  </w:r>
                </w:p>
              </w:tc>
              <w:tc>
                <w:tcPr>
                  <w:tcW w:w="381" w:type="pct"/>
                  <w:noWrap w:val="0"/>
                  <w:vAlign w:val="center"/>
                </w:tcPr>
                <w:p w14:paraId="2B0DFF68">
                  <w:pPr>
                    <w:pStyle w:val="85"/>
                    <w:kinsoku w:val="0"/>
                    <w:overflowPunct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99</w:t>
                  </w:r>
                </w:p>
              </w:tc>
              <w:tc>
                <w:tcPr>
                  <w:tcW w:w="709" w:type="pct"/>
                  <w:noWrap w:val="0"/>
                  <w:vAlign w:val="center"/>
                </w:tcPr>
                <w:p w14:paraId="0BE18C83">
                  <w:pPr>
                    <w:keepNext w:val="0"/>
                    <w:keepLines w:val="0"/>
                    <w:widowControl/>
                    <w:suppressLineNumbers w:val="0"/>
                    <w:jc w:val="center"/>
                    <w:textAlignment w:val="cente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cs="Times New Roman"/>
                      <w:i w:val="0"/>
                      <w:color w:val="000000" w:themeColor="text1"/>
                      <w:kern w:val="0"/>
                      <w:sz w:val="21"/>
                      <w:szCs w:val="21"/>
                      <w:highlight w:val="none"/>
                      <w:u w:val="none"/>
                      <w:lang w:val="en-US" w:eastAsia="zh-CN" w:bidi="ar"/>
                      <w14:textFill>
                        <w14:solidFill>
                          <w14:schemeClr w14:val="tx1"/>
                        </w14:solidFill>
                      </w14:textFill>
                    </w:rPr>
                    <w:t>24</w:t>
                  </w:r>
                </w:p>
              </w:tc>
              <w:tc>
                <w:tcPr>
                  <w:tcW w:w="543" w:type="pct"/>
                  <w:noWrap w:val="0"/>
                  <w:vAlign w:val="center"/>
                </w:tcPr>
                <w:p w14:paraId="2E83DDD4">
                  <w:pPr>
                    <w:keepNext w:val="0"/>
                    <w:keepLines w:val="0"/>
                    <w:widowControl/>
                    <w:suppressLineNumbers w:val="0"/>
                    <w:jc w:val="center"/>
                    <w:textAlignment w:val="cente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t>0.24</w:t>
                  </w:r>
                </w:p>
              </w:tc>
              <w:tc>
                <w:tcPr>
                  <w:tcW w:w="726" w:type="pct"/>
                  <w:noWrap w:val="0"/>
                  <w:vAlign w:val="center"/>
                </w:tcPr>
                <w:p w14:paraId="1647D612">
                  <w:pPr>
                    <w:keepNext w:val="0"/>
                    <w:keepLines w:val="0"/>
                    <w:widowControl/>
                    <w:suppressLineNumbers w:val="0"/>
                    <w:jc w:val="center"/>
                    <w:textAlignment w:val="cente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color w:val="000000" w:themeColor="text1"/>
                      <w:kern w:val="0"/>
                      <w:sz w:val="21"/>
                      <w:szCs w:val="21"/>
                      <w:highlight w:val="none"/>
                      <w:u w:val="none"/>
                      <w:lang w:val="en-US" w:eastAsia="zh-CN" w:bidi="ar"/>
                      <w14:textFill>
                        <w14:solidFill>
                          <w14:schemeClr w14:val="tx1"/>
                        </w14:solidFill>
                      </w14:textFill>
                    </w:rPr>
                    <w:t>30</w:t>
                  </w:r>
                </w:p>
              </w:tc>
            </w:tr>
            <w:tr w14:paraId="3C11C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5" w:hRule="atLeast"/>
              </w:trPr>
              <w:tc>
                <w:tcPr>
                  <w:tcW w:w="3021" w:type="pct"/>
                  <w:gridSpan w:val="6"/>
                  <w:noWrap w:val="0"/>
                  <w:vAlign w:val="center"/>
                </w:tcPr>
                <w:p w14:paraId="56D060BD">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排放</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限值</w:t>
                  </w:r>
                </w:p>
              </w:tc>
              <w:tc>
                <w:tcPr>
                  <w:tcW w:w="709" w:type="pct"/>
                  <w:noWrap w:val="0"/>
                  <w:vAlign w:val="center"/>
                </w:tcPr>
                <w:p w14:paraId="0D23A48C">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20</w:t>
                  </w:r>
                </w:p>
              </w:tc>
              <w:tc>
                <w:tcPr>
                  <w:tcW w:w="543" w:type="pct"/>
                  <w:noWrap w:val="0"/>
                  <w:vAlign w:val="center"/>
                </w:tcPr>
                <w:p w14:paraId="7DB3F72D">
                  <w:pPr>
                    <w:pStyle w:val="85"/>
                    <w:kinsoku w:val="0"/>
                    <w:overflowPunct w:val="0"/>
                    <w:snapToGrid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726" w:type="pct"/>
                  <w:noWrap w:val="0"/>
                  <w:vAlign w:val="center"/>
                </w:tcPr>
                <w:p w14:paraId="43CC821A">
                  <w:pPr>
                    <w:kinsoku w:val="0"/>
                    <w:overflowPunct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r>
            <w:tr w14:paraId="18990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5" w:hRule="atLeast"/>
              </w:trPr>
              <w:tc>
                <w:tcPr>
                  <w:tcW w:w="3021" w:type="pct"/>
                  <w:gridSpan w:val="6"/>
                  <w:noWrap w:val="0"/>
                  <w:vAlign w:val="center"/>
                </w:tcPr>
                <w:p w14:paraId="7A477C62">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达标情况</w:t>
                  </w:r>
                </w:p>
              </w:tc>
              <w:tc>
                <w:tcPr>
                  <w:tcW w:w="709" w:type="pct"/>
                  <w:noWrap w:val="0"/>
                  <w:vAlign w:val="center"/>
                </w:tcPr>
                <w:p w14:paraId="1294BBB1">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达标</w:t>
                  </w:r>
                </w:p>
              </w:tc>
              <w:tc>
                <w:tcPr>
                  <w:tcW w:w="543" w:type="pct"/>
                  <w:noWrap w:val="0"/>
                  <w:vAlign w:val="center"/>
                </w:tcPr>
                <w:p w14:paraId="4A29FF8A">
                  <w:pPr>
                    <w:pStyle w:val="85"/>
                    <w:kinsoku w:val="0"/>
                    <w:overflowPunct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p>
              </w:tc>
              <w:tc>
                <w:tcPr>
                  <w:tcW w:w="726" w:type="pct"/>
                  <w:noWrap w:val="0"/>
                  <w:vAlign w:val="center"/>
                </w:tcPr>
                <w:p w14:paraId="100A2560">
                  <w:pPr>
                    <w:pStyle w:val="85"/>
                    <w:kinsoku w:val="0"/>
                    <w:overflowPunct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p>
              </w:tc>
            </w:tr>
          </w:tbl>
          <w:p w14:paraId="5D4B696C">
            <w:pPr>
              <w:keepNext w:val="0"/>
              <w:keepLines w:val="0"/>
              <w:pageBreakBefore w:val="0"/>
              <w:widowControl w:val="0"/>
              <w:numPr>
                <w:ilvl w:val="0"/>
                <w:numId w:val="4"/>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窑尾提升机卸料粉尘废气</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（G1-</w:t>
            </w:r>
            <w:r>
              <w:rPr>
                <w:rFonts w:hint="default" w:ascii="Times New Roman" w:hAnsi="Times New Roman" w:cs="Times New Roman"/>
                <w:b w:val="0"/>
                <w:bCs w:val="0"/>
                <w:color w:val="000000" w:themeColor="text1"/>
                <w:sz w:val="24"/>
                <w:highlight w:val="none"/>
                <w:lang w:val="en-US" w:eastAsia="zh-CN"/>
                <w14:textFill>
                  <w14:solidFill>
                    <w14:schemeClr w14:val="tx1"/>
                  </w14:solidFill>
                </w14:textFill>
              </w:rPr>
              <w:t>5</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w:t>
            </w:r>
          </w:p>
          <w:p w14:paraId="60FBEC8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据建设单位提供的设计资料，</w:t>
            </w:r>
            <w:r>
              <w:rPr>
                <w:rFonts w:hint="eastAsia" w:cs="Times New Roman"/>
                <w:b w:val="0"/>
                <w:bCs w:val="0"/>
                <w:color w:val="000000" w:themeColor="text1"/>
                <w:sz w:val="24"/>
                <w:highlight w:val="none"/>
                <w:lang w:val="en-US" w:eastAsia="zh-CN"/>
                <w14:textFill>
                  <w14:solidFill>
                    <w14:schemeClr w14:val="tx1"/>
                  </w14:solidFill>
                </w14:textFill>
              </w:rPr>
              <w:t>设计</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卸料口全密闭罩</w:t>
            </w:r>
            <w:r>
              <w:rPr>
                <w:rFonts w:hint="eastAsia" w:cs="Times New Roman"/>
                <w:b w:val="0"/>
                <w:bCs w:val="0"/>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窑尾提升机卸料过程废气进入占产品的0.01%，产品窑尾提升机卸料</w:t>
            </w:r>
            <w:r>
              <w:rPr>
                <w:rFonts w:hint="eastAsia" w:cs="Times New Roman"/>
                <w:b w:val="0"/>
                <w:bCs w:val="0"/>
                <w:color w:val="000000" w:themeColor="text1"/>
                <w:sz w:val="24"/>
                <w:highlight w:val="none"/>
                <w:lang w:val="en-US" w:eastAsia="zh-CN"/>
                <w14:textFill>
                  <w14:solidFill>
                    <w14:schemeClr w14:val="tx1"/>
                  </w14:solidFill>
                </w14:textFill>
              </w:rPr>
              <w:t>粉尘</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的产生量为20t/a，产品窑尾提升机</w:t>
            </w:r>
            <w:r>
              <w:rPr>
                <w:rFonts w:hint="eastAsia" w:cs="Times New Roman"/>
                <w:b w:val="0"/>
                <w:bCs w:val="0"/>
                <w:color w:val="000000" w:themeColor="text1"/>
                <w:sz w:val="24"/>
                <w:highlight w:val="none"/>
                <w:lang w:val="en-US" w:eastAsia="zh-CN"/>
                <w14:textFill>
                  <w14:solidFill>
                    <w14:schemeClr w14:val="tx1"/>
                  </w14:solidFill>
                </w14:textFill>
              </w:rPr>
              <w:t>密闭</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卸料</w:t>
            </w:r>
            <w:r>
              <w:rPr>
                <w:rFonts w:hint="eastAsia" w:cs="Times New Roman"/>
                <w:b w:val="0"/>
                <w:bCs w:val="0"/>
                <w:color w:val="000000" w:themeColor="text1"/>
                <w:sz w:val="24"/>
                <w:highlight w:val="none"/>
                <w:lang w:val="en-US" w:eastAsia="zh-CN"/>
                <w14:textFill>
                  <w14:solidFill>
                    <w14:schemeClr w14:val="tx1"/>
                  </w14:solidFill>
                </w14:textFill>
              </w:rPr>
              <w:t>设置</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1台</w:t>
            </w:r>
            <w:r>
              <w:rPr>
                <w:rFonts w:hint="eastAsia" w:cs="Times New Roman"/>
                <w:b w:val="0"/>
                <w:bCs w:val="0"/>
                <w:color w:val="000000" w:themeColor="text1"/>
                <w:sz w:val="24"/>
                <w:highlight w:val="none"/>
                <w:lang w:val="en-US" w:eastAsia="zh-CN"/>
                <w14:textFill>
                  <w14:solidFill>
                    <w14:schemeClr w14:val="tx1"/>
                  </w14:solidFill>
                </w14:textFill>
              </w:rPr>
              <w:t>负压</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袋式除尘器，除尘器风量为10000Nm</w:t>
            </w:r>
            <w:r>
              <w:rPr>
                <w:rFonts w:hint="default" w:ascii="Times New Roman" w:hAnsi="Times New Roman" w:eastAsia="宋体" w:cs="Times New Roman"/>
                <w:b w:val="0"/>
                <w:bCs w:val="0"/>
                <w:color w:val="000000" w:themeColor="text1"/>
                <w:sz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/h，除尘效率为99%，年运行时间7200h。</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袋式除尘器的除尘效率为99%，</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排放量为2t/a，排放浓度为9.09mg/Nm</w:t>
            </w:r>
            <w:r>
              <w:rPr>
                <w:rFonts w:hint="default" w:ascii="Times New Roman" w:hAnsi="Times New Roman" w:eastAsia="宋体" w:cs="Times New Roman"/>
                <w:b w:val="0"/>
                <w:bCs w:val="0"/>
                <w:color w:val="000000" w:themeColor="text1"/>
                <w:sz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w:t>
            </w:r>
          </w:p>
          <w:p w14:paraId="7775D751">
            <w:pPr>
              <w:keepNext w:val="0"/>
              <w:keepLines w:val="0"/>
              <w:pageBreakBefore w:val="0"/>
              <w:widowControl w:val="0"/>
              <w:kinsoku/>
              <w:wordWrap/>
              <w:overflowPunct/>
              <w:topLinePunct w:val="0"/>
              <w:autoSpaceDE/>
              <w:autoSpaceDN/>
              <w:bidi w:val="0"/>
              <w:adjustRightInd/>
              <w:snapToGrid w:val="0"/>
              <w:spacing w:line="240" w:lineRule="auto"/>
              <w:ind w:firstLine="482" w:firstLineChars="200"/>
              <w:jc w:val="center"/>
              <w:textAlignment w:val="auto"/>
              <w:rPr>
                <w:rFonts w:hint="default" w:ascii="Times New Roman" w:hAnsi="Times New Roman" w:eastAsia="仿宋" w:cs="Times New Roman"/>
                <w:color w:val="000000" w:themeColor="text1"/>
                <w:sz w:val="24"/>
                <w:highlight w:val="none"/>
                <w14:textFill>
                  <w14:solidFill>
                    <w14:schemeClr w14:val="tx1"/>
                  </w14:solidFill>
                </w14:textFill>
              </w:rPr>
            </w:pPr>
            <w:r>
              <w:rPr>
                <w:rFonts w:hint="default" w:ascii="Times New Roman" w:hAnsi="Times New Roman" w:eastAsia="宋体" w:cs="Times New Roman"/>
                <w:b/>
                <w:bCs/>
                <w:color w:val="000000" w:themeColor="text1"/>
                <w:kern w:val="2"/>
                <w:sz w:val="24"/>
                <w:szCs w:val="24"/>
                <w:highlight w:val="none"/>
                <w14:textFill>
                  <w14:solidFill>
                    <w14:schemeClr w14:val="tx1"/>
                  </w14:solidFill>
                </w14:textFill>
              </w:rPr>
              <w:t>表</w:t>
            </w:r>
            <w:r>
              <w:rPr>
                <w:rFonts w:hint="default" w:ascii="Times New Roman" w:hAnsi="Times New Roman" w:eastAsia="宋体" w:cs="Times New Roman"/>
                <w:b/>
                <w:bCs/>
                <w:color w:val="000000" w:themeColor="text1"/>
                <w:kern w:val="2"/>
                <w:sz w:val="24"/>
                <w:szCs w:val="24"/>
                <w:highlight w:val="none"/>
                <w:lang w:val="en-US" w:eastAsia="zh-CN"/>
                <w14:textFill>
                  <w14:solidFill>
                    <w14:schemeClr w14:val="tx1"/>
                  </w14:solidFill>
                </w14:textFill>
              </w:rPr>
              <w:t>4-3</w:t>
            </w:r>
            <w:r>
              <w:rPr>
                <w:rFonts w:hint="default" w:ascii="Times New Roman" w:hAnsi="Times New Roman" w:cs="Times New Roman"/>
                <w:b/>
                <w:bCs/>
                <w:color w:val="000000" w:themeColor="text1"/>
                <w:kern w:val="2"/>
                <w:sz w:val="24"/>
                <w:szCs w:val="24"/>
                <w:highlight w:val="none"/>
                <w:lang w:val="en-US" w:eastAsia="zh-CN"/>
                <w14:textFill>
                  <w14:solidFill>
                    <w14:schemeClr w14:val="tx1"/>
                  </w14:solidFill>
                </w14:textFill>
              </w:rPr>
              <w:t>废气</w:t>
            </w:r>
            <w:r>
              <w:rPr>
                <w:rFonts w:hint="default" w:ascii="Times New Roman" w:hAnsi="Times New Roman" w:cs="Times New Roman"/>
                <w:b/>
                <w:bCs/>
                <w:color w:val="000000" w:themeColor="text1"/>
                <w:kern w:val="2"/>
                <w:sz w:val="24"/>
                <w:szCs w:val="24"/>
                <w:highlight w:val="none"/>
                <w14:textFill>
                  <w14:solidFill>
                    <w14:schemeClr w14:val="tx1"/>
                  </w14:solidFill>
                </w14:textFill>
              </w:rPr>
              <w:t>粉尘产排情况一览表</w:t>
            </w:r>
          </w:p>
          <w:tbl>
            <w:tblPr>
              <w:tblStyle w:val="24"/>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870"/>
              <w:gridCol w:w="920"/>
              <w:gridCol w:w="850"/>
              <w:gridCol w:w="976"/>
              <w:gridCol w:w="812"/>
              <w:gridCol w:w="794"/>
              <w:gridCol w:w="1152"/>
              <w:gridCol w:w="712"/>
              <w:gridCol w:w="855"/>
            </w:tblGrid>
            <w:tr w14:paraId="6C697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2" w:hRule="atLeast"/>
              </w:trPr>
              <w:tc>
                <w:tcPr>
                  <w:tcW w:w="548" w:type="pct"/>
                  <w:vMerge w:val="restart"/>
                  <w:noWrap w:val="0"/>
                  <w:vAlign w:val="center"/>
                </w:tcPr>
                <w:p w14:paraId="191D6698">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装置</w:t>
                  </w:r>
                </w:p>
              </w:tc>
              <w:tc>
                <w:tcPr>
                  <w:tcW w:w="579" w:type="pct"/>
                  <w:vMerge w:val="restart"/>
                  <w:noWrap w:val="0"/>
                  <w:vAlign w:val="center"/>
                </w:tcPr>
                <w:p w14:paraId="46583520">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污染源</w:t>
                  </w:r>
                </w:p>
              </w:tc>
              <w:tc>
                <w:tcPr>
                  <w:tcW w:w="535" w:type="pct"/>
                  <w:vMerge w:val="restart"/>
                  <w:noWrap w:val="0"/>
                  <w:vAlign w:val="center"/>
                </w:tcPr>
                <w:p w14:paraId="6C1EEADE">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污染物</w:t>
                  </w:r>
                </w:p>
              </w:tc>
              <w:tc>
                <w:tcPr>
                  <w:tcW w:w="614" w:type="pct"/>
                  <w:vMerge w:val="restart"/>
                  <w:noWrap w:val="0"/>
                  <w:vAlign w:val="center"/>
                </w:tcPr>
                <w:p w14:paraId="26AE598C">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风机风量</w:t>
                  </w:r>
                </w:p>
                <w:p w14:paraId="6232CB7D">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eastAsia" w:ascii="Times New Roman" w:hAnsi="Times New Roman" w:cs="Times New Roman"/>
                      <w:b w:val="0"/>
                      <w:bCs w:val="0"/>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m</w:t>
                  </w:r>
                  <w:r>
                    <w:rPr>
                      <w:rFonts w:hint="default" w:ascii="Times New Roman" w:hAnsi="Times New Roman" w:eastAsia="宋体" w:cs="Times New Roman"/>
                      <w:b w:val="0"/>
                      <w:bCs w:val="0"/>
                      <w:color w:val="000000" w:themeColor="text1"/>
                      <w:sz w:val="21"/>
                      <w:szCs w:val="21"/>
                      <w:highlight w:val="none"/>
                      <w:vertAlign w:val="superscript"/>
                      <w:lang w:eastAsia="zh-CN"/>
                      <w14:textFill>
                        <w14:solidFill>
                          <w14:schemeClr w14:val="tx1"/>
                        </w14:solidFill>
                      </w14:textFill>
                    </w:rPr>
                    <w:t>3</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/h</w:t>
                  </w:r>
                  <w:r>
                    <w:rPr>
                      <w:rFonts w:hint="eastAsia" w:ascii="Times New Roman" w:hAnsi="Times New Roman" w:cs="Times New Roman"/>
                      <w:b w:val="0"/>
                      <w:bCs w:val="0"/>
                      <w:color w:val="000000" w:themeColor="text1"/>
                      <w:sz w:val="21"/>
                      <w:szCs w:val="21"/>
                      <w:highlight w:val="none"/>
                      <w:lang w:eastAsia="zh-CN"/>
                      <w14:textFill>
                        <w14:solidFill>
                          <w14:schemeClr w14:val="tx1"/>
                        </w14:solidFill>
                      </w14:textFill>
                    </w:rPr>
                    <w:t>)</w:t>
                  </w:r>
                </w:p>
              </w:tc>
              <w:tc>
                <w:tcPr>
                  <w:tcW w:w="511" w:type="pct"/>
                  <w:vMerge w:val="restart"/>
                  <w:noWrap w:val="0"/>
                  <w:vAlign w:val="center"/>
                </w:tcPr>
                <w:p w14:paraId="08C9B686">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污染物</w:t>
                  </w:r>
                </w:p>
                <w:p w14:paraId="61D46403">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产生</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量</w:t>
                  </w:r>
                </w:p>
                <w:p w14:paraId="6AE37D87">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eastAsia" w:ascii="Times New Roman" w:hAnsi="Times New Roman" w:cs="Times New Roman"/>
                      <w:b w:val="0"/>
                      <w:bCs w:val="0"/>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t</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a</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w:t>
                  </w:r>
                </w:p>
              </w:tc>
              <w:tc>
                <w:tcPr>
                  <w:tcW w:w="497" w:type="pct"/>
                  <w:vMerge w:val="restart"/>
                  <w:noWrap w:val="0"/>
                  <w:vAlign w:val="center"/>
                </w:tcPr>
                <w:p w14:paraId="5624A42E">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处理</w:t>
                  </w:r>
                </w:p>
                <w:p w14:paraId="2A69DAD4">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效率</w:t>
                  </w:r>
                </w:p>
                <w:p w14:paraId="0D18DFF0">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w:t>
                  </w:r>
                </w:p>
              </w:tc>
              <w:tc>
                <w:tcPr>
                  <w:tcW w:w="1173" w:type="pct"/>
                  <w:gridSpan w:val="2"/>
                  <w:noWrap w:val="0"/>
                  <w:vAlign w:val="center"/>
                </w:tcPr>
                <w:p w14:paraId="7C8C1773">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污染物排放</w:t>
                  </w:r>
                </w:p>
              </w:tc>
              <w:tc>
                <w:tcPr>
                  <w:tcW w:w="538" w:type="pct"/>
                  <w:vMerge w:val="restart"/>
                  <w:noWrap w:val="0"/>
                  <w:vAlign w:val="center"/>
                </w:tcPr>
                <w:p w14:paraId="2C13E230">
                  <w:pPr>
                    <w:pStyle w:val="85"/>
                    <w:kinsoku w:val="0"/>
                    <w:overflowPunct w:val="0"/>
                    <w:snapToGrid w:val="0"/>
                    <w:jc w:val="cente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排气</w:t>
                  </w:r>
                  <w:r>
                    <w:rPr>
                      <w:rFonts w:hint="eastAsia" w:cs="Times New Roman"/>
                      <w:color w:val="000000" w:themeColor="text1"/>
                      <w:sz w:val="24"/>
                      <w:szCs w:val="24"/>
                      <w:highlight w:val="none"/>
                      <w:lang w:val="en-US" w:eastAsia="zh-CN"/>
                      <w14:textFill>
                        <w14:solidFill>
                          <w14:schemeClr w14:val="tx1"/>
                        </w14:solidFill>
                      </w14:textFill>
                    </w:rPr>
                    <w:t>口</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高度</w:t>
                  </w:r>
                </w:p>
                <w:p w14:paraId="71A670B1">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(m)</w:t>
                  </w:r>
                </w:p>
              </w:tc>
            </w:tr>
            <w:tr w14:paraId="443FB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19" w:hRule="atLeast"/>
              </w:trPr>
              <w:tc>
                <w:tcPr>
                  <w:tcW w:w="548" w:type="pct"/>
                  <w:vMerge w:val="continue"/>
                  <w:noWrap w:val="0"/>
                  <w:vAlign w:val="center"/>
                </w:tcPr>
                <w:p w14:paraId="370B6B21">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579" w:type="pct"/>
                  <w:vMerge w:val="continue"/>
                  <w:noWrap w:val="0"/>
                  <w:vAlign w:val="center"/>
                </w:tcPr>
                <w:p w14:paraId="3960AF2E">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535" w:type="pct"/>
                  <w:vMerge w:val="continue"/>
                  <w:noWrap w:val="0"/>
                  <w:vAlign w:val="center"/>
                </w:tcPr>
                <w:p w14:paraId="14A62B35">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614" w:type="pct"/>
                  <w:vMerge w:val="continue"/>
                  <w:noWrap w:val="0"/>
                  <w:vAlign w:val="center"/>
                </w:tcPr>
                <w:p w14:paraId="4EDFCCCC">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511" w:type="pct"/>
                  <w:vMerge w:val="continue"/>
                  <w:noWrap w:val="0"/>
                  <w:vAlign w:val="center"/>
                </w:tcPr>
                <w:p w14:paraId="716518DF">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497" w:type="pct"/>
                  <w:vMerge w:val="continue"/>
                  <w:noWrap w:val="0"/>
                  <w:vAlign w:val="center"/>
                </w:tcPr>
                <w:p w14:paraId="0954CFE8">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725" w:type="pct"/>
                  <w:noWrap w:val="0"/>
                  <w:vAlign w:val="center"/>
                </w:tcPr>
                <w:p w14:paraId="09C2869E">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排放浓度</w:t>
                  </w:r>
                </w:p>
                <w:p w14:paraId="4C79B656">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eastAsia" w:ascii="Times New Roman" w:hAnsi="Times New Roman" w:cs="Times New Roman"/>
                      <w:b w:val="0"/>
                      <w:bCs w:val="0"/>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mg/</w:t>
                  </w: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m</w:t>
                  </w:r>
                  <w:r>
                    <w:rPr>
                      <w:rFonts w:hint="default" w:ascii="Times New Roman" w:hAnsi="Times New Roman" w:eastAsia="宋体" w:cs="Times New Roman"/>
                      <w:b w:val="0"/>
                      <w:bCs w:val="0"/>
                      <w:color w:val="000000" w:themeColor="text1"/>
                      <w:sz w:val="21"/>
                      <w:szCs w:val="21"/>
                      <w:highlight w:val="none"/>
                      <w:vertAlign w:val="superscript"/>
                      <w:lang w:eastAsia="zh-CN"/>
                      <w14:textFill>
                        <w14:solidFill>
                          <w14:schemeClr w14:val="tx1"/>
                        </w14:solidFill>
                      </w14:textFill>
                    </w:rPr>
                    <w:t>3</w:t>
                  </w:r>
                  <w:r>
                    <w:rPr>
                      <w:rFonts w:hint="eastAsia" w:ascii="Times New Roman" w:hAnsi="Times New Roman" w:cs="Times New Roman"/>
                      <w:b w:val="0"/>
                      <w:bCs w:val="0"/>
                      <w:color w:val="000000" w:themeColor="text1"/>
                      <w:sz w:val="21"/>
                      <w:szCs w:val="21"/>
                      <w:highlight w:val="none"/>
                      <w:vertAlign w:val="baseline"/>
                      <w:lang w:eastAsia="zh-CN"/>
                      <w14:textFill>
                        <w14:solidFill>
                          <w14:schemeClr w14:val="tx1"/>
                        </w14:solidFill>
                      </w14:textFill>
                    </w:rPr>
                    <w:t>)</w:t>
                  </w:r>
                </w:p>
              </w:tc>
              <w:tc>
                <w:tcPr>
                  <w:tcW w:w="448" w:type="pct"/>
                  <w:noWrap w:val="0"/>
                  <w:vAlign w:val="center"/>
                </w:tcPr>
                <w:p w14:paraId="1650BD05">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排放量</w:t>
                  </w:r>
                </w:p>
                <w:p w14:paraId="34EB2E24">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eastAsia" w:ascii="Times New Roman" w:hAnsi="Times New Roman" w:cs="Times New Roman"/>
                      <w:b w:val="0"/>
                      <w:bCs w:val="0"/>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t</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a</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w:t>
                  </w:r>
                </w:p>
              </w:tc>
              <w:tc>
                <w:tcPr>
                  <w:tcW w:w="538" w:type="pct"/>
                  <w:vMerge w:val="continue"/>
                  <w:noWrap w:val="0"/>
                  <w:vAlign w:val="center"/>
                </w:tcPr>
                <w:p w14:paraId="2FE5D3C6">
                  <w:pPr>
                    <w:pStyle w:val="85"/>
                    <w:kinsoku w:val="0"/>
                    <w:overflowPunct w:val="0"/>
                    <w:snapToGrid w:val="0"/>
                    <w:jc w:val="center"/>
                    <w:rPr>
                      <w:rFonts w:hint="eastAsia" w:ascii="Times New Roman" w:hAnsi="Times New Roman" w:cs="Times New Roman"/>
                      <w:b w:val="0"/>
                      <w:bCs w:val="0"/>
                      <w:color w:val="000000" w:themeColor="text1"/>
                      <w:sz w:val="21"/>
                      <w:szCs w:val="21"/>
                      <w:highlight w:val="none"/>
                      <w:lang w:eastAsia="zh-CN"/>
                      <w14:textFill>
                        <w14:solidFill>
                          <w14:schemeClr w14:val="tx1"/>
                        </w14:solidFill>
                      </w14:textFill>
                    </w:rPr>
                  </w:pPr>
                </w:p>
              </w:tc>
            </w:tr>
            <w:tr w14:paraId="18BBE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8" w:hRule="atLeast"/>
              </w:trPr>
              <w:tc>
                <w:tcPr>
                  <w:tcW w:w="548" w:type="pct"/>
                  <w:noWrap w:val="0"/>
                  <w:vAlign w:val="center"/>
                </w:tcPr>
                <w:p w14:paraId="6A767D8A">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产品窑尾提升机</w:t>
                  </w:r>
                </w:p>
              </w:tc>
              <w:tc>
                <w:tcPr>
                  <w:tcW w:w="579" w:type="pct"/>
                  <w:noWrap w:val="0"/>
                  <w:vAlign w:val="center"/>
                </w:tcPr>
                <w:p w14:paraId="06B6061F">
                  <w:pPr>
                    <w:kinsoku w:val="0"/>
                    <w:overflowPunct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DA00</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5</w:t>
                  </w:r>
                </w:p>
              </w:tc>
              <w:tc>
                <w:tcPr>
                  <w:tcW w:w="535" w:type="pct"/>
                  <w:noWrap w:val="0"/>
                  <w:vAlign w:val="center"/>
                </w:tcPr>
                <w:p w14:paraId="2F71EFD8">
                  <w:pPr>
                    <w:pStyle w:val="85"/>
                    <w:kinsoku w:val="0"/>
                    <w:overflowPunct w:val="0"/>
                    <w:snapToGrid w:val="0"/>
                    <w:ind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颗粒物</w:t>
                  </w:r>
                </w:p>
              </w:tc>
              <w:tc>
                <w:tcPr>
                  <w:tcW w:w="614" w:type="pct"/>
                  <w:noWrap w:val="0"/>
                  <w:vAlign w:val="center"/>
                </w:tcPr>
                <w:p w14:paraId="304D984B">
                  <w:pPr>
                    <w:pStyle w:val="85"/>
                    <w:kinsoku w:val="0"/>
                    <w:overflowPunct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10000</w:t>
                  </w:r>
                </w:p>
              </w:tc>
              <w:tc>
                <w:tcPr>
                  <w:tcW w:w="511" w:type="pct"/>
                  <w:noWrap w:val="0"/>
                  <w:vAlign w:val="center"/>
                </w:tcPr>
                <w:p w14:paraId="3D409E37">
                  <w:pPr>
                    <w:pStyle w:val="85"/>
                    <w:kinsoku w:val="0"/>
                    <w:overflowPunct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20</w:t>
                  </w:r>
                </w:p>
              </w:tc>
              <w:tc>
                <w:tcPr>
                  <w:tcW w:w="497" w:type="pct"/>
                  <w:noWrap w:val="0"/>
                  <w:vAlign w:val="center"/>
                </w:tcPr>
                <w:p w14:paraId="53CC0977">
                  <w:pPr>
                    <w:pStyle w:val="85"/>
                    <w:kinsoku w:val="0"/>
                    <w:overflowPunct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99</w:t>
                  </w:r>
                </w:p>
              </w:tc>
              <w:tc>
                <w:tcPr>
                  <w:tcW w:w="725" w:type="pct"/>
                  <w:noWrap w:val="0"/>
                  <w:vAlign w:val="center"/>
                </w:tcPr>
                <w:p w14:paraId="687CA4F7">
                  <w:pPr>
                    <w:keepNext w:val="0"/>
                    <w:keepLines w:val="0"/>
                    <w:widowControl/>
                    <w:suppressLineNumbers w:val="0"/>
                    <w:jc w:val="center"/>
                    <w:textAlignment w:val="cente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t>8.33</w:t>
                  </w:r>
                </w:p>
              </w:tc>
              <w:tc>
                <w:tcPr>
                  <w:tcW w:w="448" w:type="pct"/>
                  <w:noWrap w:val="0"/>
                  <w:vAlign w:val="center"/>
                </w:tcPr>
                <w:p w14:paraId="6DABAEDA">
                  <w:pPr>
                    <w:keepNext w:val="0"/>
                    <w:keepLines w:val="0"/>
                    <w:widowControl/>
                    <w:suppressLineNumbers w:val="0"/>
                    <w:jc w:val="center"/>
                    <w:textAlignment w:val="cente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t>0.20</w:t>
                  </w:r>
                </w:p>
              </w:tc>
              <w:tc>
                <w:tcPr>
                  <w:tcW w:w="538" w:type="pct"/>
                  <w:noWrap w:val="0"/>
                  <w:vAlign w:val="center"/>
                </w:tcPr>
                <w:p w14:paraId="553C6911">
                  <w:pPr>
                    <w:keepNext w:val="0"/>
                    <w:keepLines w:val="0"/>
                    <w:widowControl/>
                    <w:suppressLineNumbers w:val="0"/>
                    <w:jc w:val="center"/>
                    <w:textAlignment w:val="cente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color w:val="000000" w:themeColor="text1"/>
                      <w:kern w:val="0"/>
                      <w:sz w:val="21"/>
                      <w:szCs w:val="21"/>
                      <w:highlight w:val="none"/>
                      <w:u w:val="none"/>
                      <w:lang w:val="en-US" w:eastAsia="zh-CN" w:bidi="ar"/>
                      <w14:textFill>
                        <w14:solidFill>
                          <w14:schemeClr w14:val="tx1"/>
                        </w14:solidFill>
                      </w14:textFill>
                    </w:rPr>
                    <w:t>90</w:t>
                  </w:r>
                </w:p>
              </w:tc>
            </w:tr>
            <w:tr w14:paraId="68F77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5" w:hRule="atLeast"/>
              </w:trPr>
              <w:tc>
                <w:tcPr>
                  <w:tcW w:w="3287" w:type="pct"/>
                  <w:gridSpan w:val="6"/>
                  <w:noWrap w:val="0"/>
                  <w:vAlign w:val="center"/>
                </w:tcPr>
                <w:p w14:paraId="6524EB99">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排放</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限值</w:t>
                  </w:r>
                </w:p>
              </w:tc>
              <w:tc>
                <w:tcPr>
                  <w:tcW w:w="725" w:type="pct"/>
                  <w:noWrap w:val="0"/>
                  <w:vAlign w:val="center"/>
                </w:tcPr>
                <w:p w14:paraId="17EBD84C">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20</w:t>
                  </w:r>
                </w:p>
              </w:tc>
              <w:tc>
                <w:tcPr>
                  <w:tcW w:w="448" w:type="pct"/>
                  <w:noWrap w:val="0"/>
                  <w:vAlign w:val="center"/>
                </w:tcPr>
                <w:p w14:paraId="2230AF37">
                  <w:pPr>
                    <w:pStyle w:val="85"/>
                    <w:kinsoku w:val="0"/>
                    <w:overflowPunct w:val="0"/>
                    <w:snapToGrid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538" w:type="pct"/>
                  <w:noWrap w:val="0"/>
                  <w:vAlign w:val="center"/>
                </w:tcPr>
                <w:p w14:paraId="59EEA870">
                  <w:pPr>
                    <w:pStyle w:val="85"/>
                    <w:kinsoku w:val="0"/>
                    <w:overflowPunct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p>
              </w:tc>
            </w:tr>
            <w:tr w14:paraId="622FC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5" w:hRule="atLeast"/>
              </w:trPr>
              <w:tc>
                <w:tcPr>
                  <w:tcW w:w="3287" w:type="pct"/>
                  <w:gridSpan w:val="6"/>
                  <w:noWrap w:val="0"/>
                  <w:vAlign w:val="center"/>
                </w:tcPr>
                <w:p w14:paraId="227AEC31">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达标情况</w:t>
                  </w:r>
                </w:p>
              </w:tc>
              <w:tc>
                <w:tcPr>
                  <w:tcW w:w="725" w:type="pct"/>
                  <w:noWrap w:val="0"/>
                  <w:vAlign w:val="center"/>
                </w:tcPr>
                <w:p w14:paraId="319F03F8">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达标</w:t>
                  </w:r>
                </w:p>
              </w:tc>
              <w:tc>
                <w:tcPr>
                  <w:tcW w:w="448" w:type="pct"/>
                  <w:noWrap w:val="0"/>
                  <w:vAlign w:val="center"/>
                </w:tcPr>
                <w:p w14:paraId="5C695BAF">
                  <w:pPr>
                    <w:pStyle w:val="85"/>
                    <w:kinsoku w:val="0"/>
                    <w:overflowPunct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p>
              </w:tc>
              <w:tc>
                <w:tcPr>
                  <w:tcW w:w="538" w:type="pct"/>
                  <w:noWrap w:val="0"/>
                  <w:vAlign w:val="center"/>
                </w:tcPr>
                <w:p w14:paraId="7222FEB5">
                  <w:pPr>
                    <w:pStyle w:val="85"/>
                    <w:kinsoku w:val="0"/>
                    <w:overflowPunct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p>
              </w:tc>
            </w:tr>
          </w:tbl>
          <w:p w14:paraId="383DAD6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cs="Times New Roman"/>
                <w:color w:val="000000" w:themeColor="text1"/>
                <w:sz w:val="24"/>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）回转窑</w:t>
            </w:r>
            <w:r>
              <w:rPr>
                <w:rFonts w:hint="eastAsia" w:cs="Times New Roman"/>
                <w:color w:val="000000" w:themeColor="text1"/>
                <w:sz w:val="24"/>
                <w:highlight w:val="none"/>
                <w:lang w:val="en-US" w:eastAsia="zh-CN"/>
                <w14:textFill>
                  <w14:solidFill>
                    <w14:schemeClr w14:val="tx1"/>
                  </w14:solidFill>
                </w14:textFill>
              </w:rPr>
              <w:t>和窑尾焙烧</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烟气</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（G1-</w:t>
            </w:r>
            <w:r>
              <w:rPr>
                <w:rFonts w:hint="default" w:ascii="Times New Roman" w:hAnsi="Times New Roman" w:cs="Times New Roman"/>
                <w:b w:val="0"/>
                <w:bCs w:val="0"/>
                <w:color w:val="000000" w:themeColor="text1"/>
                <w:sz w:val="24"/>
                <w:highlight w:val="none"/>
                <w:lang w:val="en-US" w:eastAsia="zh-CN"/>
                <w14:textFill>
                  <w14:solidFill>
                    <w14:schemeClr w14:val="tx1"/>
                  </w14:solidFill>
                </w14:textFill>
              </w:rPr>
              <w:t>6</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w:t>
            </w:r>
          </w:p>
          <w:p w14:paraId="70E1075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本项目热风炉烟气煅烧回转窑内物料，使用燃料</w:t>
            </w:r>
            <w:r>
              <w:rPr>
                <w:rFonts w:hint="eastAsia" w:cs="Times New Roman"/>
                <w:color w:val="000000" w:themeColor="text1"/>
                <w:sz w:val="24"/>
                <w:highlight w:val="none"/>
                <w:lang w:val="en-US" w:eastAsia="zh-CN"/>
                <w14:textFill>
                  <w14:solidFill>
                    <w14:schemeClr w14:val="tx1"/>
                  </w14:solidFill>
                </w14:textFill>
              </w:rPr>
              <w:t>煤气</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进行间接加热，本项目煤气用量共4403.7万m</w:t>
            </w:r>
            <w:r>
              <w:rPr>
                <w:rFonts w:hint="default" w:ascii="Times New Roman" w:hAnsi="Times New Roman" w:eastAsia="宋体" w:cs="Times New Roman"/>
                <w:color w:val="000000" w:themeColor="text1"/>
                <w:sz w:val="24"/>
                <w:highlight w:val="none"/>
                <w:vertAlign w:val="superscript"/>
                <w:lang w:val="en-US" w:eastAsia="zh-CN"/>
                <w14:textFill>
                  <w14:solidFill>
                    <w14:schemeClr w14:val="tx1"/>
                  </w14:solidFill>
                </w14:textFill>
              </w:rPr>
              <w:t>3</w:t>
            </w:r>
            <w:r>
              <w:rPr>
                <w:rFonts w:hint="eastAsia" w:cs="Times New Roman"/>
                <w:color w:val="000000" w:themeColor="text1"/>
                <w:sz w:val="24"/>
                <w:highlight w:val="none"/>
                <w:vertAlign w:val="baseline"/>
                <w:lang w:val="en-US" w:eastAsia="zh-CN"/>
                <w14:textFill>
                  <w14:solidFill>
                    <w14:schemeClr w14:val="tx1"/>
                  </w14:solidFill>
                </w14:textFill>
              </w:rPr>
              <w:t>/a</w:t>
            </w:r>
            <w:r>
              <w:rPr>
                <w:rFonts w:hint="eastAsia" w:cs="Times New Roman"/>
                <w:color w:val="000000" w:themeColor="text1"/>
                <w:sz w:val="24"/>
                <w:szCs w:val="24"/>
                <w:highlight w:val="none"/>
                <w:lang w:val="en-US" w:eastAsia="zh-CN"/>
                <w14:textFill>
                  <w14:solidFill>
                    <w14:schemeClr w14:val="tx1"/>
                  </w14:solidFill>
                </w14:textFill>
              </w:rPr>
              <w:t>。</w:t>
            </w:r>
          </w:p>
          <w:p w14:paraId="27439113">
            <w:pPr>
              <w:keepNext w:val="0"/>
              <w:keepLines w:val="0"/>
              <w:pageBreakBefore w:val="0"/>
              <w:widowControl w:val="0"/>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参照《排放源统计调查产排污核算方法和系数手册》（生态环境部公告2021年第24号）中3089</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和</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《排污许可证申请与核发技术规范工业炉窑》（HJ1121-2020），具体产污系数见下表：</w:t>
            </w:r>
          </w:p>
          <w:p w14:paraId="2F49A6F7">
            <w:pPr>
              <w:keepNext w:val="0"/>
              <w:keepLines w:val="0"/>
              <w:pageBreakBefore w:val="0"/>
              <w:widowControl w:val="0"/>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A.烟气量</w:t>
            </w:r>
          </w:p>
          <w:p w14:paraId="4B3CEDD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参考《排放源统计调查产排污核算方法和系数手册》（生态环境部公告2021年第24号）中3089耐火陶瓷制品及其他耐火材料制造行业系数表</w:t>
            </w:r>
            <w:r>
              <w:rPr>
                <w:rFonts w:hint="eastAsia" w:cs="Times New Roman"/>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续4</w:t>
            </w:r>
            <w:r>
              <w:rPr>
                <w:rFonts w:hint="eastAsia" w:cs="Times New Roman"/>
                <w:color w:val="000000" w:themeColor="text1"/>
                <w:sz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回转窑</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废气量产污系数为5134m</w:t>
            </w:r>
            <w:r>
              <w:rPr>
                <w:rFonts w:hint="default" w:ascii="Times New Roman" w:hAnsi="Times New Roman" w:eastAsia="宋体" w:cs="Times New Roman"/>
                <w:color w:val="000000" w:themeColor="text1"/>
                <w:sz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/t产品。</w:t>
            </w:r>
          </w:p>
          <w:p w14:paraId="35602783">
            <w:pPr>
              <w:keepNext w:val="0"/>
              <w:keepLines w:val="0"/>
              <w:pageBreakBefore w:val="0"/>
              <w:widowControl w:val="0"/>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V</w:t>
            </w:r>
            <w:r>
              <w:rPr>
                <w:rFonts w:hint="default" w:ascii="Times New Roman" w:hAnsi="Times New Roman" w:eastAsia="宋体" w:cs="Times New Roman"/>
                <w:color w:val="000000" w:themeColor="text1"/>
                <w:kern w:val="0"/>
                <w:sz w:val="24"/>
                <w:szCs w:val="24"/>
                <w:highlight w:val="none"/>
                <w:vertAlign w:val="subscript"/>
                <w:lang w:val="en-US" w:eastAsia="zh-CN" w:bidi="ar"/>
                <w14:textFill>
                  <w14:solidFill>
                    <w14:schemeClr w14:val="tx1"/>
                  </w14:solidFill>
                </w14:textFill>
              </w:rPr>
              <w:t>gy</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=排污系数×成品</w:t>
            </w:r>
          </w:p>
          <w:p w14:paraId="1109FF3E">
            <w:pPr>
              <w:keepNext w:val="0"/>
              <w:keepLines w:val="0"/>
              <w:pageBreakBefore w:val="0"/>
              <w:widowControl w:val="0"/>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式中：V</w:t>
            </w:r>
            <w:r>
              <w:rPr>
                <w:rFonts w:hint="default" w:ascii="Times New Roman" w:hAnsi="Times New Roman" w:eastAsia="宋体" w:cs="Times New Roman"/>
                <w:color w:val="000000" w:themeColor="text1"/>
                <w:kern w:val="0"/>
                <w:sz w:val="24"/>
                <w:szCs w:val="24"/>
                <w:highlight w:val="none"/>
                <w:vertAlign w:val="subscript"/>
                <w:lang w:val="en-US" w:eastAsia="zh-CN" w:bidi="ar"/>
                <w14:textFill>
                  <w14:solidFill>
                    <w14:schemeClr w14:val="tx1"/>
                  </w14:solidFill>
                </w14:textFill>
              </w:rPr>
              <w:t>gy</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：基准烟气量，Nm</w:t>
            </w:r>
            <w:r>
              <w:rPr>
                <w:rFonts w:hint="default" w:ascii="Times New Roman" w:hAnsi="Times New Roman" w:eastAsia="宋体" w:cs="Times New Roman"/>
                <w:color w:val="000000" w:themeColor="text1"/>
                <w:kern w:val="0"/>
                <w:sz w:val="24"/>
                <w:szCs w:val="24"/>
                <w:highlight w:val="none"/>
                <w:vertAlign w:val="superscript"/>
                <w:lang w:val="en-US" w:eastAsia="zh-CN" w:bidi="ar"/>
                <w14:textFill>
                  <w14:solidFill>
                    <w14:schemeClr w14:val="tx1"/>
                  </w14:solidFill>
                </w14:textFill>
              </w:rPr>
              <w:t>3</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/kg；</w:t>
            </w:r>
          </w:p>
          <w:p w14:paraId="7D0F214F">
            <w:pPr>
              <w:keepNext w:val="0"/>
              <w:keepLines w:val="0"/>
              <w:pageBreakBefore w:val="0"/>
              <w:widowControl w:val="0"/>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基准烟气量=排污系数×原料量</w:t>
            </w:r>
          </w:p>
          <w:p w14:paraId="283E26E6">
            <w:pPr>
              <w:keepNext w:val="0"/>
              <w:keepLines w:val="0"/>
              <w:pageBreakBefore w:val="0"/>
              <w:widowControl w:val="0"/>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=5134kg/m</w:t>
            </w:r>
            <w:r>
              <w:rPr>
                <w:rFonts w:hint="default" w:ascii="Times New Roman" w:hAnsi="Times New Roman" w:eastAsia="宋体" w:cs="Times New Roman"/>
                <w:color w:val="000000" w:themeColor="text1"/>
                <w:kern w:val="0"/>
                <w:sz w:val="24"/>
                <w:szCs w:val="24"/>
                <w:highlight w:val="none"/>
                <w:vertAlign w:val="superscript"/>
                <w:lang w:val="en-US" w:eastAsia="zh-CN" w:bidi="ar"/>
                <w14:textFill>
                  <w14:solidFill>
                    <w14:schemeClr w14:val="tx1"/>
                  </w14:solidFill>
                </w14:textFill>
              </w:rPr>
              <w:t>3</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×20万吨=1.0268×10</w:t>
            </w:r>
            <w:r>
              <w:rPr>
                <w:rFonts w:hint="default" w:ascii="Times New Roman" w:hAnsi="Times New Roman" w:eastAsia="宋体" w:cs="Times New Roman"/>
                <w:color w:val="000000" w:themeColor="text1"/>
                <w:kern w:val="0"/>
                <w:sz w:val="24"/>
                <w:szCs w:val="24"/>
                <w:highlight w:val="none"/>
                <w:vertAlign w:val="superscript"/>
                <w:lang w:val="en-US" w:eastAsia="zh-CN" w:bidi="ar"/>
                <w14:textFill>
                  <w14:solidFill>
                    <w14:schemeClr w14:val="tx1"/>
                  </w14:solidFill>
                </w14:textFill>
              </w:rPr>
              <w:t>9</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Nm</w:t>
            </w:r>
            <w:r>
              <w:rPr>
                <w:rFonts w:hint="default" w:ascii="Times New Roman" w:hAnsi="Times New Roman" w:eastAsia="宋体" w:cs="Times New Roman"/>
                <w:color w:val="000000" w:themeColor="text1"/>
                <w:kern w:val="0"/>
                <w:sz w:val="24"/>
                <w:szCs w:val="24"/>
                <w:highlight w:val="none"/>
                <w:vertAlign w:val="superscript"/>
                <w:lang w:val="en-US" w:eastAsia="zh-CN" w:bidi="ar"/>
                <w14:textFill>
                  <w14:solidFill>
                    <w14:schemeClr w14:val="tx1"/>
                  </w14:solidFill>
                </w14:textFill>
              </w:rPr>
              <w:t>3</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/a</w:t>
            </w:r>
          </w:p>
          <w:p w14:paraId="6AF80C69">
            <w:pPr>
              <w:keepNext w:val="0"/>
              <w:keepLines w:val="0"/>
              <w:pageBreakBefore w:val="0"/>
              <w:widowControl w:val="0"/>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经计算，核算时段内基准烟气量为1.0268×10</w:t>
            </w:r>
            <w:r>
              <w:rPr>
                <w:rFonts w:hint="default" w:ascii="Times New Roman" w:hAnsi="Times New Roman" w:eastAsia="宋体" w:cs="Times New Roman"/>
                <w:color w:val="000000" w:themeColor="text1"/>
                <w:kern w:val="0"/>
                <w:sz w:val="24"/>
                <w:szCs w:val="24"/>
                <w:highlight w:val="none"/>
                <w:vertAlign w:val="superscript"/>
                <w:lang w:val="en-US" w:eastAsia="zh-CN" w:bidi="ar"/>
                <w14:textFill>
                  <w14:solidFill>
                    <w14:schemeClr w14:val="tx1"/>
                  </w14:solidFill>
                </w14:textFill>
              </w:rPr>
              <w:t>9</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Nm</w:t>
            </w:r>
            <w:r>
              <w:rPr>
                <w:rFonts w:hint="default" w:ascii="Times New Roman" w:hAnsi="Times New Roman" w:eastAsia="宋体" w:cs="Times New Roman"/>
                <w:color w:val="000000" w:themeColor="text1"/>
                <w:kern w:val="0"/>
                <w:sz w:val="24"/>
                <w:szCs w:val="24"/>
                <w:highlight w:val="none"/>
                <w:vertAlign w:val="superscript"/>
                <w:lang w:val="en-US" w:eastAsia="zh-CN" w:bidi="ar"/>
                <w14:textFill>
                  <w14:solidFill>
                    <w14:schemeClr w14:val="tx1"/>
                  </w14:solidFill>
                </w14:textFill>
              </w:rPr>
              <w:t>3</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/a。</w:t>
            </w:r>
          </w:p>
          <w:p w14:paraId="0ADFECB8">
            <w:pPr>
              <w:keepNext w:val="0"/>
              <w:keepLines w:val="0"/>
              <w:pageBreakBefore w:val="0"/>
              <w:widowControl w:val="0"/>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B.颗粒物产排量</w:t>
            </w:r>
          </w:p>
          <w:p w14:paraId="019184E3">
            <w:pPr>
              <w:keepNext w:val="0"/>
              <w:keepLines w:val="0"/>
              <w:pageBreakBefore w:val="0"/>
              <w:widowControl w:val="0"/>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参考《排放源统计调查产排污核算方法和系数手册》（生态环境部公告2021年第24号）中3089耐火陶瓷制品及其他耐火材料制造行业系数表</w:t>
            </w:r>
            <w:r>
              <w:rPr>
                <w:rFonts w:hint="eastAsia" w:cs="Times New Roman"/>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续4</w:t>
            </w:r>
            <w:r>
              <w:rPr>
                <w:rFonts w:hint="eastAsia" w:cs="Times New Roman"/>
                <w:color w:val="000000" w:themeColor="text1"/>
                <w:sz w:val="24"/>
                <w:highlight w:val="none"/>
                <w:lang w:val="en-US" w:eastAsia="zh-CN"/>
                <w14:textFill>
                  <w14:solidFill>
                    <w14:schemeClr w14:val="tx1"/>
                  </w14:solidFill>
                </w14:textFill>
              </w:rPr>
              <w:t>），颗粒物产污系数0.36千克/吨－产品，袋式除尘，末端治理平均去除效率99%，则</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本项目年产低温煅烧高岭土成品200000t，经计算颗粒物（烟尘）产生量为</w:t>
            </w:r>
            <w:r>
              <w:rPr>
                <w:rFonts w:hint="eastAsia" w:cs="Times New Roman"/>
                <w:color w:val="000000" w:themeColor="text1"/>
                <w:kern w:val="0"/>
                <w:sz w:val="24"/>
                <w:szCs w:val="24"/>
                <w:highlight w:val="none"/>
                <w:lang w:val="en-US" w:eastAsia="zh-CN" w:bidi="ar"/>
                <w14:textFill>
                  <w14:solidFill>
                    <w14:schemeClr w14:val="tx1"/>
                  </w14:solidFill>
                </w14:textFill>
              </w:rPr>
              <w:t>720</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t/a</w:t>
            </w:r>
            <w:r>
              <w:rPr>
                <w:rFonts w:hint="eastAsia" w:cs="Times New Roman"/>
                <w:color w:val="000000" w:themeColor="text1"/>
                <w:kern w:val="0"/>
                <w:sz w:val="24"/>
                <w:szCs w:val="24"/>
                <w:highlight w:val="none"/>
                <w:lang w:val="en-US" w:eastAsia="zh-CN" w:bidi="ar"/>
                <w14:textFill>
                  <w14:solidFill>
                    <w14:schemeClr w14:val="tx1"/>
                  </w14:solidFill>
                </w14:textFill>
              </w:rPr>
              <w:t>，排放量为7.2t/a。</w:t>
            </w:r>
          </w:p>
          <w:p w14:paraId="7A4485D1">
            <w:pPr>
              <w:keepNext w:val="0"/>
              <w:keepLines w:val="0"/>
              <w:pageBreakBefore w:val="0"/>
              <w:widowControl w:val="0"/>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烟尘排放浓度=烟尘排放量÷废气量</w:t>
            </w:r>
          </w:p>
          <w:p w14:paraId="789CFD3A">
            <w:pPr>
              <w:keepNext w:val="0"/>
              <w:keepLines w:val="0"/>
              <w:pageBreakBefore w:val="0"/>
              <w:widowControl w:val="0"/>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w:t>
            </w:r>
            <w:r>
              <w:rPr>
                <w:rFonts w:hint="eastAsia" w:cs="Times New Roman"/>
                <w:color w:val="000000" w:themeColor="text1"/>
                <w:kern w:val="0"/>
                <w:sz w:val="24"/>
                <w:szCs w:val="24"/>
                <w:highlight w:val="none"/>
                <w:lang w:val="en-US" w:eastAsia="zh-CN" w:bidi="ar"/>
                <w14:textFill>
                  <w14:solidFill>
                    <w14:schemeClr w14:val="tx1"/>
                  </w14:solidFill>
                </w14:textFill>
              </w:rPr>
              <w:t>7.2</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t/a÷1.0268×10</w:t>
            </w:r>
            <w:r>
              <w:rPr>
                <w:rFonts w:hint="default" w:ascii="Times New Roman" w:hAnsi="Times New Roman" w:eastAsia="宋体" w:cs="Times New Roman"/>
                <w:color w:val="000000" w:themeColor="text1"/>
                <w:kern w:val="0"/>
                <w:sz w:val="24"/>
                <w:szCs w:val="24"/>
                <w:highlight w:val="none"/>
                <w:vertAlign w:val="superscript"/>
                <w:lang w:val="en-US" w:eastAsia="zh-CN" w:bidi="ar"/>
                <w14:textFill>
                  <w14:solidFill>
                    <w14:schemeClr w14:val="tx1"/>
                  </w14:solidFill>
                </w14:textFill>
              </w:rPr>
              <w:t>9</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Nm</w:t>
            </w:r>
            <w:r>
              <w:rPr>
                <w:rFonts w:hint="default" w:ascii="Times New Roman" w:hAnsi="Times New Roman" w:eastAsia="宋体" w:cs="Times New Roman"/>
                <w:color w:val="000000" w:themeColor="text1"/>
                <w:kern w:val="0"/>
                <w:sz w:val="24"/>
                <w:szCs w:val="24"/>
                <w:highlight w:val="none"/>
                <w:vertAlign w:val="superscript"/>
                <w:lang w:val="en-US" w:eastAsia="zh-CN" w:bidi="ar"/>
                <w14:textFill>
                  <w14:solidFill>
                    <w14:schemeClr w14:val="tx1"/>
                  </w14:solidFill>
                </w14:textFill>
              </w:rPr>
              <w:t>3</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/a=</w:t>
            </w:r>
            <w:r>
              <w:rPr>
                <w:rFonts w:hint="eastAsia" w:cs="Times New Roman"/>
                <w:color w:val="000000" w:themeColor="text1"/>
                <w:kern w:val="0"/>
                <w:sz w:val="24"/>
                <w:szCs w:val="24"/>
                <w:highlight w:val="none"/>
                <w:lang w:val="en-US" w:eastAsia="zh-CN" w:bidi="ar"/>
                <w14:textFill>
                  <w14:solidFill>
                    <w14:schemeClr w14:val="tx1"/>
                  </w14:solidFill>
                </w14:textFill>
              </w:rPr>
              <w:t>7.01</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mg/m</w:t>
            </w:r>
            <w:r>
              <w:rPr>
                <w:rFonts w:hint="default" w:ascii="Times New Roman" w:hAnsi="Times New Roman" w:eastAsia="宋体" w:cs="Times New Roman"/>
                <w:color w:val="000000" w:themeColor="text1"/>
                <w:sz w:val="24"/>
                <w:highlight w:val="none"/>
                <w:vertAlign w:val="superscript"/>
                <w:lang w:val="en-US" w:eastAsia="zh-CN"/>
                <w14:textFill>
                  <w14:solidFill>
                    <w14:schemeClr w14:val="tx1"/>
                  </w14:solidFill>
                </w14:textFill>
              </w:rPr>
              <w:t>3</w:t>
            </w:r>
            <w:r>
              <w:rPr>
                <w:rFonts w:hint="eastAsia" w:cs="Times New Roman"/>
                <w:color w:val="000000" w:themeColor="text1"/>
                <w:kern w:val="0"/>
                <w:sz w:val="24"/>
                <w:szCs w:val="24"/>
                <w:highlight w:val="none"/>
                <w:lang w:val="en-US" w:eastAsia="zh-CN" w:bidi="ar"/>
                <w14:textFill>
                  <w14:solidFill>
                    <w14:schemeClr w14:val="tx1"/>
                  </w14:solidFill>
                </w14:textFill>
              </w:rPr>
              <w:t>（1200℃＜t≤1700℃，由于项目烧成温度为1350℃，因此，达标限值20</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mg/m</w:t>
            </w:r>
            <w:r>
              <w:rPr>
                <w:rFonts w:hint="default" w:ascii="Times New Roman" w:hAnsi="Times New Roman" w:eastAsia="宋体" w:cs="Times New Roman"/>
                <w:color w:val="000000" w:themeColor="text1"/>
                <w:sz w:val="24"/>
                <w:highlight w:val="none"/>
                <w:vertAlign w:val="superscript"/>
                <w:lang w:val="en-US" w:eastAsia="zh-CN"/>
                <w14:textFill>
                  <w14:solidFill>
                    <w14:schemeClr w14:val="tx1"/>
                  </w14:solidFill>
                </w14:textFill>
              </w:rPr>
              <w:t>3</w:t>
            </w:r>
            <w:r>
              <w:rPr>
                <w:rFonts w:hint="eastAsia" w:cs="Times New Roman"/>
                <w:color w:val="000000" w:themeColor="text1"/>
                <w:sz w:val="24"/>
                <w:szCs w:val="24"/>
                <w:highlight w:val="none"/>
                <w:vertAlign w:val="baseline"/>
                <w:lang w:val="en-US" w:eastAsia="zh-CN"/>
                <w14:textFill>
                  <w14:solidFill>
                    <w14:schemeClr w14:val="tx1"/>
                  </w14:solidFill>
                </w14:textFill>
              </w:rPr>
              <w:t>）</w:t>
            </w:r>
          </w:p>
          <w:p w14:paraId="22FF9624">
            <w:pPr>
              <w:keepNext w:val="0"/>
              <w:keepLines w:val="0"/>
              <w:pageBreakBefore w:val="0"/>
              <w:widowControl w:val="0"/>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color w:val="000000" w:themeColor="text1"/>
                <w:sz w:val="24"/>
                <w:szCs w:val="24"/>
                <w:highlight w:val="none"/>
                <w:lang w:val="en-US"/>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C.二氧化硫产排量</w:t>
            </w:r>
          </w:p>
          <w:p w14:paraId="7C183E8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000000" w:themeColor="text1"/>
                <w:sz w:val="24"/>
                <w:szCs w:val="32"/>
                <w:highlight w:val="none"/>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煅烧</w:t>
            </w:r>
            <w:r>
              <w:rPr>
                <w:rFonts w:hint="default" w:ascii="Times New Roman" w:hAnsi="Times New Roman" w:cs="Times New Roman"/>
                <w:color w:val="000000" w:themeColor="text1"/>
                <w:sz w:val="24"/>
                <w:szCs w:val="32"/>
                <w:highlight w:val="none"/>
                <w14:textFill>
                  <w14:solidFill>
                    <w14:schemeClr w14:val="tx1"/>
                  </w14:solidFill>
                </w14:textFill>
              </w:rPr>
              <w:t>废气中的二氧化硫全部来自煅烧窑预热器废气，由煅烧过程中煅烧物料、燃料</w:t>
            </w:r>
            <w:r>
              <w:rPr>
                <w:rFonts w:hint="eastAsia" w:cs="Times New Roman"/>
                <w:color w:val="000000" w:themeColor="text1"/>
                <w:sz w:val="24"/>
                <w:szCs w:val="32"/>
                <w:highlight w:val="none"/>
                <w:lang w:eastAsia="zh-CN"/>
                <w14:textFill>
                  <w14:solidFill>
                    <w14:schemeClr w14:val="tx1"/>
                  </w14:solidFill>
                </w14:textFill>
              </w:rPr>
              <w:t>（</w:t>
            </w:r>
            <w:r>
              <w:rPr>
                <w:rFonts w:hint="default" w:ascii="Times New Roman" w:hAnsi="Times New Roman" w:cs="Times New Roman"/>
                <w:color w:val="000000" w:themeColor="text1"/>
                <w:sz w:val="24"/>
                <w:szCs w:val="32"/>
                <w:highlight w:val="none"/>
                <w14:textFill>
                  <w14:solidFill>
                    <w14:schemeClr w14:val="tx1"/>
                  </w14:solidFill>
                </w14:textFill>
              </w:rPr>
              <w:t>焦炉煤气</w:t>
            </w:r>
            <w:r>
              <w:rPr>
                <w:rFonts w:hint="eastAsia" w:cs="Times New Roman"/>
                <w:color w:val="000000" w:themeColor="text1"/>
                <w:sz w:val="24"/>
                <w:szCs w:val="32"/>
                <w:highlight w:val="none"/>
                <w:lang w:eastAsia="zh-CN"/>
                <w14:textFill>
                  <w14:solidFill>
                    <w14:schemeClr w14:val="tx1"/>
                  </w14:solidFill>
                </w14:textFill>
              </w:rPr>
              <w:t>）</w:t>
            </w:r>
            <w:r>
              <w:rPr>
                <w:rFonts w:hint="default" w:ascii="Times New Roman" w:hAnsi="Times New Roman" w:cs="Times New Roman"/>
                <w:color w:val="000000" w:themeColor="text1"/>
                <w:sz w:val="24"/>
                <w:szCs w:val="32"/>
                <w:highlight w:val="none"/>
                <w14:textFill>
                  <w14:solidFill>
                    <w14:schemeClr w14:val="tx1"/>
                  </w14:solidFill>
                </w14:textFill>
              </w:rPr>
              <w:t>中硫元素进入烟气中产生。</w:t>
            </w:r>
          </w:p>
          <w:p w14:paraId="23E63D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000000" w:themeColor="text1"/>
                <w:sz w:val="24"/>
                <w:szCs w:val="32"/>
                <w:highlight w:val="none"/>
                <w14:textFill>
                  <w14:solidFill>
                    <w14:schemeClr w14:val="tx1"/>
                  </w14:solidFill>
                </w14:textFill>
              </w:rPr>
            </w:pPr>
            <w:r>
              <w:rPr>
                <w:rFonts w:hint="default" w:ascii="Times New Roman" w:hAnsi="Times New Roman" w:cs="Times New Roman"/>
                <w:color w:val="000000" w:themeColor="text1"/>
                <w:sz w:val="24"/>
                <w:szCs w:val="32"/>
                <w:highlight w:val="none"/>
                <w14:textFill>
                  <w14:solidFill>
                    <w14:schemeClr w14:val="tx1"/>
                  </w14:solidFill>
                </w14:textFill>
              </w:rPr>
              <w:t>本项目年消耗</w:t>
            </w:r>
            <w:r>
              <w:rPr>
                <w:rFonts w:hint="eastAsia" w:cs="Times New Roman"/>
                <w:color w:val="000000" w:themeColor="text1"/>
                <w:sz w:val="24"/>
                <w:szCs w:val="32"/>
                <w:highlight w:val="none"/>
                <w:lang w:val="en-US" w:eastAsia="zh-CN"/>
                <w14:textFill>
                  <w14:solidFill>
                    <w14:schemeClr w14:val="tx1"/>
                  </w14:solidFill>
                </w14:textFill>
              </w:rPr>
              <w:t>原料粉</w:t>
            </w:r>
            <w:r>
              <w:rPr>
                <w:rFonts w:hint="default" w:ascii="Times New Roman" w:hAnsi="Times New Roman" w:cs="Times New Roman"/>
                <w:color w:val="000000" w:themeColor="text1"/>
                <w:sz w:val="24"/>
                <w:szCs w:val="32"/>
                <w:highlight w:val="none"/>
                <w:lang w:val="en-US" w:eastAsia="zh-CN"/>
                <w14:textFill>
                  <w14:solidFill>
                    <w14:schemeClr w14:val="tx1"/>
                  </w14:solidFill>
                </w14:textFill>
              </w:rPr>
              <w:t>2</w:t>
            </w:r>
            <w:r>
              <w:rPr>
                <w:rFonts w:hint="eastAsia" w:ascii="Times New Roman" w:hAnsi="Times New Roman" w:cs="Times New Roman"/>
                <w:color w:val="000000" w:themeColor="text1"/>
                <w:sz w:val="24"/>
                <w:szCs w:val="32"/>
                <w:highlight w:val="none"/>
                <w:lang w:val="en-US" w:eastAsia="zh-CN"/>
                <w14:textFill>
                  <w14:solidFill>
                    <w14:schemeClr w14:val="tx1"/>
                  </w14:solidFill>
                </w14:textFill>
              </w:rPr>
              <w:t>44234</w:t>
            </w:r>
            <w:r>
              <w:rPr>
                <w:rFonts w:hint="default" w:ascii="Times New Roman" w:hAnsi="Times New Roman" w:cs="Times New Roman"/>
                <w:color w:val="000000" w:themeColor="text1"/>
                <w:sz w:val="24"/>
                <w:szCs w:val="32"/>
                <w:highlight w:val="none"/>
                <w14:textFill>
                  <w14:solidFill>
                    <w14:schemeClr w14:val="tx1"/>
                  </w14:solidFill>
                </w14:textFill>
              </w:rPr>
              <w:t>t/a，含硫量为0.</w:t>
            </w:r>
            <w:r>
              <w:rPr>
                <w:rFonts w:hint="default" w:ascii="Times New Roman" w:hAnsi="Times New Roman" w:cs="Times New Roman"/>
                <w:color w:val="000000" w:themeColor="text1"/>
                <w:sz w:val="24"/>
                <w:szCs w:val="32"/>
                <w:highlight w:val="none"/>
                <w:lang w:val="en-US" w:eastAsia="zh-CN"/>
                <w14:textFill>
                  <w14:solidFill>
                    <w14:schemeClr w14:val="tx1"/>
                  </w14:solidFill>
                </w14:textFill>
              </w:rPr>
              <w:t>08</w:t>
            </w:r>
            <w:r>
              <w:rPr>
                <w:rFonts w:hint="default" w:ascii="Times New Roman" w:hAnsi="Times New Roman" w:cs="Times New Roman"/>
                <w:color w:val="000000" w:themeColor="text1"/>
                <w:sz w:val="24"/>
                <w:szCs w:val="32"/>
                <w:highlight w:val="none"/>
                <w14:textFill>
                  <w14:solidFill>
                    <w14:schemeClr w14:val="tx1"/>
                  </w14:solidFill>
                </w14:textFill>
              </w:rPr>
              <w:t>%，煅烧过程中硫元素的转化率按照</w:t>
            </w:r>
            <w:r>
              <w:rPr>
                <w:rFonts w:hint="eastAsia" w:cs="Times New Roman"/>
                <w:color w:val="000000" w:themeColor="text1"/>
                <w:sz w:val="24"/>
                <w:szCs w:val="32"/>
                <w:highlight w:val="none"/>
                <w:lang w:val="en-US" w:eastAsia="zh-CN"/>
                <w14:textFill>
                  <w14:solidFill>
                    <w14:schemeClr w14:val="tx1"/>
                  </w14:solidFill>
                </w14:textFill>
              </w:rPr>
              <w:t>9</w:t>
            </w:r>
            <w:r>
              <w:rPr>
                <w:rFonts w:hint="default" w:ascii="Times New Roman" w:hAnsi="Times New Roman" w:cs="Times New Roman"/>
                <w:color w:val="000000" w:themeColor="text1"/>
                <w:sz w:val="24"/>
                <w:szCs w:val="32"/>
                <w:highlight w:val="none"/>
                <w14:textFill>
                  <w14:solidFill>
                    <w14:schemeClr w14:val="tx1"/>
                  </w14:solidFill>
                </w14:textFill>
              </w:rPr>
              <w:t>0%计算</w:t>
            </w:r>
            <w:r>
              <w:rPr>
                <w:rFonts w:hint="default" w:ascii="Times New Roman" w:hAnsi="Times New Roman" w:cs="Times New Roman"/>
                <w:color w:val="000000" w:themeColor="text1"/>
                <w:sz w:val="24"/>
                <w:szCs w:val="32"/>
                <w:highlight w:val="none"/>
                <w:lang w:eastAsia="zh-CN"/>
                <w14:textFill>
                  <w14:solidFill>
                    <w14:schemeClr w14:val="tx1"/>
                  </w14:solidFill>
                </w14:textFill>
              </w:rPr>
              <w:t>；</w:t>
            </w:r>
            <w:r>
              <w:rPr>
                <w:rFonts w:hint="default" w:ascii="Times New Roman" w:hAnsi="Times New Roman" w:cs="Times New Roman"/>
                <w:color w:val="000000" w:themeColor="text1"/>
                <w:sz w:val="24"/>
                <w:szCs w:val="32"/>
                <w:highlight w:val="none"/>
                <w14:textFill>
                  <w14:solidFill>
                    <w14:schemeClr w14:val="tx1"/>
                  </w14:solidFill>
                </w14:textFill>
              </w:rPr>
              <w:t>焦炉煤气消耗量为</w:t>
            </w:r>
            <w:r>
              <w:rPr>
                <w:rFonts w:hint="default" w:ascii="Times New Roman" w:hAnsi="Times New Roman" w:cs="Times New Roman"/>
                <w:color w:val="000000" w:themeColor="text1"/>
                <w:sz w:val="24"/>
                <w:szCs w:val="32"/>
                <w:highlight w:val="none"/>
                <w:lang w:val="en-US" w:eastAsia="zh-CN"/>
                <w14:textFill>
                  <w14:solidFill>
                    <w14:schemeClr w14:val="tx1"/>
                  </w14:solidFill>
                </w14:textFill>
              </w:rPr>
              <w:t>4403</w:t>
            </w:r>
            <w:r>
              <w:rPr>
                <w:rFonts w:hint="eastAsia" w:cs="Times New Roman"/>
                <w:color w:val="000000" w:themeColor="text1"/>
                <w:sz w:val="24"/>
                <w:szCs w:val="32"/>
                <w:highlight w:val="none"/>
                <w:lang w:val="en-US" w:eastAsia="zh-CN"/>
                <w14:textFill>
                  <w14:solidFill>
                    <w14:schemeClr w14:val="tx1"/>
                  </w14:solidFill>
                </w14:textFill>
              </w:rPr>
              <w:t>.</w:t>
            </w:r>
            <w:r>
              <w:rPr>
                <w:rFonts w:hint="default" w:ascii="Times New Roman" w:hAnsi="Times New Roman" w:cs="Times New Roman"/>
                <w:color w:val="000000" w:themeColor="text1"/>
                <w:sz w:val="24"/>
                <w:szCs w:val="32"/>
                <w:highlight w:val="none"/>
                <w:lang w:val="en-US" w:eastAsia="zh-CN"/>
                <w14:textFill>
                  <w14:solidFill>
                    <w14:schemeClr w14:val="tx1"/>
                  </w14:solidFill>
                </w14:textFill>
              </w:rPr>
              <w:t>7</w:t>
            </w:r>
            <w:r>
              <w:rPr>
                <w:rFonts w:hint="default" w:ascii="Times New Roman" w:hAnsi="Times New Roman" w:cs="Times New Roman"/>
                <w:color w:val="000000" w:themeColor="text1"/>
                <w:sz w:val="24"/>
                <w:szCs w:val="32"/>
                <w:highlight w:val="none"/>
                <w14:textFill>
                  <w14:solidFill>
                    <w14:schemeClr w14:val="tx1"/>
                  </w14:solidFill>
                </w14:textFill>
              </w:rPr>
              <w:t>万Nm</w:t>
            </w:r>
            <w:r>
              <w:rPr>
                <w:rFonts w:hint="default" w:ascii="Times New Roman" w:hAnsi="Times New Roman" w:cs="Times New Roman"/>
                <w:color w:val="000000" w:themeColor="text1"/>
                <w:sz w:val="24"/>
                <w:szCs w:val="32"/>
                <w:highlight w:val="none"/>
                <w:vertAlign w:val="superscript"/>
                <w14:textFill>
                  <w14:solidFill>
                    <w14:schemeClr w14:val="tx1"/>
                  </w14:solidFill>
                </w14:textFill>
              </w:rPr>
              <w:t>3</w:t>
            </w:r>
            <w:r>
              <w:rPr>
                <w:rFonts w:hint="default" w:ascii="Times New Roman" w:hAnsi="Times New Roman" w:cs="Times New Roman"/>
                <w:color w:val="000000" w:themeColor="text1"/>
                <w:sz w:val="24"/>
                <w:szCs w:val="32"/>
                <w:highlight w:val="none"/>
                <w14:textFill>
                  <w14:solidFill>
                    <w14:schemeClr w14:val="tx1"/>
                  </w14:solidFill>
                </w14:textFill>
              </w:rPr>
              <w:t>/a</w:t>
            </w:r>
            <w:r>
              <w:rPr>
                <w:rFonts w:hint="eastAsia" w:cs="Times New Roman"/>
                <w:color w:val="000000" w:themeColor="text1"/>
                <w:sz w:val="24"/>
                <w:szCs w:val="32"/>
                <w:highlight w:val="none"/>
                <w:lang w:eastAsia="zh-CN"/>
                <w14:textFill>
                  <w14:solidFill>
                    <w14:schemeClr w14:val="tx1"/>
                  </w14:solidFill>
                </w14:textFill>
              </w:rPr>
              <w:t>（</w:t>
            </w:r>
            <w:r>
              <w:rPr>
                <w:rFonts w:hint="default" w:ascii="Times New Roman" w:hAnsi="Times New Roman" w:cs="Times New Roman"/>
                <w:color w:val="000000" w:themeColor="text1"/>
                <w:sz w:val="24"/>
                <w:szCs w:val="32"/>
                <w:highlight w:val="none"/>
                <w14:textFill>
                  <w14:solidFill>
                    <w14:schemeClr w14:val="tx1"/>
                  </w14:solidFill>
                </w14:textFill>
              </w:rPr>
              <w:t>密度0.</w:t>
            </w:r>
            <w:r>
              <w:rPr>
                <w:rFonts w:hint="default" w:ascii="Times New Roman" w:hAnsi="Times New Roman" w:cs="Times New Roman"/>
                <w:color w:val="000000" w:themeColor="text1"/>
                <w:sz w:val="24"/>
                <w:szCs w:val="32"/>
                <w:highlight w:val="none"/>
                <w:lang w:val="en-US" w:eastAsia="zh-CN"/>
                <w14:textFill>
                  <w14:solidFill>
                    <w14:schemeClr w14:val="tx1"/>
                  </w14:solidFill>
                </w14:textFill>
              </w:rPr>
              <w:t>9</w:t>
            </w:r>
            <w:r>
              <w:rPr>
                <w:rFonts w:hint="default" w:ascii="Times New Roman" w:hAnsi="Times New Roman" w:cs="Times New Roman"/>
                <w:color w:val="000000" w:themeColor="text1"/>
                <w:sz w:val="24"/>
                <w:szCs w:val="32"/>
                <w:highlight w:val="none"/>
                <w14:textFill>
                  <w14:solidFill>
                    <w14:schemeClr w14:val="tx1"/>
                  </w14:solidFill>
                </w14:textFill>
              </w:rPr>
              <w:t>5kg/Nm</w:t>
            </w:r>
            <w:r>
              <w:rPr>
                <w:rFonts w:hint="default" w:ascii="Times New Roman" w:hAnsi="Times New Roman" w:cs="Times New Roman"/>
                <w:color w:val="000000" w:themeColor="text1"/>
                <w:sz w:val="24"/>
                <w:szCs w:val="32"/>
                <w:highlight w:val="none"/>
                <w:vertAlign w:val="superscript"/>
                <w14:textFill>
                  <w14:solidFill>
                    <w14:schemeClr w14:val="tx1"/>
                  </w14:solidFill>
                </w14:textFill>
              </w:rPr>
              <w:t>3</w:t>
            </w:r>
            <w:r>
              <w:rPr>
                <w:rFonts w:hint="eastAsia" w:cs="Times New Roman"/>
                <w:color w:val="000000" w:themeColor="text1"/>
                <w:sz w:val="24"/>
                <w:szCs w:val="32"/>
                <w:highlight w:val="none"/>
                <w:vertAlign w:val="baseline"/>
                <w:lang w:eastAsia="zh-CN"/>
                <w14:textFill>
                  <w14:solidFill>
                    <w14:schemeClr w14:val="tx1"/>
                  </w14:solidFill>
                </w14:textFill>
              </w:rPr>
              <w:t>）</w:t>
            </w:r>
            <w:r>
              <w:rPr>
                <w:rFonts w:hint="default" w:ascii="Times New Roman" w:hAnsi="Times New Roman" w:cs="Times New Roman"/>
                <w:color w:val="000000" w:themeColor="text1"/>
                <w:sz w:val="24"/>
                <w:szCs w:val="32"/>
                <w:highlight w:val="none"/>
                <w14:textFill>
                  <w14:solidFill>
                    <w14:schemeClr w14:val="tx1"/>
                  </w14:solidFill>
                </w14:textFill>
              </w:rPr>
              <w:t>，H</w:t>
            </w:r>
            <w:r>
              <w:rPr>
                <w:rFonts w:hint="default" w:ascii="Times New Roman" w:hAnsi="Times New Roman" w:cs="Times New Roman"/>
                <w:color w:val="000000" w:themeColor="text1"/>
                <w:sz w:val="24"/>
                <w:szCs w:val="32"/>
                <w:highlight w:val="none"/>
                <w:vertAlign w:val="subscript"/>
                <w14:textFill>
                  <w14:solidFill>
                    <w14:schemeClr w14:val="tx1"/>
                  </w14:solidFill>
                </w14:textFill>
              </w:rPr>
              <w:t>2</w:t>
            </w:r>
            <w:r>
              <w:rPr>
                <w:rFonts w:hint="default" w:ascii="Times New Roman" w:hAnsi="Times New Roman" w:cs="Times New Roman"/>
                <w:color w:val="000000" w:themeColor="text1"/>
                <w:sz w:val="24"/>
                <w:szCs w:val="32"/>
                <w:highlight w:val="none"/>
                <w14:textFill>
                  <w14:solidFill>
                    <w14:schemeClr w14:val="tx1"/>
                  </w14:solidFill>
                </w14:textFill>
              </w:rPr>
              <w:t>S含量为</w:t>
            </w:r>
            <w:r>
              <w:rPr>
                <w:rFonts w:hint="default" w:ascii="Times New Roman" w:hAnsi="Times New Roman" w:cs="Times New Roman"/>
                <w:color w:val="000000" w:themeColor="text1"/>
                <w:sz w:val="24"/>
                <w:szCs w:val="32"/>
                <w:highlight w:val="none"/>
                <w:lang w:val="en-US" w:eastAsia="zh-CN"/>
                <w14:textFill>
                  <w14:solidFill>
                    <w14:schemeClr w14:val="tx1"/>
                  </w14:solidFill>
                </w14:textFill>
              </w:rPr>
              <w:t>20</w:t>
            </w:r>
            <w:r>
              <w:rPr>
                <w:rFonts w:hint="default" w:ascii="Times New Roman" w:hAnsi="Times New Roman" w:cs="Times New Roman"/>
                <w:color w:val="000000" w:themeColor="text1"/>
                <w:sz w:val="24"/>
                <w:szCs w:val="32"/>
                <w:highlight w:val="none"/>
                <w14:textFill>
                  <w14:solidFill>
                    <w14:schemeClr w14:val="tx1"/>
                  </w14:solidFill>
                </w14:textFill>
              </w:rPr>
              <w:t>mg/</w:t>
            </w:r>
            <w:r>
              <w:rPr>
                <w:rFonts w:hint="default" w:ascii="Times New Roman" w:hAnsi="Times New Roman" w:cs="Times New Roman"/>
                <w:color w:val="000000" w:themeColor="text1"/>
                <w:sz w:val="24"/>
                <w:szCs w:val="32"/>
                <w:highlight w:val="none"/>
                <w:lang w:val="en-US" w:eastAsia="zh-CN"/>
                <w14:textFill>
                  <w14:solidFill>
                    <w14:schemeClr w14:val="tx1"/>
                  </w14:solidFill>
                </w14:textFill>
              </w:rPr>
              <w:t>m</w:t>
            </w:r>
            <w:r>
              <w:rPr>
                <w:rFonts w:hint="default" w:ascii="Times New Roman" w:hAnsi="Times New Roman" w:cs="Times New Roman"/>
                <w:color w:val="000000" w:themeColor="text1"/>
                <w:sz w:val="24"/>
                <w:szCs w:val="32"/>
                <w:highlight w:val="none"/>
                <w:vertAlign w:val="superscript"/>
                <w:lang w:val="en-US" w:eastAsia="zh-CN"/>
                <w14:textFill>
                  <w14:solidFill>
                    <w14:schemeClr w14:val="tx1"/>
                  </w14:solidFill>
                </w14:textFill>
              </w:rPr>
              <w:t>3</w:t>
            </w:r>
            <w:r>
              <w:rPr>
                <w:rFonts w:hint="default" w:ascii="Times New Roman" w:hAnsi="Times New Roman" w:cs="Times New Roman"/>
                <w:color w:val="000000" w:themeColor="text1"/>
                <w:sz w:val="24"/>
                <w:szCs w:val="32"/>
                <w:highlight w:val="none"/>
                <w14:textFill>
                  <w14:solidFill>
                    <w14:schemeClr w14:val="tx1"/>
                  </w14:solidFill>
                </w14:textFill>
              </w:rPr>
              <w:t>，</w:t>
            </w:r>
            <w:r>
              <w:rPr>
                <w:rFonts w:hint="default" w:ascii="Times New Roman" w:hAnsi="Times New Roman" w:cs="Times New Roman"/>
                <w:color w:val="000000" w:themeColor="text1"/>
                <w:sz w:val="24"/>
                <w:szCs w:val="32"/>
                <w:highlight w:val="none"/>
                <w:lang w:val="en-US" w:eastAsia="zh-CN"/>
                <w14:textFill>
                  <w14:solidFill>
                    <w14:schemeClr w14:val="tx1"/>
                  </w14:solidFill>
                </w14:textFill>
              </w:rPr>
              <w:t>有机硫含量为30</w:t>
            </w:r>
            <w:r>
              <w:rPr>
                <w:rFonts w:hint="default" w:ascii="Times New Roman" w:hAnsi="Times New Roman" w:cs="Times New Roman"/>
                <w:color w:val="000000" w:themeColor="text1"/>
                <w:sz w:val="24"/>
                <w:szCs w:val="32"/>
                <w:highlight w:val="none"/>
                <w14:textFill>
                  <w14:solidFill>
                    <w14:schemeClr w14:val="tx1"/>
                  </w14:solidFill>
                </w14:textFill>
              </w:rPr>
              <w:t>mg/</w:t>
            </w:r>
            <w:r>
              <w:rPr>
                <w:rFonts w:hint="default" w:ascii="Times New Roman" w:hAnsi="Times New Roman" w:cs="Times New Roman"/>
                <w:color w:val="000000" w:themeColor="text1"/>
                <w:sz w:val="24"/>
                <w:szCs w:val="32"/>
                <w:highlight w:val="none"/>
                <w:lang w:val="en-US" w:eastAsia="zh-CN"/>
                <w14:textFill>
                  <w14:solidFill>
                    <w14:schemeClr w14:val="tx1"/>
                  </w14:solidFill>
                </w14:textFill>
              </w:rPr>
              <w:t>m</w:t>
            </w:r>
            <w:r>
              <w:rPr>
                <w:rFonts w:hint="default" w:ascii="Times New Roman" w:hAnsi="Times New Roman" w:cs="Times New Roman"/>
                <w:color w:val="000000" w:themeColor="text1"/>
                <w:sz w:val="24"/>
                <w:szCs w:val="32"/>
                <w:highlight w:val="none"/>
                <w:vertAlign w:val="superscript"/>
                <w:lang w:val="en-US" w:eastAsia="zh-CN"/>
                <w14:textFill>
                  <w14:solidFill>
                    <w14:schemeClr w14:val="tx1"/>
                  </w14:solidFill>
                </w14:textFill>
              </w:rPr>
              <w:t>3</w:t>
            </w:r>
            <w:r>
              <w:rPr>
                <w:rFonts w:hint="default" w:ascii="Times New Roman" w:hAnsi="Times New Roman" w:cs="Times New Roman"/>
                <w:color w:val="000000" w:themeColor="text1"/>
                <w:sz w:val="24"/>
                <w:szCs w:val="32"/>
                <w:highlight w:val="none"/>
                <w14:textFill>
                  <w14:solidFill>
                    <w14:schemeClr w14:val="tx1"/>
                  </w14:solidFill>
                </w14:textFill>
              </w:rPr>
              <w:t>，硫元素转化率按照100%计算</w:t>
            </w:r>
            <w:r>
              <w:rPr>
                <w:rFonts w:hint="default" w:ascii="Times New Roman" w:hAnsi="Times New Roman" w:cs="Times New Roman"/>
                <w:color w:val="000000" w:themeColor="text1"/>
                <w:sz w:val="24"/>
                <w:szCs w:val="32"/>
                <w:highlight w:val="none"/>
                <w:lang w:eastAsia="zh-CN"/>
                <w14:textFill>
                  <w14:solidFill>
                    <w14:schemeClr w14:val="tx1"/>
                  </w14:solidFill>
                </w14:textFill>
              </w:rPr>
              <w:t>（</w:t>
            </w:r>
            <w:r>
              <w:rPr>
                <w:rFonts w:hint="default" w:ascii="Times New Roman" w:hAnsi="Times New Roman" w:cs="Times New Roman"/>
                <w:color w:val="000000" w:themeColor="text1"/>
                <w:sz w:val="24"/>
                <w:szCs w:val="32"/>
                <w:highlight w:val="none"/>
                <w:lang w:val="en-US" w:eastAsia="zh-CN"/>
                <w14:textFill>
                  <w14:solidFill>
                    <w14:schemeClr w14:val="tx1"/>
                  </w14:solidFill>
                </w14:textFill>
              </w:rPr>
              <w:t>有机硫完全转化为二氧化硫的转化系数约1.5，</w:t>
            </w:r>
            <w:r>
              <w:rPr>
                <w:rFonts w:hint="default" w:ascii="Times New Roman" w:hAnsi="Times New Roman" w:cs="Times New Roman"/>
                <w:color w:val="000000" w:themeColor="text1"/>
                <w:sz w:val="24"/>
                <w:szCs w:val="32"/>
                <w:highlight w:val="none"/>
                <w:vertAlign w:val="baseline"/>
                <w:lang w:val="en-US" w:eastAsia="zh-CN"/>
                <w14:textFill>
                  <w14:solidFill>
                    <w14:schemeClr w14:val="tx1"/>
                  </w14:solidFill>
                </w14:textFill>
              </w:rPr>
              <w:t>硫化氢</w:t>
            </w:r>
            <w:r>
              <w:rPr>
                <w:rFonts w:hint="default" w:ascii="Times New Roman" w:hAnsi="Times New Roman" w:cs="Times New Roman"/>
                <w:color w:val="000000" w:themeColor="text1"/>
                <w:sz w:val="24"/>
                <w:szCs w:val="32"/>
                <w:highlight w:val="none"/>
                <w:lang w:val="en-US" w:eastAsia="zh-CN"/>
                <w14:textFill>
                  <w14:solidFill>
                    <w14:schemeClr w14:val="tx1"/>
                  </w14:solidFill>
                </w14:textFill>
              </w:rPr>
              <w:t>完全转化为二氧化硫的转化系数约</w:t>
            </w:r>
            <w:r>
              <w:rPr>
                <w:rFonts w:hint="default" w:ascii="Times New Roman" w:hAnsi="Times New Roman" w:cs="Times New Roman"/>
                <w:color w:val="000000" w:themeColor="text1"/>
                <w:sz w:val="24"/>
                <w:szCs w:val="32"/>
                <w:highlight w:val="none"/>
                <w:vertAlign w:val="baseline"/>
                <w:lang w:eastAsia="zh-CN"/>
                <w14:textFill>
                  <w14:solidFill>
                    <w14:schemeClr w14:val="tx1"/>
                  </w14:solidFill>
                </w14:textFill>
              </w:rPr>
              <w:t>1.</w:t>
            </w:r>
            <w:r>
              <w:rPr>
                <w:rFonts w:hint="default" w:ascii="Times New Roman" w:hAnsi="Times New Roman" w:cs="Times New Roman"/>
                <w:color w:val="000000" w:themeColor="text1"/>
                <w:sz w:val="24"/>
                <w:szCs w:val="32"/>
                <w:highlight w:val="none"/>
                <w:vertAlign w:val="baseline"/>
                <w:lang w:val="en-US" w:eastAsia="zh-CN"/>
                <w14:textFill>
                  <w14:solidFill>
                    <w14:schemeClr w14:val="tx1"/>
                  </w14:solidFill>
                </w14:textFill>
              </w:rPr>
              <w:t>88</w:t>
            </w:r>
            <w:r>
              <w:rPr>
                <w:rFonts w:hint="default" w:ascii="Times New Roman" w:hAnsi="Times New Roman" w:cs="Times New Roman"/>
                <w:color w:val="000000" w:themeColor="text1"/>
                <w:sz w:val="24"/>
                <w:szCs w:val="32"/>
                <w:highlight w:val="none"/>
                <w:vertAlign w:val="baseline"/>
                <w:lang w:eastAsia="zh-CN"/>
                <w14:textFill>
                  <w14:solidFill>
                    <w14:schemeClr w14:val="tx1"/>
                  </w14:solidFill>
                </w14:textFill>
              </w:rPr>
              <w:t>）</w:t>
            </w:r>
            <w:r>
              <w:rPr>
                <w:rFonts w:hint="default" w:ascii="Times New Roman" w:hAnsi="Times New Roman" w:cs="Times New Roman"/>
                <w:color w:val="000000" w:themeColor="text1"/>
                <w:sz w:val="24"/>
                <w:szCs w:val="32"/>
                <w:highlight w:val="none"/>
                <w14:textFill>
                  <w14:solidFill>
                    <w14:schemeClr w14:val="tx1"/>
                  </w14:solidFill>
                </w14:textFill>
              </w:rPr>
              <w:t>。</w:t>
            </w:r>
          </w:p>
          <w:p w14:paraId="11D5516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000000" w:themeColor="text1"/>
                <w:sz w:val="24"/>
                <w:szCs w:val="32"/>
                <w:highlight w:val="none"/>
                <w:vertAlign w:val="baseline"/>
                <w:lang w:eastAsia="zh-CN"/>
                <w14:textFill>
                  <w14:solidFill>
                    <w14:schemeClr w14:val="tx1"/>
                  </w14:solidFill>
                </w14:textFill>
              </w:rPr>
            </w:pPr>
            <w:r>
              <w:rPr>
                <w:rFonts w:hint="eastAsia" w:cs="Times New Roman"/>
                <w:color w:val="000000" w:themeColor="text1"/>
                <w:sz w:val="24"/>
                <w:szCs w:val="32"/>
                <w:highlight w:val="none"/>
                <w:vertAlign w:val="baseline"/>
                <w:lang w:val="en-US" w:eastAsia="zh-CN"/>
                <w14:textFill>
                  <w14:solidFill>
                    <w14:schemeClr w14:val="tx1"/>
                  </w14:solidFill>
                </w14:textFill>
              </w:rPr>
              <w:t>①原料粉</w:t>
            </w:r>
            <w:r>
              <w:rPr>
                <w:rFonts w:hint="default" w:ascii="Times New Roman" w:hAnsi="Times New Roman" w:cs="Times New Roman"/>
                <w:color w:val="000000" w:themeColor="text1"/>
                <w:sz w:val="24"/>
                <w:szCs w:val="32"/>
                <w:highlight w:val="none"/>
                <w:vertAlign w:val="baseline"/>
                <w:lang w:val="en-US" w:eastAsia="zh-CN"/>
                <w14:textFill>
                  <w14:solidFill>
                    <w14:schemeClr w14:val="tx1"/>
                  </w14:solidFill>
                </w14:textFill>
              </w:rPr>
              <w:t>残留硫</w:t>
            </w:r>
            <w:r>
              <w:rPr>
                <w:rFonts w:hint="default" w:ascii="Times New Roman" w:hAnsi="Times New Roman" w:cs="Times New Roman"/>
                <w:color w:val="000000" w:themeColor="text1"/>
                <w:sz w:val="24"/>
                <w:szCs w:val="32"/>
                <w:highlight w:val="none"/>
                <w:vertAlign w:val="baseline"/>
                <w:lang w:eastAsia="zh-CN"/>
                <w14:textFill>
                  <w14:solidFill>
                    <w14:schemeClr w14:val="tx1"/>
                  </w14:solidFill>
                </w14:textFill>
              </w:rPr>
              <w:t>产生的二氧化硫量</w:t>
            </w:r>
          </w:p>
          <w:p w14:paraId="776A0D0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000000" w:themeColor="text1"/>
                <w:sz w:val="24"/>
                <w:szCs w:val="32"/>
                <w:highlight w:val="none"/>
                <w:lang w:eastAsia="zh-CN"/>
                <w14:textFill>
                  <w14:solidFill>
                    <w14:schemeClr w14:val="tx1"/>
                  </w14:solidFill>
                </w14:textFill>
              </w:rPr>
            </w:pPr>
            <w:r>
              <w:rPr>
                <w:rFonts w:hint="default" w:ascii="Times New Roman" w:hAnsi="Times New Roman" w:cs="Times New Roman"/>
                <w:color w:val="000000" w:themeColor="text1"/>
                <w:sz w:val="24"/>
                <w:szCs w:val="32"/>
                <w:highlight w:val="none"/>
                <w14:textFill>
                  <w14:solidFill>
                    <w14:schemeClr w14:val="tx1"/>
                  </w14:solidFill>
                </w14:textFill>
              </w:rPr>
              <w:t>本项目年消耗</w:t>
            </w:r>
            <w:r>
              <w:rPr>
                <w:rFonts w:hint="eastAsia" w:cs="Times New Roman"/>
                <w:color w:val="000000" w:themeColor="text1"/>
                <w:sz w:val="24"/>
                <w:szCs w:val="32"/>
                <w:highlight w:val="none"/>
                <w:lang w:val="en-US" w:eastAsia="zh-CN"/>
                <w14:textFill>
                  <w14:solidFill>
                    <w14:schemeClr w14:val="tx1"/>
                  </w14:solidFill>
                </w14:textFill>
              </w:rPr>
              <w:t>原料粉</w:t>
            </w:r>
            <w:r>
              <w:rPr>
                <w:rFonts w:hint="default" w:ascii="Times New Roman" w:hAnsi="Times New Roman" w:cs="Times New Roman"/>
                <w:color w:val="000000" w:themeColor="text1"/>
                <w:sz w:val="24"/>
                <w:szCs w:val="32"/>
                <w:highlight w:val="none"/>
                <w:lang w:val="en-US" w:eastAsia="zh-CN"/>
                <w14:textFill>
                  <w14:solidFill>
                    <w14:schemeClr w14:val="tx1"/>
                  </w14:solidFill>
                </w14:textFill>
              </w:rPr>
              <w:t>2</w:t>
            </w:r>
            <w:r>
              <w:rPr>
                <w:rFonts w:hint="eastAsia" w:ascii="Times New Roman" w:hAnsi="Times New Roman" w:cs="Times New Roman"/>
                <w:color w:val="000000" w:themeColor="text1"/>
                <w:sz w:val="24"/>
                <w:szCs w:val="32"/>
                <w:highlight w:val="none"/>
                <w:lang w:val="en-US" w:eastAsia="zh-CN"/>
                <w14:textFill>
                  <w14:solidFill>
                    <w14:schemeClr w14:val="tx1"/>
                  </w14:solidFill>
                </w14:textFill>
              </w:rPr>
              <w:t>44234</w:t>
            </w:r>
            <w:r>
              <w:rPr>
                <w:rFonts w:hint="default" w:ascii="Times New Roman" w:hAnsi="Times New Roman" w:cs="Times New Roman"/>
                <w:color w:val="000000" w:themeColor="text1"/>
                <w:sz w:val="24"/>
                <w:szCs w:val="32"/>
                <w:highlight w:val="none"/>
                <w14:textFill>
                  <w14:solidFill>
                    <w14:schemeClr w14:val="tx1"/>
                  </w14:solidFill>
                </w14:textFill>
              </w:rPr>
              <w:t>t/a，含硫量为0.</w:t>
            </w:r>
            <w:r>
              <w:rPr>
                <w:rFonts w:hint="default" w:ascii="Times New Roman" w:hAnsi="Times New Roman" w:cs="Times New Roman"/>
                <w:color w:val="000000" w:themeColor="text1"/>
                <w:sz w:val="24"/>
                <w:szCs w:val="32"/>
                <w:highlight w:val="none"/>
                <w:lang w:val="en-US" w:eastAsia="zh-CN"/>
                <w14:textFill>
                  <w14:solidFill>
                    <w14:schemeClr w14:val="tx1"/>
                  </w14:solidFill>
                </w14:textFill>
              </w:rPr>
              <w:t>08</w:t>
            </w:r>
            <w:r>
              <w:rPr>
                <w:rFonts w:hint="default" w:ascii="Times New Roman" w:hAnsi="Times New Roman" w:cs="Times New Roman"/>
                <w:color w:val="000000" w:themeColor="text1"/>
                <w:sz w:val="24"/>
                <w:szCs w:val="32"/>
                <w:highlight w:val="none"/>
                <w14:textFill>
                  <w14:solidFill>
                    <w14:schemeClr w14:val="tx1"/>
                  </w14:solidFill>
                </w14:textFill>
              </w:rPr>
              <w:t>%，煅烧过程中硫元素的转化率按照90%计算</w:t>
            </w:r>
            <w:r>
              <w:rPr>
                <w:rFonts w:hint="default" w:ascii="Times New Roman" w:hAnsi="Times New Roman" w:cs="Times New Roman"/>
                <w:color w:val="000000" w:themeColor="text1"/>
                <w:sz w:val="24"/>
                <w:szCs w:val="32"/>
                <w:highlight w:val="none"/>
                <w:lang w:eastAsia="zh-CN"/>
                <w14:textFill>
                  <w14:solidFill>
                    <w14:schemeClr w14:val="tx1"/>
                  </w14:solidFill>
                </w14:textFill>
              </w:rPr>
              <w:t>；</w:t>
            </w:r>
          </w:p>
          <w:p w14:paraId="1EFD94C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eastAsiaTheme="minorEastAsia"/>
                <w:color w:val="000000" w:themeColor="text1"/>
                <w:sz w:val="24"/>
                <w:szCs w:val="32"/>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32"/>
                <w:highlight w:val="none"/>
                <w:lang w:val="en-US" w:eastAsia="zh-CN"/>
                <w14:textFill>
                  <w14:solidFill>
                    <w14:schemeClr w14:val="tx1"/>
                  </w14:solidFill>
                </w14:textFill>
              </w:rPr>
              <w:t>则</w:t>
            </w:r>
            <w:r>
              <w:rPr>
                <w:rFonts w:hint="default" w:ascii="Times New Roman" w:hAnsi="Times New Roman" w:cs="Times New Roman"/>
                <w:color w:val="000000" w:themeColor="text1"/>
                <w:sz w:val="24"/>
                <w:szCs w:val="32"/>
                <w:highlight w:val="none"/>
                <w:vertAlign w:val="baseline"/>
                <w:lang w:eastAsia="zh-CN"/>
                <w14:textFill>
                  <w14:solidFill>
                    <w14:schemeClr w14:val="tx1"/>
                  </w14:solidFill>
                </w14:textFill>
              </w:rPr>
              <w:t>燃烧</w:t>
            </w:r>
            <w:r>
              <w:rPr>
                <w:rFonts w:hint="default" w:ascii="Times New Roman" w:hAnsi="Times New Roman" w:cs="Times New Roman"/>
                <w:color w:val="000000" w:themeColor="text1"/>
                <w:sz w:val="24"/>
                <w:szCs w:val="32"/>
                <w:highlight w:val="none"/>
                <w:vertAlign w:val="baseline"/>
                <w:lang w:val="en-US" w:eastAsia="zh-CN"/>
                <w14:textFill>
                  <w14:solidFill>
                    <w14:schemeClr w14:val="tx1"/>
                  </w14:solidFill>
                </w14:textFill>
              </w:rPr>
              <w:t>后</w:t>
            </w:r>
            <w:r>
              <w:rPr>
                <w:rFonts w:hint="default" w:ascii="Times New Roman" w:hAnsi="Times New Roman" w:cs="Times New Roman"/>
                <w:color w:val="000000" w:themeColor="text1"/>
                <w:sz w:val="24"/>
                <w:szCs w:val="32"/>
                <w:highlight w:val="none"/>
                <w:vertAlign w:val="baseline"/>
                <w:lang w:eastAsia="zh-CN"/>
                <w14:textFill>
                  <w14:solidFill>
                    <w14:schemeClr w14:val="tx1"/>
                  </w14:solidFill>
                </w14:textFill>
              </w:rPr>
              <w:t>SO₂产生</w:t>
            </w:r>
            <w:r>
              <w:rPr>
                <w:rFonts w:hint="default" w:ascii="Times New Roman" w:hAnsi="Times New Roman" w:cs="Times New Roman"/>
                <w:color w:val="000000" w:themeColor="text1"/>
                <w:sz w:val="24"/>
                <w:szCs w:val="32"/>
                <w:highlight w:val="none"/>
                <w:vertAlign w:val="baseline"/>
                <w:lang w:val="en-US" w:eastAsia="zh-CN"/>
                <w14:textFill>
                  <w14:solidFill>
                    <w14:schemeClr w14:val="tx1"/>
                  </w14:solidFill>
                </w14:textFill>
              </w:rPr>
              <w:t>量=(</w:t>
            </w:r>
            <w:r>
              <w:rPr>
                <w:rFonts w:hint="default" w:ascii="Times New Roman" w:hAnsi="Times New Roman" w:cs="Times New Roman"/>
                <w:color w:val="000000" w:themeColor="text1"/>
                <w:sz w:val="24"/>
                <w:szCs w:val="32"/>
                <w:highlight w:val="none"/>
                <w:lang w:val="en-US" w:eastAsia="zh-CN"/>
                <w14:textFill>
                  <w14:solidFill>
                    <w14:schemeClr w14:val="tx1"/>
                  </w14:solidFill>
                </w14:textFill>
              </w:rPr>
              <w:t>2</w:t>
            </w:r>
            <w:r>
              <w:rPr>
                <w:rFonts w:hint="eastAsia" w:ascii="Times New Roman" w:hAnsi="Times New Roman" w:cs="Times New Roman"/>
                <w:color w:val="000000" w:themeColor="text1"/>
                <w:sz w:val="24"/>
                <w:szCs w:val="32"/>
                <w:highlight w:val="none"/>
                <w:lang w:val="en-US" w:eastAsia="zh-CN"/>
                <w14:textFill>
                  <w14:solidFill>
                    <w14:schemeClr w14:val="tx1"/>
                  </w14:solidFill>
                </w14:textFill>
              </w:rPr>
              <w:t>44234</w:t>
            </w:r>
            <w:r>
              <w:rPr>
                <w:rFonts w:hint="default" w:ascii="Times New Roman" w:hAnsi="Times New Roman" w:cs="Times New Roman"/>
                <w:color w:val="000000" w:themeColor="text1"/>
                <w:sz w:val="24"/>
                <w:szCs w:val="32"/>
                <w:highlight w:val="none"/>
                <w:vertAlign w:val="baseline"/>
                <w:lang w:eastAsia="zh-CN"/>
                <w14:textFill>
                  <w14:solidFill>
                    <w14:schemeClr w14:val="tx1"/>
                  </w14:solidFill>
                </w14:textFill>
              </w:rPr>
              <w:t>×</w:t>
            </w:r>
            <w:r>
              <w:rPr>
                <w:rFonts w:hint="default" w:ascii="Times New Roman" w:hAnsi="Times New Roman" w:cs="Times New Roman"/>
                <w:color w:val="000000" w:themeColor="text1"/>
                <w:sz w:val="24"/>
                <w:szCs w:val="32"/>
                <w:highlight w:val="none"/>
                <w14:textFill>
                  <w14:solidFill>
                    <w14:schemeClr w14:val="tx1"/>
                  </w14:solidFill>
                </w14:textFill>
              </w:rPr>
              <w:t>0.</w:t>
            </w:r>
            <w:r>
              <w:rPr>
                <w:rFonts w:hint="default" w:ascii="Times New Roman" w:hAnsi="Times New Roman" w:cs="Times New Roman"/>
                <w:color w:val="000000" w:themeColor="text1"/>
                <w:sz w:val="24"/>
                <w:szCs w:val="32"/>
                <w:highlight w:val="none"/>
                <w:lang w:val="en-US" w:eastAsia="zh-CN"/>
                <w14:textFill>
                  <w14:solidFill>
                    <w14:schemeClr w14:val="tx1"/>
                  </w14:solidFill>
                </w14:textFill>
              </w:rPr>
              <w:t>08</w:t>
            </w:r>
            <w:r>
              <w:rPr>
                <w:rFonts w:hint="default" w:ascii="Times New Roman" w:hAnsi="Times New Roman" w:cs="Times New Roman"/>
                <w:color w:val="000000" w:themeColor="text1"/>
                <w:sz w:val="24"/>
                <w:szCs w:val="32"/>
                <w:highlight w:val="none"/>
                <w14:textFill>
                  <w14:solidFill>
                    <w14:schemeClr w14:val="tx1"/>
                  </w14:solidFill>
                </w14:textFill>
              </w:rPr>
              <w:t>%</w:t>
            </w:r>
            <w:r>
              <w:rPr>
                <w:rFonts w:hint="default" w:ascii="Times New Roman" w:hAnsi="Times New Roman" w:cs="Times New Roman"/>
                <w:color w:val="000000" w:themeColor="text1"/>
                <w:sz w:val="24"/>
                <w:szCs w:val="32"/>
                <w:highlight w:val="none"/>
                <w:vertAlign w:val="baseline"/>
                <w:lang w:eastAsia="zh-CN"/>
                <w14:textFill>
                  <w14:solidFill>
                    <w14:schemeClr w14:val="tx1"/>
                  </w14:solidFill>
                </w14:textFill>
              </w:rPr>
              <w:t>×</w:t>
            </w:r>
            <w:r>
              <w:rPr>
                <w:rFonts w:hint="eastAsia" w:cs="Times New Roman"/>
                <w:color w:val="000000" w:themeColor="text1"/>
                <w:sz w:val="24"/>
                <w:szCs w:val="32"/>
                <w:highlight w:val="none"/>
                <w:vertAlign w:val="baseline"/>
                <w:lang w:val="en-US" w:eastAsia="zh-CN"/>
                <w14:textFill>
                  <w14:solidFill>
                    <w14:schemeClr w14:val="tx1"/>
                  </w14:solidFill>
                </w14:textFill>
              </w:rPr>
              <w:t>10</w:t>
            </w:r>
            <w:r>
              <w:rPr>
                <w:rFonts w:hint="default" w:ascii="Times New Roman" w:hAnsi="Times New Roman" w:cs="Times New Roman"/>
                <w:color w:val="000000" w:themeColor="text1"/>
                <w:sz w:val="24"/>
                <w:szCs w:val="32"/>
                <w:highlight w:val="none"/>
                <w:vertAlign w:val="baseline"/>
                <w:lang w:val="en-US" w:eastAsia="zh-CN"/>
                <w14:textFill>
                  <w14:solidFill>
                    <w14:schemeClr w14:val="tx1"/>
                  </w14:solidFill>
                </w14:textFill>
              </w:rPr>
              <w:t>0%</w:t>
            </w:r>
            <w:r>
              <w:rPr>
                <w:rFonts w:hint="default" w:ascii="Times New Roman" w:hAnsi="Times New Roman" w:cs="Times New Roman"/>
                <w:color w:val="000000" w:themeColor="text1"/>
                <w:sz w:val="24"/>
                <w:szCs w:val="32"/>
                <w:highlight w:val="none"/>
                <w:vertAlign w:val="baseline"/>
                <w:lang w:eastAsia="zh-CN"/>
                <w14:textFill>
                  <w14:solidFill>
                    <w14:schemeClr w14:val="tx1"/>
                  </w14:solidFill>
                </w14:textFill>
              </w:rPr>
              <w:t>×</w:t>
            </w:r>
            <w:r>
              <w:rPr>
                <w:rFonts w:hint="eastAsia" w:cs="Times New Roman"/>
                <w:color w:val="000000" w:themeColor="text1"/>
                <w:sz w:val="24"/>
                <w:szCs w:val="32"/>
                <w:highlight w:val="none"/>
                <w:vertAlign w:val="baseline"/>
                <w:lang w:val="en-US" w:eastAsia="zh-CN"/>
                <w14:textFill>
                  <w14:solidFill>
                    <w14:schemeClr w14:val="tx1"/>
                  </w14:solidFill>
                </w14:textFill>
              </w:rPr>
              <w:t>2</w:t>
            </w:r>
            <w:r>
              <w:rPr>
                <w:rFonts w:hint="default" w:ascii="Times New Roman" w:hAnsi="Times New Roman" w:cs="Times New Roman"/>
                <w:color w:val="000000" w:themeColor="text1"/>
                <w:sz w:val="24"/>
                <w:szCs w:val="32"/>
                <w:highlight w:val="none"/>
                <w:vertAlign w:val="baseline"/>
                <w:lang w:val="en-US" w:eastAsia="zh-CN"/>
                <w14:textFill>
                  <w14:solidFill>
                    <w14:schemeClr w14:val="tx1"/>
                  </w14:solidFill>
                </w14:textFill>
              </w:rPr>
              <w:t>)</w:t>
            </w:r>
            <w:r>
              <w:rPr>
                <w:rFonts w:hint="default" w:ascii="Times New Roman" w:hAnsi="Times New Roman" w:cs="Times New Roman"/>
                <w:color w:val="000000" w:themeColor="text1"/>
                <w:sz w:val="24"/>
                <w:szCs w:val="32"/>
                <w:highlight w:val="none"/>
                <w14:textFill>
                  <w14:solidFill>
                    <w14:schemeClr w14:val="tx1"/>
                  </w14:solidFill>
                </w14:textFill>
              </w:rPr>
              <w:t>t/a</w:t>
            </w:r>
            <w:r>
              <w:rPr>
                <w:rFonts w:hint="default" w:ascii="Times New Roman" w:hAnsi="Times New Roman" w:cs="Times New Roman"/>
                <w:color w:val="000000" w:themeColor="text1"/>
                <w:sz w:val="24"/>
                <w:szCs w:val="32"/>
                <w:highlight w:val="none"/>
                <w:lang w:val="en-US" w:eastAsia="zh-CN"/>
                <w14:textFill>
                  <w14:solidFill>
                    <w14:schemeClr w14:val="tx1"/>
                  </w14:solidFill>
                </w14:textFill>
              </w:rPr>
              <w:t>=</w:t>
            </w:r>
            <w:r>
              <w:rPr>
                <w:rFonts w:hint="eastAsia" w:cs="Times New Roman"/>
                <w:color w:val="000000" w:themeColor="text1"/>
                <w:sz w:val="24"/>
                <w:szCs w:val="32"/>
                <w:highlight w:val="none"/>
                <w:lang w:val="en-US" w:eastAsia="zh-CN"/>
                <w14:textFill>
                  <w14:solidFill>
                    <w14:schemeClr w14:val="tx1"/>
                  </w14:solidFill>
                </w14:textFill>
              </w:rPr>
              <w:t>390.77</w:t>
            </w:r>
            <w:r>
              <w:rPr>
                <w:rFonts w:hint="default" w:ascii="Times New Roman" w:hAnsi="Times New Roman" w:cs="Times New Roman"/>
                <w:color w:val="000000" w:themeColor="text1"/>
                <w:sz w:val="24"/>
                <w:szCs w:val="32"/>
                <w:highlight w:val="none"/>
                <w14:textFill>
                  <w14:solidFill>
                    <w14:schemeClr w14:val="tx1"/>
                  </w14:solidFill>
                </w14:textFill>
              </w:rPr>
              <w:t>t/a</w:t>
            </w:r>
          </w:p>
          <w:p w14:paraId="09BBB84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000000" w:themeColor="text1"/>
                <w:sz w:val="24"/>
                <w:szCs w:val="32"/>
                <w:highlight w:val="none"/>
                <w:vertAlign w:val="baseline"/>
                <w:lang w:eastAsia="zh-CN"/>
                <w14:textFill>
                  <w14:solidFill>
                    <w14:schemeClr w14:val="tx1"/>
                  </w14:solidFill>
                </w14:textFill>
              </w:rPr>
            </w:pPr>
            <w:r>
              <w:rPr>
                <w:rFonts w:hint="eastAsia" w:cs="Times New Roman"/>
                <w:color w:val="000000" w:themeColor="text1"/>
                <w:sz w:val="24"/>
                <w:szCs w:val="32"/>
                <w:highlight w:val="none"/>
                <w:vertAlign w:val="baseline"/>
                <w:lang w:val="en-US" w:eastAsia="zh-CN"/>
                <w14:textFill>
                  <w14:solidFill>
                    <w14:schemeClr w14:val="tx1"/>
                  </w14:solidFill>
                </w14:textFill>
              </w:rPr>
              <w:t>②</w:t>
            </w:r>
            <w:r>
              <w:rPr>
                <w:rFonts w:hint="default" w:ascii="Times New Roman" w:hAnsi="Times New Roman" w:cs="Times New Roman"/>
                <w:color w:val="000000" w:themeColor="text1"/>
                <w:sz w:val="24"/>
                <w:szCs w:val="32"/>
                <w:highlight w:val="none"/>
                <w:vertAlign w:val="baseline"/>
                <w:lang w:eastAsia="zh-CN"/>
                <w14:textFill>
                  <w14:solidFill>
                    <w14:schemeClr w14:val="tx1"/>
                  </w14:solidFill>
                </w14:textFill>
              </w:rPr>
              <w:t>焦炉煤气产生的二氧化硫量</w:t>
            </w:r>
          </w:p>
          <w:p w14:paraId="49651F0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000000" w:themeColor="text1"/>
                <w:sz w:val="24"/>
                <w:szCs w:val="32"/>
                <w:highlight w:val="none"/>
                <w:vertAlign w:val="baseline"/>
                <w:lang w:eastAsia="zh-CN"/>
                <w14:textFill>
                  <w14:solidFill>
                    <w14:schemeClr w14:val="tx1"/>
                  </w14:solidFill>
                </w14:textFill>
              </w:rPr>
            </w:pPr>
            <w:r>
              <w:rPr>
                <w:rFonts w:hint="default" w:ascii="Times New Roman" w:hAnsi="Times New Roman" w:cs="Times New Roman"/>
                <w:color w:val="000000" w:themeColor="text1"/>
                <w:sz w:val="24"/>
                <w:szCs w:val="32"/>
                <w:highlight w:val="none"/>
                <w:vertAlign w:val="baseline"/>
                <w:lang w:eastAsia="zh-CN"/>
                <w14:textFill>
                  <w14:solidFill>
                    <w14:schemeClr w14:val="tx1"/>
                  </w14:solidFill>
                </w14:textFill>
              </w:rPr>
              <w:t>焦炉煤气中包含无机硫（H₂S）和有机硫，两者分别计算后相加。</w:t>
            </w:r>
          </w:p>
          <w:p w14:paraId="71CFE6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000000" w:themeColor="text1"/>
                <w:sz w:val="24"/>
                <w:szCs w:val="32"/>
                <w:highlight w:val="none"/>
                <w:vertAlign w:val="baseline"/>
                <w:lang w:eastAsia="zh-CN"/>
                <w14:textFill>
                  <w14:solidFill>
                    <w14:schemeClr w14:val="tx1"/>
                  </w14:solidFill>
                </w14:textFill>
              </w:rPr>
            </w:pPr>
            <w:r>
              <w:rPr>
                <w:rFonts w:hint="default" w:ascii="Times New Roman" w:hAnsi="Times New Roman" w:cs="Times New Roman"/>
                <w:color w:val="000000" w:themeColor="text1"/>
                <w:sz w:val="24"/>
                <w:szCs w:val="32"/>
                <w:highlight w:val="none"/>
                <w:vertAlign w:val="baseline"/>
                <w:lang w:eastAsia="zh-CN"/>
                <w14:textFill>
                  <w14:solidFill>
                    <w14:schemeClr w14:val="tx1"/>
                  </w14:solidFill>
                </w14:textFill>
              </w:rPr>
              <w:t>焦炉煤气中硫化氢（H₂S）燃烧产生的SO₂</w:t>
            </w:r>
          </w:p>
          <w:p w14:paraId="6AA1649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000000" w:themeColor="text1"/>
                <w:sz w:val="24"/>
                <w:szCs w:val="32"/>
                <w:highlight w:val="none"/>
                <w:vertAlign w:val="baseline"/>
                <w:lang w:eastAsia="zh-CN"/>
                <w14:textFill>
                  <w14:solidFill>
                    <w14:schemeClr w14:val="tx1"/>
                  </w14:solidFill>
                </w14:textFill>
              </w:rPr>
            </w:pPr>
            <w:r>
              <w:rPr>
                <w:rFonts w:hint="default" w:ascii="Times New Roman" w:hAnsi="Times New Roman" w:cs="Times New Roman"/>
                <w:color w:val="000000" w:themeColor="text1"/>
                <w:sz w:val="24"/>
                <w:szCs w:val="32"/>
                <w:highlight w:val="none"/>
                <w:vertAlign w:val="baseline"/>
                <w:lang w:eastAsia="zh-CN"/>
                <w14:textFill>
                  <w14:solidFill>
                    <w14:schemeClr w14:val="tx1"/>
                  </w14:solidFill>
                </w14:textFill>
              </w:rPr>
              <w:t>计算公式：</w:t>
            </w:r>
            <w:r>
              <w:rPr>
                <w:rFonts w:hint="default" w:ascii="Times New Roman" w:hAnsi="Times New Roman" w:cs="Times New Roman"/>
                <w:color w:val="000000" w:themeColor="text1"/>
                <w:sz w:val="24"/>
                <w:szCs w:val="32"/>
                <w:highlight w:val="none"/>
                <w:vertAlign w:val="baseline"/>
                <w:lang w:val="en-US" w:eastAsia="zh-CN"/>
                <w14:textFill>
                  <w14:solidFill>
                    <w14:schemeClr w14:val="tx1"/>
                  </w14:solidFill>
                </w14:textFill>
              </w:rPr>
              <w:t>SO</w:t>
            </w:r>
            <w:r>
              <w:rPr>
                <w:rFonts w:hint="default" w:ascii="Times New Roman" w:hAnsi="Times New Roman" w:cs="Times New Roman"/>
                <w:color w:val="000000" w:themeColor="text1"/>
                <w:sz w:val="24"/>
                <w:szCs w:val="32"/>
                <w:highlight w:val="none"/>
                <w:vertAlign w:val="subscript"/>
                <w:lang w:eastAsia="zh-CN"/>
                <w14:textFill>
                  <w14:solidFill>
                    <w14:schemeClr w14:val="tx1"/>
                  </w14:solidFill>
                </w14:textFill>
              </w:rPr>
              <w:t>2</w:t>
            </w:r>
            <w:r>
              <w:rPr>
                <w:rFonts w:hint="default" w:ascii="Times New Roman" w:hAnsi="Times New Roman" w:cs="Times New Roman"/>
                <w:color w:val="000000" w:themeColor="text1"/>
                <w:sz w:val="24"/>
                <w:szCs w:val="32"/>
                <w:highlight w:val="none"/>
                <w:vertAlign w:val="baseline"/>
                <w:lang w:eastAsia="zh-CN"/>
                <w14:textFill>
                  <w14:solidFill>
                    <w14:schemeClr w14:val="tx1"/>
                  </w14:solidFill>
                </w14:textFill>
              </w:rPr>
              <w:t>(H</w:t>
            </w:r>
            <w:r>
              <w:rPr>
                <w:rFonts w:hint="default" w:ascii="Times New Roman" w:hAnsi="Times New Roman" w:cs="Times New Roman"/>
                <w:color w:val="000000" w:themeColor="text1"/>
                <w:sz w:val="24"/>
                <w:szCs w:val="32"/>
                <w:highlight w:val="none"/>
                <w:vertAlign w:val="subscript"/>
                <w:lang w:eastAsia="zh-CN"/>
                <w14:textFill>
                  <w14:solidFill>
                    <w14:schemeClr w14:val="tx1"/>
                  </w14:solidFill>
                </w14:textFill>
              </w:rPr>
              <w:t>2</w:t>
            </w:r>
            <w:r>
              <w:rPr>
                <w:rFonts w:hint="default" w:ascii="Times New Roman" w:hAnsi="Times New Roman" w:cs="Times New Roman"/>
                <w:color w:val="000000" w:themeColor="text1"/>
                <w:sz w:val="24"/>
                <w:szCs w:val="32"/>
                <w:highlight w:val="none"/>
                <w:vertAlign w:val="baseline"/>
                <w:lang w:eastAsia="zh-CN"/>
                <w14:textFill>
                  <w14:solidFill>
                    <w14:schemeClr w14:val="tx1"/>
                  </w14:solidFill>
                </w14:textFill>
              </w:rPr>
              <w:t>S)=煤气量×H</w:t>
            </w:r>
            <w:r>
              <w:rPr>
                <w:rFonts w:hint="default" w:ascii="Times New Roman" w:hAnsi="Times New Roman" w:cs="Times New Roman"/>
                <w:color w:val="000000" w:themeColor="text1"/>
                <w:sz w:val="24"/>
                <w:szCs w:val="32"/>
                <w:highlight w:val="none"/>
                <w:vertAlign w:val="subscript"/>
                <w:lang w:eastAsia="zh-CN"/>
                <w14:textFill>
                  <w14:solidFill>
                    <w14:schemeClr w14:val="tx1"/>
                  </w14:solidFill>
                </w14:textFill>
              </w:rPr>
              <w:t>2</w:t>
            </w:r>
            <w:r>
              <w:rPr>
                <w:rFonts w:hint="default" w:ascii="Times New Roman" w:hAnsi="Times New Roman" w:cs="Times New Roman"/>
                <w:color w:val="000000" w:themeColor="text1"/>
                <w:sz w:val="24"/>
                <w:szCs w:val="32"/>
                <w:highlight w:val="none"/>
                <w:vertAlign w:val="baseline"/>
                <w:lang w:eastAsia="zh-CN"/>
                <w14:textFill>
                  <w14:solidFill>
                    <w14:schemeClr w14:val="tx1"/>
                  </w14:solidFill>
                </w14:textFill>
              </w:rPr>
              <w:t>S含量×转化系数</w:t>
            </w:r>
          </w:p>
          <w:p w14:paraId="4EEE214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000000" w:themeColor="text1"/>
                <w:sz w:val="24"/>
                <w:szCs w:val="32"/>
                <w:highlight w:val="none"/>
                <w:vertAlign w:val="baseline"/>
                <w:lang w:eastAsia="zh-CN"/>
                <w14:textFill>
                  <w14:solidFill>
                    <w14:schemeClr w14:val="tx1"/>
                  </w14:solidFill>
                </w14:textFill>
              </w:rPr>
            </w:pPr>
            <w:r>
              <w:rPr>
                <w:rFonts w:hint="default" w:ascii="Times New Roman" w:hAnsi="Times New Roman" w:cs="Times New Roman"/>
                <w:color w:val="000000" w:themeColor="text1"/>
                <w:sz w:val="24"/>
                <w:szCs w:val="32"/>
                <w:highlight w:val="none"/>
                <w:vertAlign w:val="baseline"/>
                <w:lang w:eastAsia="zh-CN"/>
                <w14:textFill>
                  <w14:solidFill>
                    <w14:schemeClr w14:val="tx1"/>
                  </w14:solidFill>
                </w14:textFill>
              </w:rPr>
              <w:t>代入数值：4403.7×10</w:t>
            </w:r>
            <w:r>
              <w:rPr>
                <w:rFonts w:hint="default" w:ascii="Times New Roman" w:hAnsi="Times New Roman" w:cs="Times New Roman"/>
                <w:color w:val="000000" w:themeColor="text1"/>
                <w:sz w:val="24"/>
                <w:szCs w:val="32"/>
                <w:highlight w:val="none"/>
                <w:vertAlign w:val="superscript"/>
                <w:lang w:eastAsia="zh-CN"/>
                <w14:textFill>
                  <w14:solidFill>
                    <w14:schemeClr w14:val="tx1"/>
                  </w14:solidFill>
                </w14:textFill>
              </w:rPr>
              <w:t>4</w:t>
            </w:r>
            <w:r>
              <w:rPr>
                <w:rFonts w:hint="default" w:ascii="Times New Roman" w:hAnsi="Times New Roman" w:cs="Times New Roman"/>
                <w:color w:val="000000" w:themeColor="text1"/>
                <w:sz w:val="24"/>
                <w:szCs w:val="32"/>
                <w:highlight w:val="none"/>
                <w:vertAlign w:val="baseline"/>
                <w:lang w:eastAsia="zh-CN"/>
                <w14:textFill>
                  <w14:solidFill>
                    <w14:schemeClr w14:val="tx1"/>
                  </w14:solidFill>
                </w14:textFill>
              </w:rPr>
              <w:t>Nm</w:t>
            </w:r>
            <w:r>
              <w:rPr>
                <w:rFonts w:hint="default" w:ascii="Times New Roman" w:hAnsi="Times New Roman" w:cs="Times New Roman"/>
                <w:color w:val="000000" w:themeColor="text1"/>
                <w:sz w:val="24"/>
                <w:szCs w:val="32"/>
                <w:highlight w:val="none"/>
                <w:vertAlign w:val="superscript"/>
                <w:lang w:eastAsia="zh-CN"/>
                <w14:textFill>
                  <w14:solidFill>
                    <w14:schemeClr w14:val="tx1"/>
                  </w14:solidFill>
                </w14:textFill>
              </w:rPr>
              <w:t>3</w:t>
            </w:r>
            <w:r>
              <w:rPr>
                <w:rFonts w:hint="default" w:ascii="Times New Roman" w:hAnsi="Times New Roman" w:cs="Times New Roman"/>
                <w:color w:val="000000" w:themeColor="text1"/>
                <w:sz w:val="24"/>
                <w:szCs w:val="32"/>
                <w:highlight w:val="none"/>
                <w:vertAlign w:val="baseline"/>
                <w:lang w:eastAsia="zh-CN"/>
                <w14:textFill>
                  <w14:solidFill>
                    <w14:schemeClr w14:val="tx1"/>
                  </w14:solidFill>
                </w14:textFill>
              </w:rPr>
              <w:t>/a×20mg/Nm</w:t>
            </w:r>
            <w:r>
              <w:rPr>
                <w:rFonts w:hint="default" w:ascii="Times New Roman" w:hAnsi="Times New Roman" w:cs="Times New Roman"/>
                <w:color w:val="000000" w:themeColor="text1"/>
                <w:sz w:val="24"/>
                <w:szCs w:val="32"/>
                <w:highlight w:val="none"/>
                <w:vertAlign w:val="superscript"/>
                <w:lang w:eastAsia="zh-CN"/>
                <w14:textFill>
                  <w14:solidFill>
                    <w14:schemeClr w14:val="tx1"/>
                  </w14:solidFill>
                </w14:textFill>
              </w:rPr>
              <w:t>3</w:t>
            </w:r>
            <w:r>
              <w:rPr>
                <w:rFonts w:hint="default" w:ascii="Times New Roman" w:hAnsi="Times New Roman" w:cs="Times New Roman"/>
                <w:color w:val="000000" w:themeColor="text1"/>
                <w:sz w:val="24"/>
                <w:szCs w:val="32"/>
                <w:highlight w:val="none"/>
                <w:vertAlign w:val="baseline"/>
                <w:lang w:eastAsia="zh-CN"/>
                <w14:textFill>
                  <w14:solidFill>
                    <w14:schemeClr w14:val="tx1"/>
                  </w14:solidFill>
                </w14:textFill>
              </w:rPr>
              <w:t>×1.88</w:t>
            </w:r>
          </w:p>
          <w:p w14:paraId="1CECFA5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000000" w:themeColor="text1"/>
                <w:sz w:val="24"/>
                <w:szCs w:val="32"/>
                <w:highlight w:val="none"/>
                <w:vertAlign w:val="baseline"/>
                <w:lang w:eastAsia="zh-CN"/>
                <w14:textFill>
                  <w14:solidFill>
                    <w14:schemeClr w14:val="tx1"/>
                  </w14:solidFill>
                </w14:textFill>
              </w:rPr>
            </w:pPr>
            <w:r>
              <w:rPr>
                <w:rFonts w:hint="default" w:ascii="Times New Roman" w:hAnsi="Times New Roman" w:cs="Times New Roman"/>
                <w:color w:val="000000" w:themeColor="text1"/>
                <w:sz w:val="24"/>
                <w:szCs w:val="32"/>
                <w:highlight w:val="none"/>
                <w:vertAlign w:val="baseline"/>
                <w:lang w:eastAsia="zh-CN"/>
                <w14:textFill>
                  <w14:solidFill>
                    <w14:schemeClr w14:val="tx1"/>
                  </w14:solidFill>
                </w14:textFill>
              </w:rPr>
              <w:t>计算结果：=1</w:t>
            </w:r>
            <w:r>
              <w:rPr>
                <w:rFonts w:hint="eastAsia" w:cs="Times New Roman"/>
                <w:color w:val="000000" w:themeColor="text1"/>
                <w:sz w:val="24"/>
                <w:szCs w:val="32"/>
                <w:highlight w:val="none"/>
                <w:vertAlign w:val="baseline"/>
                <w:lang w:val="en-US" w:eastAsia="zh-CN"/>
                <w14:textFill>
                  <w14:solidFill>
                    <w14:schemeClr w14:val="tx1"/>
                  </w14:solidFill>
                </w14:textFill>
              </w:rPr>
              <w:t>.</w:t>
            </w:r>
            <w:r>
              <w:rPr>
                <w:rFonts w:hint="default" w:ascii="Times New Roman" w:hAnsi="Times New Roman" w:cs="Times New Roman"/>
                <w:color w:val="000000" w:themeColor="text1"/>
                <w:sz w:val="24"/>
                <w:szCs w:val="32"/>
                <w:highlight w:val="none"/>
                <w:vertAlign w:val="baseline"/>
                <w:lang w:eastAsia="zh-CN"/>
                <w14:textFill>
                  <w14:solidFill>
                    <w14:schemeClr w14:val="tx1"/>
                  </w14:solidFill>
                </w14:textFill>
              </w:rPr>
              <w:t>65吨/年</w:t>
            </w:r>
          </w:p>
          <w:p w14:paraId="318A49C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000000" w:themeColor="text1"/>
                <w:sz w:val="24"/>
                <w:szCs w:val="32"/>
                <w:highlight w:val="none"/>
                <w:vertAlign w:val="baseline"/>
                <w:lang w:eastAsia="zh-CN"/>
                <w14:textFill>
                  <w14:solidFill>
                    <w14:schemeClr w14:val="tx1"/>
                  </w14:solidFill>
                </w14:textFill>
              </w:rPr>
            </w:pPr>
            <w:r>
              <w:rPr>
                <w:rFonts w:hint="default" w:ascii="Times New Roman" w:hAnsi="Times New Roman" w:cs="Times New Roman"/>
                <w:color w:val="000000" w:themeColor="text1"/>
                <w:sz w:val="24"/>
                <w:szCs w:val="32"/>
                <w:highlight w:val="none"/>
                <w:vertAlign w:val="baseline"/>
                <w:lang w:eastAsia="zh-CN"/>
                <w14:textFill>
                  <w14:solidFill>
                    <w14:schemeClr w14:val="tx1"/>
                  </w14:solidFill>
                </w14:textFill>
              </w:rPr>
              <w:t>焦炉煤气中有机硫燃烧产生的SO₂</w:t>
            </w:r>
          </w:p>
          <w:p w14:paraId="5EE60D4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000000" w:themeColor="text1"/>
                <w:sz w:val="24"/>
                <w:szCs w:val="32"/>
                <w:highlight w:val="none"/>
                <w:vertAlign w:val="baseline"/>
                <w:lang w:eastAsia="zh-CN"/>
                <w14:textFill>
                  <w14:solidFill>
                    <w14:schemeClr w14:val="tx1"/>
                  </w14:solidFill>
                </w14:textFill>
              </w:rPr>
            </w:pPr>
            <w:r>
              <w:rPr>
                <w:rFonts w:hint="default" w:ascii="Times New Roman" w:hAnsi="Times New Roman" w:cs="Times New Roman"/>
                <w:color w:val="000000" w:themeColor="text1"/>
                <w:sz w:val="24"/>
                <w:szCs w:val="32"/>
                <w:highlight w:val="none"/>
                <w:vertAlign w:val="baseline"/>
                <w:lang w:eastAsia="zh-CN"/>
                <w14:textFill>
                  <w14:solidFill>
                    <w14:schemeClr w14:val="tx1"/>
                  </w14:solidFill>
                </w14:textFill>
              </w:rPr>
              <w:t>计算公式：焦炉煤气中有机硫（H₂S）燃烧产生的SO₂</w:t>
            </w:r>
          </w:p>
          <w:p w14:paraId="5EF1972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000000" w:themeColor="text1"/>
                <w:sz w:val="24"/>
                <w:szCs w:val="32"/>
                <w:highlight w:val="none"/>
                <w:vertAlign w:val="baseline"/>
                <w:lang w:eastAsia="zh-CN"/>
                <w14:textFill>
                  <w14:solidFill>
                    <w14:schemeClr w14:val="tx1"/>
                  </w14:solidFill>
                </w14:textFill>
              </w:rPr>
            </w:pPr>
            <w:r>
              <w:rPr>
                <w:rFonts w:hint="default" w:ascii="Times New Roman" w:hAnsi="Times New Roman" w:cs="Times New Roman"/>
                <w:color w:val="000000" w:themeColor="text1"/>
                <w:sz w:val="24"/>
                <w:szCs w:val="32"/>
                <w:highlight w:val="none"/>
                <w:vertAlign w:val="baseline"/>
                <w:lang w:eastAsia="zh-CN"/>
                <w14:textFill>
                  <w14:solidFill>
                    <w14:schemeClr w14:val="tx1"/>
                  </w14:solidFill>
                </w14:textFill>
              </w:rPr>
              <w:t>SO</w:t>
            </w:r>
            <w:r>
              <w:rPr>
                <w:rFonts w:hint="default" w:ascii="Times New Roman" w:hAnsi="Times New Roman" w:cs="Times New Roman"/>
                <w:color w:val="000000" w:themeColor="text1"/>
                <w:sz w:val="24"/>
                <w:szCs w:val="32"/>
                <w:highlight w:val="none"/>
                <w:vertAlign w:val="subscript"/>
                <w:lang w:eastAsia="zh-CN"/>
                <w14:textFill>
                  <w14:solidFill>
                    <w14:schemeClr w14:val="tx1"/>
                  </w14:solidFill>
                </w14:textFill>
              </w:rPr>
              <w:t>2</w:t>
            </w:r>
            <w:r>
              <w:rPr>
                <w:rFonts w:hint="eastAsia" w:cs="Times New Roman"/>
                <w:color w:val="000000" w:themeColor="text1"/>
                <w:sz w:val="24"/>
                <w:szCs w:val="32"/>
                <w:highlight w:val="none"/>
                <w:vertAlign w:val="subscript"/>
                <w:lang w:eastAsia="zh-CN"/>
                <w14:textFill>
                  <w14:solidFill>
                    <w14:schemeClr w14:val="tx1"/>
                  </w14:solidFill>
                </w14:textFill>
              </w:rPr>
              <w:t>（</w:t>
            </w:r>
            <w:r>
              <w:rPr>
                <w:rFonts w:hint="default" w:ascii="Times New Roman" w:hAnsi="Times New Roman" w:cs="Times New Roman"/>
                <w:color w:val="000000" w:themeColor="text1"/>
                <w:sz w:val="24"/>
                <w:szCs w:val="32"/>
                <w:highlight w:val="none"/>
                <w:vertAlign w:val="baseline"/>
                <w:lang w:eastAsia="zh-CN"/>
                <w14:textFill>
                  <w14:solidFill>
                    <w14:schemeClr w14:val="tx1"/>
                  </w14:solidFill>
                </w14:textFill>
              </w:rPr>
              <w:t>有机硫</w:t>
            </w:r>
            <w:r>
              <w:rPr>
                <w:rFonts w:hint="eastAsia" w:cs="Times New Roman"/>
                <w:color w:val="000000" w:themeColor="text1"/>
                <w:sz w:val="24"/>
                <w:szCs w:val="32"/>
                <w:highlight w:val="none"/>
                <w:vertAlign w:val="baseline"/>
                <w:lang w:eastAsia="zh-CN"/>
                <w14:textFill>
                  <w14:solidFill>
                    <w14:schemeClr w14:val="tx1"/>
                  </w14:solidFill>
                </w14:textFill>
              </w:rPr>
              <w:t>）</w:t>
            </w:r>
            <w:r>
              <w:rPr>
                <w:rFonts w:hint="default" w:ascii="Times New Roman" w:hAnsi="Times New Roman" w:cs="Times New Roman"/>
                <w:color w:val="000000" w:themeColor="text1"/>
                <w:sz w:val="24"/>
                <w:szCs w:val="32"/>
                <w:highlight w:val="none"/>
                <w:vertAlign w:val="baseline"/>
                <w:lang w:eastAsia="zh-CN"/>
                <w14:textFill>
                  <w14:solidFill>
                    <w14:schemeClr w14:val="tx1"/>
                  </w14:solidFill>
                </w14:textFill>
              </w:rPr>
              <w:t>=煤气量×有机硫含量×转化系数</w:t>
            </w:r>
          </w:p>
          <w:p w14:paraId="6D552D8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000000" w:themeColor="text1"/>
                <w:sz w:val="24"/>
                <w:szCs w:val="32"/>
                <w:highlight w:val="none"/>
                <w:vertAlign w:val="baseline"/>
                <w:lang w:eastAsia="zh-CN"/>
                <w14:textFill>
                  <w14:solidFill>
                    <w14:schemeClr w14:val="tx1"/>
                  </w14:solidFill>
                </w14:textFill>
              </w:rPr>
            </w:pPr>
            <w:r>
              <w:rPr>
                <w:rFonts w:hint="default" w:ascii="Times New Roman" w:hAnsi="Times New Roman" w:cs="Times New Roman"/>
                <w:color w:val="000000" w:themeColor="text1"/>
                <w:sz w:val="24"/>
                <w:szCs w:val="32"/>
                <w:highlight w:val="none"/>
                <w:vertAlign w:val="baseline"/>
                <w:lang w:eastAsia="zh-CN"/>
                <w14:textFill>
                  <w14:solidFill>
                    <w14:schemeClr w14:val="tx1"/>
                  </w14:solidFill>
                </w14:textFill>
              </w:rPr>
              <w:t>代入数值：4403.7×10</w:t>
            </w:r>
            <w:r>
              <w:rPr>
                <w:rFonts w:hint="default" w:ascii="Times New Roman" w:hAnsi="Times New Roman" w:cs="Times New Roman"/>
                <w:color w:val="000000" w:themeColor="text1"/>
                <w:sz w:val="24"/>
                <w:szCs w:val="32"/>
                <w:highlight w:val="none"/>
                <w:vertAlign w:val="superscript"/>
                <w:lang w:eastAsia="zh-CN"/>
                <w14:textFill>
                  <w14:solidFill>
                    <w14:schemeClr w14:val="tx1"/>
                  </w14:solidFill>
                </w14:textFill>
              </w:rPr>
              <w:t>4</w:t>
            </w:r>
            <w:r>
              <w:rPr>
                <w:rFonts w:hint="default" w:ascii="Times New Roman" w:hAnsi="Times New Roman" w:cs="Times New Roman"/>
                <w:color w:val="000000" w:themeColor="text1"/>
                <w:sz w:val="24"/>
                <w:szCs w:val="32"/>
                <w:highlight w:val="none"/>
                <w:vertAlign w:val="baseline"/>
                <w:lang w:eastAsia="zh-CN"/>
                <w14:textFill>
                  <w14:solidFill>
                    <w14:schemeClr w14:val="tx1"/>
                  </w14:solidFill>
                </w14:textFill>
              </w:rPr>
              <w:t>Nm</w:t>
            </w:r>
            <w:r>
              <w:rPr>
                <w:rFonts w:hint="default" w:ascii="Times New Roman" w:hAnsi="Times New Roman" w:cs="Times New Roman"/>
                <w:color w:val="000000" w:themeColor="text1"/>
                <w:sz w:val="24"/>
                <w:szCs w:val="32"/>
                <w:highlight w:val="none"/>
                <w:vertAlign w:val="superscript"/>
                <w:lang w:eastAsia="zh-CN"/>
                <w14:textFill>
                  <w14:solidFill>
                    <w14:schemeClr w14:val="tx1"/>
                  </w14:solidFill>
                </w14:textFill>
              </w:rPr>
              <w:t>3</w:t>
            </w:r>
            <w:r>
              <w:rPr>
                <w:rFonts w:hint="default" w:ascii="Times New Roman" w:hAnsi="Times New Roman" w:cs="Times New Roman"/>
                <w:color w:val="000000" w:themeColor="text1"/>
                <w:sz w:val="24"/>
                <w:szCs w:val="32"/>
                <w:highlight w:val="none"/>
                <w:vertAlign w:val="baseline"/>
                <w:lang w:eastAsia="zh-CN"/>
                <w14:textFill>
                  <w14:solidFill>
                    <w14:schemeClr w14:val="tx1"/>
                  </w14:solidFill>
                </w14:textFill>
              </w:rPr>
              <w:t>/a×30mg/Nm</w:t>
            </w:r>
            <w:r>
              <w:rPr>
                <w:rFonts w:hint="default" w:ascii="Times New Roman" w:hAnsi="Times New Roman" w:cs="Times New Roman"/>
                <w:color w:val="000000" w:themeColor="text1"/>
                <w:sz w:val="24"/>
                <w:szCs w:val="32"/>
                <w:highlight w:val="none"/>
                <w:vertAlign w:val="superscript"/>
                <w:lang w:eastAsia="zh-CN"/>
                <w14:textFill>
                  <w14:solidFill>
                    <w14:schemeClr w14:val="tx1"/>
                  </w14:solidFill>
                </w14:textFill>
              </w:rPr>
              <w:t>3</w:t>
            </w:r>
            <w:r>
              <w:rPr>
                <w:rFonts w:hint="default" w:ascii="Times New Roman" w:hAnsi="Times New Roman" w:cs="Times New Roman"/>
                <w:color w:val="000000" w:themeColor="text1"/>
                <w:sz w:val="24"/>
                <w:szCs w:val="32"/>
                <w:highlight w:val="none"/>
                <w:vertAlign w:val="baseline"/>
                <w:lang w:eastAsia="zh-CN"/>
                <w14:textFill>
                  <w14:solidFill>
                    <w14:schemeClr w14:val="tx1"/>
                  </w14:solidFill>
                </w14:textFill>
              </w:rPr>
              <w:t>×1.5</w:t>
            </w:r>
          </w:p>
          <w:p w14:paraId="0964128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000000" w:themeColor="text1"/>
                <w:sz w:val="24"/>
                <w:szCs w:val="32"/>
                <w:highlight w:val="none"/>
                <w:vertAlign w:val="baseline"/>
                <w:lang w:eastAsia="zh-CN"/>
                <w14:textFill>
                  <w14:solidFill>
                    <w14:schemeClr w14:val="tx1"/>
                  </w14:solidFill>
                </w14:textFill>
              </w:rPr>
            </w:pPr>
            <w:r>
              <w:rPr>
                <w:rFonts w:hint="default" w:ascii="Times New Roman" w:hAnsi="Times New Roman" w:cs="Times New Roman"/>
                <w:color w:val="000000" w:themeColor="text1"/>
                <w:sz w:val="24"/>
                <w:szCs w:val="32"/>
                <w:highlight w:val="none"/>
                <w:vertAlign w:val="baseline"/>
                <w:lang w:eastAsia="zh-CN"/>
                <w14:textFill>
                  <w14:solidFill>
                    <w14:schemeClr w14:val="tx1"/>
                  </w14:solidFill>
                </w14:textFill>
              </w:rPr>
              <w:t>计算结果=1</w:t>
            </w:r>
            <w:r>
              <w:rPr>
                <w:rFonts w:hint="eastAsia" w:cs="Times New Roman"/>
                <w:color w:val="000000" w:themeColor="text1"/>
                <w:sz w:val="24"/>
                <w:szCs w:val="32"/>
                <w:highlight w:val="none"/>
                <w:vertAlign w:val="baseline"/>
                <w:lang w:val="en-US" w:eastAsia="zh-CN"/>
                <w14:textFill>
                  <w14:solidFill>
                    <w14:schemeClr w14:val="tx1"/>
                  </w14:solidFill>
                </w14:textFill>
              </w:rPr>
              <w:t>.</w:t>
            </w:r>
            <w:r>
              <w:rPr>
                <w:rFonts w:hint="default" w:ascii="Times New Roman" w:hAnsi="Times New Roman" w:cs="Times New Roman"/>
                <w:color w:val="000000" w:themeColor="text1"/>
                <w:sz w:val="24"/>
                <w:szCs w:val="32"/>
                <w:highlight w:val="none"/>
                <w:vertAlign w:val="baseline"/>
                <w:lang w:eastAsia="zh-CN"/>
                <w14:textFill>
                  <w14:solidFill>
                    <w14:schemeClr w14:val="tx1"/>
                  </w14:solidFill>
                </w14:textFill>
              </w:rPr>
              <w:t>98吨/年</w:t>
            </w:r>
          </w:p>
          <w:p w14:paraId="5358666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000000" w:themeColor="text1"/>
                <w:sz w:val="24"/>
                <w:szCs w:val="32"/>
                <w:highlight w:val="none"/>
                <w:vertAlign w:val="baseline"/>
                <w:lang w:eastAsia="zh-CN"/>
                <w14:textFill>
                  <w14:solidFill>
                    <w14:schemeClr w14:val="tx1"/>
                  </w14:solidFill>
                </w14:textFill>
              </w:rPr>
            </w:pPr>
            <w:r>
              <w:rPr>
                <w:rFonts w:hint="default" w:ascii="Times New Roman" w:hAnsi="Times New Roman" w:cs="Times New Roman"/>
                <w:color w:val="000000" w:themeColor="text1"/>
                <w:sz w:val="24"/>
                <w:szCs w:val="32"/>
                <w:highlight w:val="none"/>
                <w:vertAlign w:val="baseline"/>
                <w:lang w:eastAsia="zh-CN"/>
                <w14:textFill>
                  <w14:solidFill>
                    <w14:schemeClr w14:val="tx1"/>
                  </w14:solidFill>
                </w14:textFill>
              </w:rPr>
              <w:t>焦炉煤气总SO₂产生量：1</w:t>
            </w:r>
            <w:r>
              <w:rPr>
                <w:rFonts w:hint="eastAsia" w:cs="Times New Roman"/>
                <w:color w:val="000000" w:themeColor="text1"/>
                <w:sz w:val="24"/>
                <w:szCs w:val="32"/>
                <w:highlight w:val="none"/>
                <w:vertAlign w:val="baseline"/>
                <w:lang w:val="en-US" w:eastAsia="zh-CN"/>
                <w14:textFill>
                  <w14:solidFill>
                    <w14:schemeClr w14:val="tx1"/>
                  </w14:solidFill>
                </w14:textFill>
              </w:rPr>
              <w:t>.</w:t>
            </w:r>
            <w:r>
              <w:rPr>
                <w:rFonts w:hint="default" w:ascii="Times New Roman" w:hAnsi="Times New Roman" w:cs="Times New Roman"/>
                <w:color w:val="000000" w:themeColor="text1"/>
                <w:sz w:val="24"/>
                <w:szCs w:val="32"/>
                <w:highlight w:val="none"/>
                <w:vertAlign w:val="baseline"/>
                <w:lang w:eastAsia="zh-CN"/>
                <w14:textFill>
                  <w14:solidFill>
                    <w14:schemeClr w14:val="tx1"/>
                  </w14:solidFill>
                </w14:textFill>
              </w:rPr>
              <w:t>65+1</w:t>
            </w:r>
            <w:r>
              <w:rPr>
                <w:rFonts w:hint="eastAsia" w:cs="Times New Roman"/>
                <w:color w:val="000000" w:themeColor="text1"/>
                <w:sz w:val="24"/>
                <w:szCs w:val="32"/>
                <w:highlight w:val="none"/>
                <w:vertAlign w:val="baseline"/>
                <w:lang w:val="en-US" w:eastAsia="zh-CN"/>
                <w14:textFill>
                  <w14:solidFill>
                    <w14:schemeClr w14:val="tx1"/>
                  </w14:solidFill>
                </w14:textFill>
              </w:rPr>
              <w:t>.</w:t>
            </w:r>
            <w:r>
              <w:rPr>
                <w:rFonts w:hint="default" w:ascii="Times New Roman" w:hAnsi="Times New Roman" w:cs="Times New Roman"/>
                <w:color w:val="000000" w:themeColor="text1"/>
                <w:sz w:val="24"/>
                <w:szCs w:val="32"/>
                <w:highlight w:val="none"/>
                <w:vertAlign w:val="baseline"/>
                <w:lang w:eastAsia="zh-CN"/>
                <w14:textFill>
                  <w14:solidFill>
                    <w14:schemeClr w14:val="tx1"/>
                  </w14:solidFill>
                </w14:textFill>
              </w:rPr>
              <w:t>98=3</w:t>
            </w:r>
            <w:r>
              <w:rPr>
                <w:rFonts w:hint="eastAsia" w:cs="Times New Roman"/>
                <w:color w:val="000000" w:themeColor="text1"/>
                <w:sz w:val="24"/>
                <w:szCs w:val="32"/>
                <w:highlight w:val="none"/>
                <w:vertAlign w:val="baseline"/>
                <w:lang w:val="en-US" w:eastAsia="zh-CN"/>
                <w14:textFill>
                  <w14:solidFill>
                    <w14:schemeClr w14:val="tx1"/>
                  </w14:solidFill>
                </w14:textFill>
              </w:rPr>
              <w:t>.</w:t>
            </w:r>
            <w:r>
              <w:rPr>
                <w:rFonts w:hint="default" w:ascii="Times New Roman" w:hAnsi="Times New Roman" w:cs="Times New Roman"/>
                <w:color w:val="000000" w:themeColor="text1"/>
                <w:sz w:val="24"/>
                <w:szCs w:val="32"/>
                <w:highlight w:val="none"/>
                <w:vertAlign w:val="baseline"/>
                <w:lang w:eastAsia="zh-CN"/>
                <w14:textFill>
                  <w14:solidFill>
                    <w14:schemeClr w14:val="tx1"/>
                  </w14:solidFill>
                </w14:textFill>
              </w:rPr>
              <w:t>6</w:t>
            </w:r>
            <w:r>
              <w:rPr>
                <w:rFonts w:hint="eastAsia" w:cs="Times New Roman"/>
                <w:color w:val="000000" w:themeColor="text1"/>
                <w:sz w:val="24"/>
                <w:szCs w:val="32"/>
                <w:highlight w:val="none"/>
                <w:vertAlign w:val="baseline"/>
                <w:lang w:val="en-US" w:eastAsia="zh-CN"/>
                <w14:textFill>
                  <w14:solidFill>
                    <w14:schemeClr w14:val="tx1"/>
                  </w14:solidFill>
                </w14:textFill>
              </w:rPr>
              <w:t>3</w:t>
            </w:r>
            <w:r>
              <w:rPr>
                <w:rFonts w:hint="default" w:ascii="Times New Roman" w:hAnsi="Times New Roman" w:cs="Times New Roman"/>
                <w:color w:val="000000" w:themeColor="text1"/>
                <w:sz w:val="24"/>
                <w:szCs w:val="32"/>
                <w:highlight w:val="none"/>
                <w:vertAlign w:val="baseline"/>
                <w:lang w:eastAsia="zh-CN"/>
                <w14:textFill>
                  <w14:solidFill>
                    <w14:schemeClr w14:val="tx1"/>
                  </w14:solidFill>
                </w14:textFill>
              </w:rPr>
              <w:t>吨/年</w:t>
            </w:r>
          </w:p>
          <w:p w14:paraId="498A7CA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000000" w:themeColor="text1"/>
                <w:sz w:val="24"/>
                <w:szCs w:val="32"/>
                <w:highlight w:val="none"/>
                <w:vertAlign w:val="baseline"/>
                <w:lang w:eastAsia="zh-CN"/>
                <w14:textFill>
                  <w14:solidFill>
                    <w14:schemeClr w14:val="tx1"/>
                  </w14:solidFill>
                </w14:textFill>
              </w:rPr>
            </w:pPr>
            <w:r>
              <w:rPr>
                <w:rFonts w:hint="eastAsia" w:cs="Times New Roman"/>
                <w:color w:val="000000" w:themeColor="text1"/>
                <w:sz w:val="24"/>
                <w:szCs w:val="32"/>
                <w:highlight w:val="none"/>
                <w:vertAlign w:val="baseline"/>
                <w:lang w:val="en-US" w:eastAsia="zh-CN"/>
                <w14:textFill>
                  <w14:solidFill>
                    <w14:schemeClr w14:val="tx1"/>
                  </w14:solidFill>
                </w14:textFill>
              </w:rPr>
              <w:t>③</w:t>
            </w:r>
            <w:r>
              <w:rPr>
                <w:rFonts w:hint="default" w:ascii="Times New Roman" w:hAnsi="Times New Roman" w:cs="Times New Roman"/>
                <w:color w:val="000000" w:themeColor="text1"/>
                <w:sz w:val="24"/>
                <w:szCs w:val="32"/>
                <w:highlight w:val="none"/>
                <w:vertAlign w:val="baseline"/>
                <w:lang w:eastAsia="zh-CN"/>
                <w14:textFill>
                  <w14:solidFill>
                    <w14:schemeClr w14:val="tx1"/>
                  </w14:solidFill>
                </w14:textFill>
              </w:rPr>
              <w:t>总二氧化硫产生量</w:t>
            </w:r>
          </w:p>
          <w:p w14:paraId="5453AEB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000000" w:themeColor="text1"/>
                <w:sz w:val="24"/>
                <w:szCs w:val="32"/>
                <w:highlight w:val="none"/>
                <w:vertAlign w:val="baseline"/>
                <w:lang w:eastAsia="zh-CN"/>
                <w14:textFill>
                  <w14:solidFill>
                    <w14:schemeClr w14:val="tx1"/>
                  </w14:solidFill>
                </w14:textFill>
              </w:rPr>
            </w:pPr>
            <w:r>
              <w:rPr>
                <w:rFonts w:hint="default" w:ascii="Times New Roman" w:hAnsi="Times New Roman" w:cs="Times New Roman"/>
                <w:color w:val="000000" w:themeColor="text1"/>
                <w:sz w:val="24"/>
                <w:szCs w:val="32"/>
                <w:highlight w:val="none"/>
                <w:vertAlign w:val="baseline"/>
                <w:lang w:eastAsia="zh-CN"/>
                <w14:textFill>
                  <w14:solidFill>
                    <w14:schemeClr w14:val="tx1"/>
                  </w14:solidFill>
                </w14:textFill>
              </w:rPr>
              <w:t>将</w:t>
            </w:r>
            <w:r>
              <w:rPr>
                <w:rFonts w:hint="eastAsia" w:cs="Times New Roman"/>
                <w:color w:val="000000" w:themeColor="text1"/>
                <w:sz w:val="24"/>
                <w:szCs w:val="32"/>
                <w:highlight w:val="none"/>
                <w:vertAlign w:val="baseline"/>
                <w:lang w:val="en-US" w:eastAsia="zh-CN"/>
                <w14:textFill>
                  <w14:solidFill>
                    <w14:schemeClr w14:val="tx1"/>
                  </w14:solidFill>
                </w14:textFill>
              </w:rPr>
              <w:t>原料粉</w:t>
            </w:r>
            <w:r>
              <w:rPr>
                <w:rFonts w:hint="default" w:ascii="Times New Roman" w:hAnsi="Times New Roman" w:cs="Times New Roman"/>
                <w:color w:val="000000" w:themeColor="text1"/>
                <w:sz w:val="24"/>
                <w:szCs w:val="32"/>
                <w:highlight w:val="none"/>
                <w:vertAlign w:val="baseline"/>
                <w:lang w:val="en-US" w:eastAsia="zh-CN"/>
                <w14:textFill>
                  <w14:solidFill>
                    <w14:schemeClr w14:val="tx1"/>
                  </w14:solidFill>
                </w14:textFill>
              </w:rPr>
              <w:t>、</w:t>
            </w:r>
            <w:r>
              <w:rPr>
                <w:rFonts w:hint="default" w:ascii="Times New Roman" w:hAnsi="Times New Roman" w:cs="Times New Roman"/>
                <w:color w:val="000000" w:themeColor="text1"/>
                <w:sz w:val="24"/>
                <w:szCs w:val="32"/>
                <w:highlight w:val="none"/>
                <w:vertAlign w:val="baseline"/>
                <w:lang w:eastAsia="zh-CN"/>
                <w14:textFill>
                  <w14:solidFill>
                    <w14:schemeClr w14:val="tx1"/>
                  </w14:solidFill>
                </w14:textFill>
              </w:rPr>
              <w:t>焦炉</w:t>
            </w:r>
            <w:r>
              <w:rPr>
                <w:rFonts w:hint="eastAsia" w:cs="Times New Roman"/>
                <w:color w:val="000000" w:themeColor="text1"/>
                <w:sz w:val="24"/>
                <w:szCs w:val="32"/>
                <w:highlight w:val="none"/>
                <w:vertAlign w:val="baseline"/>
                <w:lang w:eastAsia="zh-CN"/>
                <w14:textFill>
                  <w14:solidFill>
                    <w14:schemeClr w14:val="tx1"/>
                  </w14:solidFill>
                </w14:textFill>
              </w:rPr>
              <w:t>煤气</w:t>
            </w:r>
            <w:r>
              <w:rPr>
                <w:rFonts w:hint="default" w:ascii="Times New Roman" w:hAnsi="Times New Roman" w:cs="Times New Roman"/>
                <w:color w:val="000000" w:themeColor="text1"/>
                <w:sz w:val="24"/>
                <w:szCs w:val="32"/>
                <w:highlight w:val="none"/>
                <w:vertAlign w:val="baseline"/>
                <w:lang w:eastAsia="zh-CN"/>
                <w14:textFill>
                  <w14:solidFill>
                    <w14:schemeClr w14:val="tx1"/>
                  </w14:solidFill>
                </w14:textFill>
              </w:rPr>
              <w:t>产生的二氧化硫相加：</w:t>
            </w:r>
          </w:p>
          <w:p w14:paraId="043BEB0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000000" w:themeColor="text1"/>
                <w:sz w:val="24"/>
                <w:szCs w:val="32"/>
                <w:highlight w:val="none"/>
                <w:vertAlign w:val="baseline"/>
                <w:lang w:eastAsia="zh-CN"/>
                <w14:textFill>
                  <w14:solidFill>
                    <w14:schemeClr w14:val="tx1"/>
                  </w14:solidFill>
                </w14:textFill>
              </w:rPr>
            </w:pPr>
            <w:r>
              <w:rPr>
                <w:rFonts w:hint="eastAsia" w:cs="Times New Roman"/>
                <w:color w:val="000000" w:themeColor="text1"/>
                <w:sz w:val="24"/>
                <w:szCs w:val="32"/>
                <w:highlight w:val="none"/>
                <w:lang w:val="en-US" w:eastAsia="zh-CN"/>
                <w14:textFill>
                  <w14:solidFill>
                    <w14:schemeClr w14:val="tx1"/>
                  </w14:solidFill>
                </w14:textFill>
              </w:rPr>
              <w:t>390.77</w:t>
            </w:r>
            <w:r>
              <w:rPr>
                <w:rFonts w:hint="default" w:ascii="Times New Roman" w:hAnsi="Times New Roman" w:cs="Times New Roman"/>
                <w:color w:val="000000" w:themeColor="text1"/>
                <w:sz w:val="24"/>
                <w:szCs w:val="32"/>
                <w:highlight w:val="none"/>
                <w:vertAlign w:val="baseline"/>
                <w:lang w:val="en-US" w:eastAsia="zh-CN"/>
                <w14:textFill>
                  <w14:solidFill>
                    <w14:schemeClr w14:val="tx1"/>
                  </w14:solidFill>
                </w14:textFill>
              </w:rPr>
              <w:t>t/a+</w:t>
            </w:r>
            <w:r>
              <w:rPr>
                <w:rFonts w:hint="default" w:ascii="Times New Roman" w:hAnsi="Times New Roman" w:cs="Times New Roman"/>
                <w:color w:val="000000" w:themeColor="text1"/>
                <w:sz w:val="24"/>
                <w:szCs w:val="32"/>
                <w:highlight w:val="none"/>
                <w:vertAlign w:val="baseline"/>
                <w:lang w:eastAsia="zh-CN"/>
                <w14:textFill>
                  <w14:solidFill>
                    <w14:schemeClr w14:val="tx1"/>
                  </w14:solidFill>
                </w14:textFill>
              </w:rPr>
              <w:t>3</w:t>
            </w:r>
            <w:r>
              <w:rPr>
                <w:rFonts w:hint="eastAsia" w:cs="Times New Roman"/>
                <w:color w:val="000000" w:themeColor="text1"/>
                <w:sz w:val="24"/>
                <w:szCs w:val="32"/>
                <w:highlight w:val="none"/>
                <w:vertAlign w:val="baseline"/>
                <w:lang w:val="en-US" w:eastAsia="zh-CN"/>
                <w14:textFill>
                  <w14:solidFill>
                    <w14:schemeClr w14:val="tx1"/>
                  </w14:solidFill>
                </w14:textFill>
              </w:rPr>
              <w:t>.</w:t>
            </w:r>
            <w:r>
              <w:rPr>
                <w:rFonts w:hint="default" w:ascii="Times New Roman" w:hAnsi="Times New Roman" w:cs="Times New Roman"/>
                <w:color w:val="000000" w:themeColor="text1"/>
                <w:sz w:val="24"/>
                <w:szCs w:val="32"/>
                <w:highlight w:val="none"/>
                <w:vertAlign w:val="baseline"/>
                <w:lang w:eastAsia="zh-CN"/>
                <w14:textFill>
                  <w14:solidFill>
                    <w14:schemeClr w14:val="tx1"/>
                  </w14:solidFill>
                </w14:textFill>
              </w:rPr>
              <w:t>63</w:t>
            </w:r>
            <w:r>
              <w:rPr>
                <w:rFonts w:hint="default" w:ascii="Times New Roman" w:hAnsi="Times New Roman" w:cs="Times New Roman"/>
                <w:color w:val="000000" w:themeColor="text1"/>
                <w:sz w:val="24"/>
                <w:szCs w:val="32"/>
                <w:highlight w:val="none"/>
                <w:vertAlign w:val="baseline"/>
                <w:lang w:val="en-US" w:eastAsia="zh-CN"/>
                <w14:textFill>
                  <w14:solidFill>
                    <w14:schemeClr w14:val="tx1"/>
                  </w14:solidFill>
                </w14:textFill>
              </w:rPr>
              <w:t>t/a</w:t>
            </w:r>
            <w:r>
              <w:rPr>
                <w:rFonts w:hint="default" w:ascii="Times New Roman" w:hAnsi="Times New Roman" w:cs="Times New Roman"/>
                <w:color w:val="000000" w:themeColor="text1"/>
                <w:sz w:val="24"/>
                <w:szCs w:val="32"/>
                <w:highlight w:val="none"/>
                <w:vertAlign w:val="baseline"/>
                <w:lang w:eastAsia="zh-CN"/>
                <w14:textFill>
                  <w14:solidFill>
                    <w14:schemeClr w14:val="tx1"/>
                  </w14:solidFill>
                </w14:textFill>
              </w:rPr>
              <w:t>=</w:t>
            </w:r>
            <w:r>
              <w:rPr>
                <w:rFonts w:hint="eastAsia" w:cs="Times New Roman"/>
                <w:color w:val="000000" w:themeColor="text1"/>
                <w:sz w:val="24"/>
                <w:szCs w:val="32"/>
                <w:highlight w:val="none"/>
                <w:vertAlign w:val="baseline"/>
                <w:lang w:val="en-US" w:eastAsia="zh-CN"/>
                <w14:textFill>
                  <w14:solidFill>
                    <w14:schemeClr w14:val="tx1"/>
                  </w14:solidFill>
                </w14:textFill>
              </w:rPr>
              <w:t>394.4</w:t>
            </w:r>
            <w:r>
              <w:rPr>
                <w:rFonts w:hint="default" w:ascii="Times New Roman" w:hAnsi="Times New Roman" w:cs="Times New Roman"/>
                <w:color w:val="000000" w:themeColor="text1"/>
                <w:sz w:val="24"/>
                <w:szCs w:val="32"/>
                <w:highlight w:val="none"/>
                <w:vertAlign w:val="baseline"/>
                <w:lang w:eastAsia="zh-CN"/>
                <w14:textFill>
                  <w14:solidFill>
                    <w14:schemeClr w14:val="tx1"/>
                  </w14:solidFill>
                </w14:textFill>
              </w:rPr>
              <w:t>吨/年</w:t>
            </w:r>
          </w:p>
          <w:p w14:paraId="150CAAF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000000" w:themeColor="text1"/>
                <w:sz w:val="24"/>
                <w:szCs w:val="32"/>
                <w:highlight w:val="none"/>
                <w:vertAlign w:val="baseline"/>
                <w:lang w:val="en-US" w:eastAsia="zh-CN"/>
                <w14:textFill>
                  <w14:solidFill>
                    <w14:schemeClr w14:val="tx1"/>
                  </w14:solidFill>
                </w14:textFill>
              </w:rPr>
            </w:pPr>
            <w:r>
              <w:rPr>
                <w:rFonts w:hint="eastAsia" w:cs="Times New Roman"/>
                <w:color w:val="000000" w:themeColor="text1"/>
                <w:sz w:val="24"/>
                <w:szCs w:val="32"/>
                <w:highlight w:val="none"/>
                <w:vertAlign w:val="baseline"/>
                <w:lang w:val="en-US" w:eastAsia="zh-CN"/>
                <w14:textFill>
                  <w14:solidFill>
                    <w14:schemeClr w14:val="tx1"/>
                  </w14:solidFill>
                </w14:textFill>
              </w:rPr>
              <w:t>⑤</w:t>
            </w:r>
            <w:r>
              <w:rPr>
                <w:rFonts w:hint="default" w:ascii="Times New Roman" w:hAnsi="Times New Roman" w:cs="Times New Roman"/>
                <w:color w:val="000000" w:themeColor="text1"/>
                <w:sz w:val="24"/>
                <w:szCs w:val="32"/>
                <w:highlight w:val="none"/>
                <w:vertAlign w:val="baseline"/>
                <w:lang w:val="en-US" w:eastAsia="zh-CN"/>
                <w14:textFill>
                  <w14:solidFill>
                    <w14:schemeClr w14:val="tx1"/>
                  </w14:solidFill>
                </w14:textFill>
              </w:rPr>
              <w:t>二氧化硫排放量</w:t>
            </w:r>
          </w:p>
          <w:p w14:paraId="21ACC062">
            <w:pPr>
              <w:keepNext w:val="0"/>
              <w:keepLines w:val="0"/>
              <w:pageBreakBefore w:val="0"/>
              <w:widowControl w:val="0"/>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本项目脱硫工艺选取石灰石</w:t>
            </w:r>
            <w:r>
              <w:rPr>
                <w:rFonts w:hint="eastAsia" w:cs="Times New Roman"/>
                <w:color w:val="000000" w:themeColor="text1"/>
                <w:kern w:val="0"/>
                <w:sz w:val="24"/>
                <w:szCs w:val="24"/>
                <w:highlight w:val="none"/>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石膏法，根据设计，去除效率可达到</w:t>
            </w:r>
            <w:r>
              <w:rPr>
                <w:rFonts w:hint="eastAsia" w:cs="Times New Roman"/>
                <w:color w:val="000000" w:themeColor="text1"/>
                <w:kern w:val="0"/>
                <w:sz w:val="24"/>
                <w:szCs w:val="24"/>
                <w:highlight w:val="none"/>
                <w:lang w:val="en-US" w:eastAsia="zh-CN" w:bidi="ar"/>
                <w14:textFill>
                  <w14:solidFill>
                    <w14:schemeClr w14:val="tx1"/>
                  </w14:solidFill>
                </w14:textFill>
              </w:rPr>
              <w:t>90</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%以上。</w:t>
            </w:r>
          </w:p>
          <w:p w14:paraId="03DBA774">
            <w:pPr>
              <w:keepNext w:val="0"/>
              <w:keepLines w:val="0"/>
              <w:pageBreakBefore w:val="0"/>
              <w:widowControl w:val="0"/>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二氧化硫排放量=二氧化硫产生量×（1-去除效率）</w:t>
            </w:r>
          </w:p>
          <w:p w14:paraId="5869E520">
            <w:pPr>
              <w:keepNext w:val="0"/>
              <w:keepLines w:val="0"/>
              <w:pageBreakBefore w:val="0"/>
              <w:widowControl w:val="0"/>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w:t>
            </w:r>
            <w:r>
              <w:rPr>
                <w:rFonts w:hint="eastAsia" w:cs="Times New Roman"/>
                <w:color w:val="000000" w:themeColor="text1"/>
                <w:kern w:val="0"/>
                <w:sz w:val="24"/>
                <w:szCs w:val="24"/>
                <w:highlight w:val="none"/>
                <w:lang w:val="en-US" w:eastAsia="zh-CN" w:bidi="ar"/>
                <w14:textFill>
                  <w14:solidFill>
                    <w14:schemeClr w14:val="tx1"/>
                  </w14:solidFill>
                </w14:textFill>
              </w:rPr>
              <w:t>394.4</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t/a×(1-</w:t>
            </w:r>
            <w:r>
              <w:rPr>
                <w:rFonts w:hint="eastAsia" w:cs="Times New Roman"/>
                <w:color w:val="000000" w:themeColor="text1"/>
                <w:kern w:val="0"/>
                <w:sz w:val="24"/>
                <w:szCs w:val="24"/>
                <w:highlight w:val="none"/>
                <w:lang w:val="en-US" w:eastAsia="zh-CN" w:bidi="ar"/>
                <w14:textFill>
                  <w14:solidFill>
                    <w14:schemeClr w14:val="tx1"/>
                  </w14:solidFill>
                </w14:textFill>
              </w:rPr>
              <w:t>90</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w:t>
            </w:r>
            <w:r>
              <w:rPr>
                <w:rFonts w:hint="eastAsia" w:cs="Times New Roman"/>
                <w:color w:val="000000" w:themeColor="text1"/>
                <w:kern w:val="0"/>
                <w:sz w:val="24"/>
                <w:szCs w:val="24"/>
                <w:highlight w:val="none"/>
                <w:lang w:val="en-US" w:eastAsia="zh-CN" w:bidi="ar"/>
                <w14:textFill>
                  <w14:solidFill>
                    <w14:schemeClr w14:val="tx1"/>
                  </w14:solidFill>
                </w14:textFill>
              </w:rPr>
              <w:t>39.44</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t/a</w:t>
            </w:r>
          </w:p>
          <w:p w14:paraId="64713CC6">
            <w:pPr>
              <w:keepNext w:val="0"/>
              <w:keepLines w:val="0"/>
              <w:pageBreakBefore w:val="0"/>
              <w:widowControl w:val="0"/>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二氧化硫排放浓度=二氧化硫排放量÷废气量</w:t>
            </w:r>
          </w:p>
          <w:p w14:paraId="5B3858FE">
            <w:pPr>
              <w:keepNext w:val="0"/>
              <w:keepLines w:val="0"/>
              <w:pageBreakBefore w:val="0"/>
              <w:widowControl w:val="0"/>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w:t>
            </w:r>
            <w:r>
              <w:rPr>
                <w:rFonts w:hint="eastAsia" w:cs="Times New Roman"/>
                <w:color w:val="000000" w:themeColor="text1"/>
                <w:kern w:val="0"/>
                <w:sz w:val="24"/>
                <w:szCs w:val="24"/>
                <w:highlight w:val="none"/>
                <w:lang w:val="en-US" w:eastAsia="zh-CN" w:bidi="ar"/>
                <w14:textFill>
                  <w14:solidFill>
                    <w14:schemeClr w14:val="tx1"/>
                  </w14:solidFill>
                </w14:textFill>
              </w:rPr>
              <w:t>39.44</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t/a÷1.0268×10</w:t>
            </w:r>
            <w:r>
              <w:rPr>
                <w:rFonts w:hint="default" w:ascii="Times New Roman" w:hAnsi="Times New Roman" w:eastAsia="宋体" w:cs="Times New Roman"/>
                <w:color w:val="000000" w:themeColor="text1"/>
                <w:kern w:val="0"/>
                <w:sz w:val="24"/>
                <w:szCs w:val="24"/>
                <w:highlight w:val="none"/>
                <w:vertAlign w:val="superscript"/>
                <w:lang w:val="en-US" w:eastAsia="zh-CN" w:bidi="ar"/>
                <w14:textFill>
                  <w14:solidFill>
                    <w14:schemeClr w14:val="tx1"/>
                  </w14:solidFill>
                </w14:textFill>
              </w:rPr>
              <w:t>9</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Nm</w:t>
            </w:r>
            <w:r>
              <w:rPr>
                <w:rFonts w:hint="default" w:ascii="Times New Roman" w:hAnsi="Times New Roman" w:eastAsia="宋体" w:cs="Times New Roman"/>
                <w:color w:val="000000" w:themeColor="text1"/>
                <w:kern w:val="0"/>
                <w:sz w:val="24"/>
                <w:szCs w:val="24"/>
                <w:highlight w:val="none"/>
                <w:vertAlign w:val="superscript"/>
                <w:lang w:val="en-US" w:eastAsia="zh-CN" w:bidi="ar"/>
                <w14:textFill>
                  <w14:solidFill>
                    <w14:schemeClr w14:val="tx1"/>
                  </w14:solidFill>
                </w14:textFill>
              </w:rPr>
              <w:t>3</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/a</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w:t>
            </w:r>
            <w:r>
              <w:rPr>
                <w:rFonts w:hint="eastAsia" w:cs="Times New Roman"/>
                <w:color w:val="000000" w:themeColor="text1"/>
                <w:sz w:val="24"/>
                <w:highlight w:val="none"/>
                <w:lang w:val="en-US" w:eastAsia="zh-CN"/>
                <w14:textFill>
                  <w14:solidFill>
                    <w14:schemeClr w14:val="tx1"/>
                  </w14:solidFill>
                </w14:textFill>
              </w:rPr>
              <w:t>38.41</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mg/m</w:t>
            </w:r>
            <w:r>
              <w:rPr>
                <w:rFonts w:hint="default" w:ascii="Times New Roman" w:hAnsi="Times New Roman" w:eastAsia="宋体" w:cs="Times New Roman"/>
                <w:color w:val="000000" w:themeColor="text1"/>
                <w:sz w:val="24"/>
                <w:highlight w:val="none"/>
                <w:vertAlign w:val="superscript"/>
                <w:lang w:val="en-US" w:eastAsia="zh-CN"/>
                <w14:textFill>
                  <w14:solidFill>
                    <w14:schemeClr w14:val="tx1"/>
                  </w14:solidFill>
                </w14:textFill>
              </w:rPr>
              <w:t>3</w:t>
            </w:r>
            <w:r>
              <w:rPr>
                <w:rFonts w:hint="eastAsia" w:cs="Times New Roman"/>
                <w:color w:val="000000" w:themeColor="text1"/>
                <w:kern w:val="0"/>
                <w:sz w:val="24"/>
                <w:szCs w:val="24"/>
                <w:highlight w:val="none"/>
                <w:lang w:val="en-US" w:eastAsia="zh-CN" w:bidi="ar"/>
                <w14:textFill>
                  <w14:solidFill>
                    <w14:schemeClr w14:val="tx1"/>
                  </w14:solidFill>
                </w14:textFill>
              </w:rPr>
              <w:t>（1200℃＜t≤1700℃，由于项目烧成温度为1350℃，因此，达标限值50</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mg/m</w:t>
            </w:r>
            <w:r>
              <w:rPr>
                <w:rFonts w:hint="default" w:ascii="Times New Roman" w:hAnsi="Times New Roman" w:eastAsia="宋体" w:cs="Times New Roman"/>
                <w:color w:val="000000" w:themeColor="text1"/>
                <w:sz w:val="24"/>
                <w:highlight w:val="none"/>
                <w:vertAlign w:val="superscript"/>
                <w:lang w:val="en-US" w:eastAsia="zh-CN"/>
                <w14:textFill>
                  <w14:solidFill>
                    <w14:schemeClr w14:val="tx1"/>
                  </w14:solidFill>
                </w14:textFill>
              </w:rPr>
              <w:t>3</w:t>
            </w:r>
            <w:r>
              <w:rPr>
                <w:rFonts w:hint="eastAsia" w:cs="Times New Roman"/>
                <w:color w:val="000000" w:themeColor="text1"/>
                <w:sz w:val="24"/>
                <w:szCs w:val="24"/>
                <w:highlight w:val="none"/>
                <w:vertAlign w:val="baseline"/>
                <w:lang w:val="en-US" w:eastAsia="zh-CN"/>
                <w14:textFill>
                  <w14:solidFill>
                    <w14:schemeClr w14:val="tx1"/>
                  </w14:solidFill>
                </w14:textFill>
              </w:rPr>
              <w:t>）</w:t>
            </w:r>
          </w:p>
          <w:p w14:paraId="37F8864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D.氮氧化物</w:t>
            </w:r>
            <w:r>
              <w:rPr>
                <w:rFonts w:hint="eastAsia" w:cs="Times New Roman"/>
                <w:color w:val="000000" w:themeColor="text1"/>
                <w:sz w:val="24"/>
                <w:highlight w:val="none"/>
                <w:lang w:val="en-US" w:eastAsia="zh-CN"/>
                <w14:textFill>
                  <w14:solidFill>
                    <w14:schemeClr w14:val="tx1"/>
                  </w14:solidFill>
                </w14:textFill>
              </w:rPr>
              <w:t>产</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排量</w:t>
            </w:r>
          </w:p>
          <w:p w14:paraId="631BE9C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参照《污染源源强核算技术指南准则》（HJ884）</w:t>
            </w:r>
            <w:r>
              <w:rPr>
                <w:rFonts w:hint="eastAsia" w:cs="Times New Roman"/>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《排放源统计调查产排污核算方法和系数手册》（生态环境部公告2021年第24号）中3089耐火陶瓷制品及其他耐火材料制造行业系数，具体产污系数见下表：</w:t>
            </w:r>
          </w:p>
          <w:p w14:paraId="2CAA1CD0">
            <w:pPr>
              <w:pStyle w:val="13"/>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firstLine="0" w:firstLineChars="0"/>
              <w:jc w:val="center"/>
              <w:textAlignment w:val="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b/>
                <w:bCs/>
                <w:color w:val="000000" w:themeColor="text1"/>
                <w:spacing w:val="6"/>
                <w:sz w:val="24"/>
                <w:szCs w:val="28"/>
                <w:highlight w:val="none"/>
                <w14:textFill>
                  <w14:solidFill>
                    <w14:schemeClr w14:val="tx1"/>
                  </w14:solidFill>
                </w14:textFill>
              </w:rPr>
              <w:t>表</w:t>
            </w:r>
            <w:r>
              <w:rPr>
                <w:rFonts w:hint="default" w:ascii="Times New Roman" w:hAnsi="Times New Roman" w:cs="Times New Roman"/>
                <w:b/>
                <w:bCs/>
                <w:color w:val="000000" w:themeColor="text1"/>
                <w:spacing w:val="6"/>
                <w:sz w:val="24"/>
                <w:szCs w:val="28"/>
                <w:highlight w:val="none"/>
                <w:lang w:val="en-US" w:eastAsia="zh-CN"/>
                <w14:textFill>
                  <w14:solidFill>
                    <w14:schemeClr w14:val="tx1"/>
                  </w14:solidFill>
                </w14:textFill>
              </w:rPr>
              <w:t>4-4耐火陶瓷制品及其他耐火材料制造行业系数3089</w:t>
            </w:r>
          </w:p>
          <w:tbl>
            <w:tblPr>
              <w:tblStyle w:val="24"/>
              <w:tblW w:w="793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540"/>
              <w:gridCol w:w="578"/>
              <w:gridCol w:w="1180"/>
              <w:gridCol w:w="677"/>
              <w:gridCol w:w="844"/>
              <w:gridCol w:w="982"/>
              <w:gridCol w:w="732"/>
              <w:gridCol w:w="1638"/>
              <w:gridCol w:w="767"/>
            </w:tblGrid>
            <w:tr w14:paraId="72F5AA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540" w:type="dxa"/>
                  <w:tcBorders>
                    <w:top w:val="single" w:color="auto" w:sz="4" w:space="0"/>
                    <w:left w:val="single" w:color="auto" w:sz="4" w:space="0"/>
                    <w:bottom w:val="single" w:color="auto" w:sz="4" w:space="0"/>
                    <w:right w:val="single" w:color="auto" w:sz="4" w:space="0"/>
                  </w:tcBorders>
                  <w:noWrap w:val="0"/>
                  <w:vAlign w:val="center"/>
                </w:tcPr>
                <w:p w14:paraId="3A4E8BB3">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pacing w:val="4"/>
                      <w:sz w:val="21"/>
                      <w:szCs w:val="21"/>
                      <w:highlight w:val="none"/>
                      <w14:textFill>
                        <w14:solidFill>
                          <w14:schemeClr w14:val="tx1"/>
                        </w14:solidFill>
                      </w14:textFill>
                    </w:rPr>
                    <w:t>产品</w:t>
                  </w:r>
                </w:p>
                <w:p w14:paraId="6BD627AE">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pacing w:val="3"/>
                      <w:sz w:val="21"/>
                      <w:szCs w:val="21"/>
                      <w:highlight w:val="none"/>
                      <w14:textFill>
                        <w14:solidFill>
                          <w14:schemeClr w14:val="tx1"/>
                        </w14:solidFill>
                      </w14:textFill>
                    </w:rPr>
                    <w:t>名称</w:t>
                  </w:r>
                </w:p>
              </w:tc>
              <w:tc>
                <w:tcPr>
                  <w:tcW w:w="578" w:type="dxa"/>
                  <w:tcBorders>
                    <w:top w:val="single" w:color="auto" w:sz="4" w:space="0"/>
                    <w:left w:val="single" w:color="auto" w:sz="4" w:space="0"/>
                    <w:bottom w:val="single" w:color="auto" w:sz="4" w:space="0"/>
                    <w:right w:val="single" w:color="auto" w:sz="4" w:space="0"/>
                  </w:tcBorders>
                  <w:noWrap w:val="0"/>
                  <w:vAlign w:val="center"/>
                </w:tcPr>
                <w:p w14:paraId="77F57E2B">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pacing w:val="2"/>
                      <w:sz w:val="21"/>
                      <w:szCs w:val="21"/>
                      <w:highlight w:val="none"/>
                      <w14:textFill>
                        <w14:solidFill>
                          <w14:schemeClr w14:val="tx1"/>
                        </w14:solidFill>
                      </w14:textFill>
                    </w:rPr>
                    <w:t>原料</w:t>
                  </w:r>
                </w:p>
                <w:p w14:paraId="3BF6DFC1">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pacing w:val="3"/>
                      <w:sz w:val="21"/>
                      <w:szCs w:val="21"/>
                      <w:highlight w:val="none"/>
                      <w14:textFill>
                        <w14:solidFill>
                          <w14:schemeClr w14:val="tx1"/>
                        </w14:solidFill>
                      </w14:textFill>
                    </w:rPr>
                    <w:t>名称</w:t>
                  </w:r>
                </w:p>
              </w:tc>
              <w:tc>
                <w:tcPr>
                  <w:tcW w:w="1180" w:type="dxa"/>
                  <w:tcBorders>
                    <w:top w:val="single" w:color="auto" w:sz="4" w:space="0"/>
                    <w:left w:val="single" w:color="auto" w:sz="4" w:space="0"/>
                    <w:bottom w:val="single" w:color="auto" w:sz="4" w:space="0"/>
                    <w:right w:val="single" w:color="auto" w:sz="4" w:space="0"/>
                  </w:tcBorders>
                  <w:noWrap w:val="0"/>
                  <w:vAlign w:val="center"/>
                </w:tcPr>
                <w:p w14:paraId="792780EA">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color w:val="000000" w:themeColor="text1"/>
                      <w:spacing w:val="6"/>
                      <w:sz w:val="21"/>
                      <w:szCs w:val="21"/>
                      <w:highlight w:val="none"/>
                      <w14:textFill>
                        <w14:solidFill>
                          <w14:schemeClr w14:val="tx1"/>
                        </w14:solidFill>
                      </w14:textFill>
                    </w:rPr>
                  </w:pPr>
                  <w:r>
                    <w:rPr>
                      <w:rFonts w:hint="default" w:ascii="Times New Roman" w:hAnsi="Times New Roman" w:cs="Times New Roman"/>
                      <w:color w:val="000000" w:themeColor="text1"/>
                      <w:spacing w:val="6"/>
                      <w:sz w:val="21"/>
                      <w:szCs w:val="21"/>
                      <w:highlight w:val="none"/>
                      <w14:textFill>
                        <w14:solidFill>
                          <w14:schemeClr w14:val="tx1"/>
                        </w14:solidFill>
                      </w14:textFill>
                    </w:rPr>
                    <w:t>工艺</w:t>
                  </w:r>
                </w:p>
                <w:p w14:paraId="66ADF8A5">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pacing w:val="6"/>
                      <w:sz w:val="21"/>
                      <w:szCs w:val="21"/>
                      <w:highlight w:val="none"/>
                      <w14:textFill>
                        <w14:solidFill>
                          <w14:schemeClr w14:val="tx1"/>
                        </w14:solidFill>
                      </w14:textFill>
                    </w:rPr>
                    <w:t>名称</w:t>
                  </w:r>
                </w:p>
              </w:tc>
              <w:tc>
                <w:tcPr>
                  <w:tcW w:w="677" w:type="dxa"/>
                  <w:tcBorders>
                    <w:top w:val="single" w:color="auto" w:sz="4" w:space="0"/>
                    <w:left w:val="single" w:color="auto" w:sz="4" w:space="0"/>
                    <w:bottom w:val="single" w:color="auto" w:sz="4" w:space="0"/>
                    <w:right w:val="single" w:color="auto" w:sz="4" w:space="0"/>
                  </w:tcBorders>
                  <w:noWrap w:val="0"/>
                  <w:vAlign w:val="center"/>
                </w:tcPr>
                <w:p w14:paraId="355E4254">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pacing w:val="4"/>
                      <w:sz w:val="21"/>
                      <w:szCs w:val="21"/>
                      <w:highlight w:val="none"/>
                      <w14:textFill>
                        <w14:solidFill>
                          <w14:schemeClr w14:val="tx1"/>
                        </w14:solidFill>
                      </w14:textFill>
                    </w:rPr>
                    <w:t>规模</w:t>
                  </w:r>
                </w:p>
                <w:p w14:paraId="27539072">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pacing w:val="3"/>
                      <w:sz w:val="21"/>
                      <w:szCs w:val="21"/>
                      <w:highlight w:val="none"/>
                      <w14:textFill>
                        <w14:solidFill>
                          <w14:schemeClr w14:val="tx1"/>
                        </w14:solidFill>
                      </w14:textFill>
                    </w:rPr>
                    <w:t>等级</w:t>
                  </w:r>
                </w:p>
              </w:tc>
              <w:tc>
                <w:tcPr>
                  <w:tcW w:w="844" w:type="dxa"/>
                  <w:tcBorders>
                    <w:top w:val="single" w:color="auto" w:sz="4" w:space="0"/>
                    <w:left w:val="single" w:color="auto" w:sz="4" w:space="0"/>
                    <w:bottom w:val="single" w:color="auto" w:sz="4" w:space="0"/>
                    <w:right w:val="single" w:color="auto" w:sz="4" w:space="0"/>
                  </w:tcBorders>
                  <w:noWrap w:val="0"/>
                  <w:vAlign w:val="center"/>
                </w:tcPr>
                <w:p w14:paraId="6766685D">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color w:val="000000" w:themeColor="text1"/>
                      <w:spacing w:val="7"/>
                      <w:sz w:val="21"/>
                      <w:szCs w:val="21"/>
                      <w:highlight w:val="none"/>
                      <w14:textFill>
                        <w14:solidFill>
                          <w14:schemeClr w14:val="tx1"/>
                        </w14:solidFill>
                      </w14:textFill>
                    </w:rPr>
                  </w:pPr>
                  <w:r>
                    <w:rPr>
                      <w:rFonts w:hint="default" w:ascii="Times New Roman" w:hAnsi="Times New Roman" w:cs="Times New Roman"/>
                      <w:color w:val="000000" w:themeColor="text1"/>
                      <w:spacing w:val="7"/>
                      <w:sz w:val="21"/>
                      <w:szCs w:val="21"/>
                      <w:highlight w:val="none"/>
                      <w14:textFill>
                        <w14:solidFill>
                          <w14:schemeClr w14:val="tx1"/>
                        </w14:solidFill>
                      </w14:textFill>
                    </w:rPr>
                    <w:t>污染物</w:t>
                  </w:r>
                </w:p>
                <w:p w14:paraId="70AAEA67">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pacing w:val="7"/>
                      <w:sz w:val="21"/>
                      <w:szCs w:val="21"/>
                      <w:highlight w:val="none"/>
                      <w14:textFill>
                        <w14:solidFill>
                          <w14:schemeClr w14:val="tx1"/>
                        </w14:solidFill>
                      </w14:textFill>
                    </w:rPr>
                    <w:t>指标</w:t>
                  </w:r>
                </w:p>
              </w:tc>
              <w:tc>
                <w:tcPr>
                  <w:tcW w:w="982" w:type="dxa"/>
                  <w:tcBorders>
                    <w:top w:val="single" w:color="auto" w:sz="4" w:space="0"/>
                    <w:left w:val="single" w:color="auto" w:sz="4" w:space="0"/>
                    <w:bottom w:val="single" w:color="auto" w:sz="4" w:space="0"/>
                    <w:right w:val="single" w:color="auto" w:sz="4" w:space="0"/>
                  </w:tcBorders>
                  <w:noWrap w:val="0"/>
                  <w:vAlign w:val="center"/>
                </w:tcPr>
                <w:p w14:paraId="678C8248">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pacing w:val="3"/>
                      <w:sz w:val="21"/>
                      <w:szCs w:val="21"/>
                      <w:highlight w:val="none"/>
                      <w14:textFill>
                        <w14:solidFill>
                          <w14:schemeClr w14:val="tx1"/>
                        </w14:solidFill>
                      </w14:textFill>
                    </w:rPr>
                    <w:t>单位</w:t>
                  </w:r>
                </w:p>
              </w:tc>
              <w:tc>
                <w:tcPr>
                  <w:tcW w:w="732" w:type="dxa"/>
                  <w:tcBorders>
                    <w:top w:val="single" w:color="auto" w:sz="4" w:space="0"/>
                    <w:left w:val="single" w:color="auto" w:sz="4" w:space="0"/>
                    <w:bottom w:val="single" w:color="auto" w:sz="4" w:space="0"/>
                    <w:right w:val="single" w:color="auto" w:sz="4" w:space="0"/>
                  </w:tcBorders>
                  <w:noWrap w:val="0"/>
                  <w:vAlign w:val="center"/>
                </w:tcPr>
                <w:p w14:paraId="3FE69BE2">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pacing w:val="4"/>
                      <w:sz w:val="21"/>
                      <w:szCs w:val="21"/>
                      <w:highlight w:val="none"/>
                      <w14:textFill>
                        <w14:solidFill>
                          <w14:schemeClr w14:val="tx1"/>
                        </w14:solidFill>
                      </w14:textFill>
                    </w:rPr>
                    <w:t>产污</w:t>
                  </w:r>
                </w:p>
                <w:p w14:paraId="0FD9C176">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pacing w:val="2"/>
                      <w:sz w:val="21"/>
                      <w:szCs w:val="21"/>
                      <w:highlight w:val="none"/>
                      <w14:textFill>
                        <w14:solidFill>
                          <w14:schemeClr w14:val="tx1"/>
                        </w14:solidFill>
                      </w14:textFill>
                    </w:rPr>
                    <w:t>系数</w:t>
                  </w:r>
                </w:p>
              </w:tc>
              <w:tc>
                <w:tcPr>
                  <w:tcW w:w="1638" w:type="dxa"/>
                  <w:tcBorders>
                    <w:top w:val="single" w:color="auto" w:sz="4" w:space="0"/>
                    <w:left w:val="single" w:color="auto" w:sz="4" w:space="0"/>
                    <w:bottom w:val="single" w:color="auto" w:sz="4" w:space="0"/>
                    <w:right w:val="single" w:color="auto" w:sz="4" w:space="0"/>
                  </w:tcBorders>
                  <w:noWrap w:val="0"/>
                  <w:vAlign w:val="center"/>
                </w:tcPr>
                <w:p w14:paraId="56E01BFD">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pacing w:val="7"/>
                      <w:sz w:val="21"/>
                      <w:szCs w:val="21"/>
                      <w:highlight w:val="none"/>
                      <w14:textFill>
                        <w14:solidFill>
                          <w14:schemeClr w14:val="tx1"/>
                        </w14:solidFill>
                      </w14:textFill>
                    </w:rPr>
                    <w:t>末端治理</w:t>
                  </w:r>
                </w:p>
                <w:p w14:paraId="7209CFF8">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pacing w:val="7"/>
                      <w:sz w:val="21"/>
                      <w:szCs w:val="21"/>
                      <w:highlight w:val="none"/>
                      <w14:textFill>
                        <w14:solidFill>
                          <w14:schemeClr w14:val="tx1"/>
                        </w14:solidFill>
                      </w14:textFill>
                    </w:rPr>
                    <w:t>技术名称</w:t>
                  </w:r>
                </w:p>
              </w:tc>
              <w:tc>
                <w:tcPr>
                  <w:tcW w:w="767" w:type="dxa"/>
                  <w:tcBorders>
                    <w:top w:val="single" w:color="auto" w:sz="4" w:space="0"/>
                    <w:left w:val="single" w:color="auto" w:sz="4" w:space="0"/>
                    <w:bottom w:val="single" w:color="auto" w:sz="4" w:space="0"/>
                    <w:right w:val="single" w:color="auto" w:sz="4" w:space="0"/>
                  </w:tcBorders>
                  <w:noWrap w:val="0"/>
                  <w:vAlign w:val="center"/>
                </w:tcPr>
                <w:p w14:paraId="4216643E">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pacing w:val="5"/>
                      <w:sz w:val="21"/>
                      <w:szCs w:val="21"/>
                      <w:highlight w:val="none"/>
                      <w14:textFill>
                        <w14:solidFill>
                          <w14:schemeClr w14:val="tx1"/>
                        </w14:solidFill>
                      </w14:textFill>
                    </w:rPr>
                    <w:t>去除效</w:t>
                  </w:r>
                  <w:r>
                    <w:rPr>
                      <w:rFonts w:hint="default" w:ascii="Times New Roman" w:hAnsi="Times New Roman" w:cs="Times New Roman"/>
                      <w:color w:val="000000" w:themeColor="text1"/>
                      <w:spacing w:val="4"/>
                      <w:sz w:val="21"/>
                      <w:szCs w:val="21"/>
                      <w:highlight w:val="none"/>
                      <w14:textFill>
                        <w14:solidFill>
                          <w14:schemeClr w14:val="tx1"/>
                        </w14:solidFill>
                      </w14:textFill>
                    </w:rPr>
                    <w:t>率</w:t>
                  </w:r>
                  <w:r>
                    <w:rPr>
                      <w:rFonts w:hint="default" w:ascii="Times New Roman" w:hAnsi="Times New Roman" w:eastAsia="Times New Roman" w:cs="Times New Roman"/>
                      <w:color w:val="000000" w:themeColor="text1"/>
                      <w:spacing w:val="4"/>
                      <w:sz w:val="21"/>
                      <w:szCs w:val="21"/>
                      <w:highlight w:val="none"/>
                      <w14:textFill>
                        <w14:solidFill>
                          <w14:schemeClr w14:val="tx1"/>
                        </w14:solidFill>
                      </w14:textFill>
                    </w:rPr>
                    <w:t>%</w:t>
                  </w:r>
                </w:p>
              </w:tc>
            </w:tr>
            <w:tr w14:paraId="298CF7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540" w:type="dxa"/>
                  <w:vMerge w:val="restart"/>
                  <w:tcBorders>
                    <w:top w:val="single" w:color="auto" w:sz="4" w:space="0"/>
                    <w:left w:val="single" w:color="auto" w:sz="4" w:space="0"/>
                    <w:bottom w:val="single" w:color="auto" w:sz="4" w:space="0"/>
                    <w:right w:val="single" w:color="auto" w:sz="4" w:space="0"/>
                  </w:tcBorders>
                  <w:noWrap w:val="0"/>
                  <w:vAlign w:val="center"/>
                </w:tcPr>
                <w:p w14:paraId="1EB401EE">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pacing w:val="3"/>
                      <w:sz w:val="21"/>
                      <w:szCs w:val="21"/>
                      <w:highlight w:val="none"/>
                      <w:lang w:val="en-US" w:eastAsia="zh-CN"/>
                      <w14:textFill>
                        <w14:solidFill>
                          <w14:schemeClr w14:val="tx1"/>
                        </w14:solidFill>
                      </w14:textFill>
                    </w:rPr>
                    <w:t>原料烧制</w:t>
                  </w:r>
                </w:p>
              </w:tc>
              <w:tc>
                <w:tcPr>
                  <w:tcW w:w="578" w:type="dxa"/>
                  <w:vMerge w:val="restart"/>
                  <w:tcBorders>
                    <w:top w:val="single" w:color="auto" w:sz="4" w:space="0"/>
                    <w:left w:val="single" w:color="auto" w:sz="4" w:space="0"/>
                    <w:bottom w:val="single" w:color="auto" w:sz="4" w:space="0"/>
                    <w:right w:val="single" w:color="auto" w:sz="4" w:space="0"/>
                  </w:tcBorders>
                  <w:noWrap w:val="0"/>
                  <w:vAlign w:val="center"/>
                </w:tcPr>
                <w:p w14:paraId="6F54846F">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color w:val="000000" w:themeColor="text1"/>
                      <w:sz w:val="21"/>
                      <w:szCs w:val="21"/>
                      <w:highlight w:val="none"/>
                      <w:lang w:val="en-US"/>
                      <w14:textFill>
                        <w14:solidFill>
                          <w14:schemeClr w14:val="tx1"/>
                        </w14:solidFill>
                      </w14:textFill>
                    </w:rPr>
                  </w:pPr>
                  <w:r>
                    <w:rPr>
                      <w:rFonts w:hint="default" w:ascii="Times New Roman" w:hAnsi="Times New Roman" w:cs="Times New Roman"/>
                      <w:color w:val="000000" w:themeColor="text1"/>
                      <w:spacing w:val="2"/>
                      <w:sz w:val="21"/>
                      <w:szCs w:val="21"/>
                      <w:highlight w:val="none"/>
                      <w:lang w:val="en-US" w:eastAsia="zh-CN"/>
                      <w14:textFill>
                        <w14:solidFill>
                          <w14:schemeClr w14:val="tx1"/>
                        </w14:solidFill>
                      </w14:textFill>
                    </w:rPr>
                    <w:t>耐火原料、气体燃料</w:t>
                  </w:r>
                </w:p>
              </w:tc>
              <w:tc>
                <w:tcPr>
                  <w:tcW w:w="1180" w:type="dxa"/>
                  <w:vMerge w:val="restart"/>
                  <w:tcBorders>
                    <w:top w:val="single" w:color="auto" w:sz="4" w:space="0"/>
                    <w:left w:val="single" w:color="auto" w:sz="4" w:space="0"/>
                    <w:bottom w:val="single" w:color="auto" w:sz="4" w:space="0"/>
                    <w:right w:val="single" w:color="auto" w:sz="4" w:space="0"/>
                  </w:tcBorders>
                  <w:noWrap w:val="0"/>
                  <w:vAlign w:val="center"/>
                </w:tcPr>
                <w:p w14:paraId="36CC43C6">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color w:val="000000" w:themeColor="text1"/>
                      <w:spacing w:val="5"/>
                      <w:sz w:val="21"/>
                      <w:szCs w:val="21"/>
                      <w:highlight w:val="none"/>
                      <w14:textFill>
                        <w14:solidFill>
                          <w14:schemeClr w14:val="tx1"/>
                        </w14:solidFill>
                      </w14:textFill>
                    </w:rPr>
                  </w:pPr>
                  <w:r>
                    <w:rPr>
                      <w:rFonts w:hint="default" w:ascii="Times New Roman" w:hAnsi="Times New Roman" w:cs="Times New Roman"/>
                      <w:color w:val="000000" w:themeColor="text1"/>
                      <w:spacing w:val="5"/>
                      <w:sz w:val="21"/>
                      <w:szCs w:val="21"/>
                      <w:highlight w:val="none"/>
                      <w:lang w:val="en-US" w:eastAsia="zh-CN"/>
                      <w14:textFill>
                        <w14:solidFill>
                          <w14:schemeClr w14:val="tx1"/>
                        </w14:solidFill>
                      </w14:textFill>
                    </w:rPr>
                    <w:t>耐火材料</w:t>
                  </w:r>
                </w:p>
                <w:p w14:paraId="55138540">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color w:val="000000" w:themeColor="text1"/>
                      <w:spacing w:val="5"/>
                      <w:sz w:val="21"/>
                      <w:szCs w:val="21"/>
                      <w:highlight w:val="none"/>
                      <w14:textFill>
                        <w14:solidFill>
                          <w14:schemeClr w14:val="tx1"/>
                        </w14:solidFill>
                      </w14:textFill>
                    </w:rPr>
                  </w:pPr>
                  <w:r>
                    <w:rPr>
                      <w:rFonts w:hint="default" w:ascii="Times New Roman" w:hAnsi="Times New Roman" w:cs="Times New Roman"/>
                      <w:color w:val="000000" w:themeColor="text1"/>
                      <w:spacing w:val="5"/>
                      <w:sz w:val="21"/>
                      <w:szCs w:val="21"/>
                      <w:highlight w:val="none"/>
                      <w:lang w:val="en-US" w:eastAsia="zh-CN"/>
                      <w14:textFill>
                        <w14:solidFill>
                          <w14:schemeClr w14:val="tx1"/>
                        </w14:solidFill>
                      </w14:textFill>
                    </w:rPr>
                    <w:t>用炉（煅</w:t>
                  </w:r>
                </w:p>
                <w:p w14:paraId="1A58C9A1">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color w:val="000000" w:themeColor="text1"/>
                      <w:spacing w:val="5"/>
                      <w:sz w:val="21"/>
                      <w:szCs w:val="21"/>
                      <w:highlight w:val="none"/>
                      <w14:textFill>
                        <w14:solidFill>
                          <w14:schemeClr w14:val="tx1"/>
                        </w14:solidFill>
                      </w14:textFill>
                    </w:rPr>
                  </w:pPr>
                  <w:r>
                    <w:rPr>
                      <w:rFonts w:hint="default" w:ascii="Times New Roman" w:hAnsi="Times New Roman" w:cs="Times New Roman"/>
                      <w:color w:val="000000" w:themeColor="text1"/>
                      <w:spacing w:val="5"/>
                      <w:sz w:val="21"/>
                      <w:szCs w:val="21"/>
                      <w:highlight w:val="none"/>
                      <w:lang w:val="en-US" w:eastAsia="zh-CN"/>
                      <w14:textFill>
                        <w14:solidFill>
                          <w14:schemeClr w14:val="tx1"/>
                        </w14:solidFill>
                      </w14:textFill>
                    </w:rPr>
                    <w:t>烧窑，包括隧道窑、回</w:t>
                  </w:r>
                </w:p>
                <w:p w14:paraId="54522CFF">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color w:val="000000" w:themeColor="text1"/>
                      <w:spacing w:val="5"/>
                      <w:sz w:val="21"/>
                      <w:szCs w:val="21"/>
                      <w:highlight w:val="none"/>
                      <w14:textFill>
                        <w14:solidFill>
                          <w14:schemeClr w14:val="tx1"/>
                        </w14:solidFill>
                      </w14:textFill>
                    </w:rPr>
                  </w:pPr>
                  <w:r>
                    <w:rPr>
                      <w:rFonts w:hint="default" w:ascii="Times New Roman" w:hAnsi="Times New Roman" w:cs="Times New Roman"/>
                      <w:color w:val="000000" w:themeColor="text1"/>
                      <w:spacing w:val="5"/>
                      <w:sz w:val="21"/>
                      <w:szCs w:val="21"/>
                      <w:highlight w:val="none"/>
                      <w:lang w:val="en-US" w:eastAsia="zh-CN"/>
                      <w14:textFill>
                        <w14:solidFill>
                          <w14:schemeClr w14:val="tx1"/>
                        </w14:solidFill>
                      </w14:textFill>
                    </w:rPr>
                    <w:t>转窑和竖</w:t>
                  </w:r>
                </w:p>
                <w:p w14:paraId="6C5AF912">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color w:val="000000" w:themeColor="text1"/>
                      <w:spacing w:val="5"/>
                      <w:sz w:val="21"/>
                      <w:szCs w:val="21"/>
                      <w:highlight w:val="none"/>
                      <w14:textFill>
                        <w14:solidFill>
                          <w14:schemeClr w14:val="tx1"/>
                        </w14:solidFill>
                      </w14:textFill>
                    </w:rPr>
                  </w:pPr>
                  <w:r>
                    <w:rPr>
                      <w:rFonts w:hint="default" w:ascii="Times New Roman" w:hAnsi="Times New Roman" w:cs="Times New Roman"/>
                      <w:color w:val="000000" w:themeColor="text1"/>
                      <w:spacing w:val="5"/>
                      <w:sz w:val="21"/>
                      <w:szCs w:val="21"/>
                      <w:highlight w:val="none"/>
                      <w:lang w:val="en-US" w:eastAsia="zh-CN"/>
                      <w14:textFill>
                        <w14:solidFill>
                          <w14:schemeClr w14:val="tx1"/>
                        </w14:solidFill>
                      </w14:textFill>
                    </w:rPr>
                    <w:t>窑）</w:t>
                  </w:r>
                </w:p>
                <w:p w14:paraId="05110D5E">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p>
              </w:tc>
              <w:tc>
                <w:tcPr>
                  <w:tcW w:w="677" w:type="dxa"/>
                  <w:vMerge w:val="restart"/>
                  <w:tcBorders>
                    <w:top w:val="single" w:color="auto" w:sz="4" w:space="0"/>
                    <w:left w:val="single" w:color="auto" w:sz="4" w:space="0"/>
                    <w:bottom w:val="single" w:color="auto" w:sz="4" w:space="0"/>
                    <w:right w:val="single" w:color="auto" w:sz="4" w:space="0"/>
                  </w:tcBorders>
                  <w:noWrap w:val="0"/>
                  <w:vAlign w:val="center"/>
                </w:tcPr>
                <w:p w14:paraId="7EBCCED4">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pacing w:val="4"/>
                      <w:sz w:val="21"/>
                      <w:szCs w:val="21"/>
                      <w:highlight w:val="none"/>
                      <w14:textFill>
                        <w14:solidFill>
                          <w14:schemeClr w14:val="tx1"/>
                        </w14:solidFill>
                      </w14:textFill>
                    </w:rPr>
                    <w:t>所有</w:t>
                  </w:r>
                </w:p>
                <w:p w14:paraId="066461CE">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pacing w:val="4"/>
                      <w:sz w:val="21"/>
                      <w:szCs w:val="21"/>
                      <w:highlight w:val="none"/>
                      <w14:textFill>
                        <w14:solidFill>
                          <w14:schemeClr w14:val="tx1"/>
                        </w14:solidFill>
                      </w14:textFill>
                    </w:rPr>
                    <w:t>规模</w:t>
                  </w:r>
                </w:p>
              </w:tc>
              <w:tc>
                <w:tcPr>
                  <w:tcW w:w="844" w:type="dxa"/>
                  <w:tcBorders>
                    <w:top w:val="single" w:color="auto" w:sz="4" w:space="0"/>
                    <w:left w:val="single" w:color="auto" w:sz="4" w:space="0"/>
                    <w:bottom w:val="single" w:color="auto" w:sz="4" w:space="0"/>
                    <w:right w:val="single" w:color="auto" w:sz="4" w:space="0"/>
                  </w:tcBorders>
                  <w:noWrap w:val="0"/>
                  <w:vAlign w:val="center"/>
                </w:tcPr>
                <w:p w14:paraId="26106BD3">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pacing w:val="7"/>
                      <w:sz w:val="21"/>
                      <w:szCs w:val="21"/>
                      <w:highlight w:val="none"/>
                      <w14:textFill>
                        <w14:solidFill>
                          <w14:schemeClr w14:val="tx1"/>
                        </w14:solidFill>
                      </w14:textFill>
                    </w:rPr>
                    <w:t>工业废气量</w:t>
                  </w:r>
                </w:p>
              </w:tc>
              <w:tc>
                <w:tcPr>
                  <w:tcW w:w="982" w:type="dxa"/>
                  <w:tcBorders>
                    <w:top w:val="single" w:color="auto" w:sz="4" w:space="0"/>
                    <w:left w:val="single" w:color="auto" w:sz="4" w:space="0"/>
                    <w:bottom w:val="single" w:color="auto" w:sz="4" w:space="0"/>
                    <w:right w:val="single" w:color="auto" w:sz="4" w:space="0"/>
                  </w:tcBorders>
                  <w:noWrap w:val="0"/>
                  <w:vAlign w:val="center"/>
                </w:tcPr>
                <w:p w14:paraId="6F018FF2">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pacing w:val="7"/>
                      <w:sz w:val="21"/>
                      <w:szCs w:val="21"/>
                      <w:highlight w:val="none"/>
                      <w14:textFill>
                        <w14:solidFill>
                          <w14:schemeClr w14:val="tx1"/>
                        </w14:solidFill>
                      </w14:textFill>
                    </w:rPr>
                    <w:t>标</w:t>
                  </w:r>
                  <w:r>
                    <w:rPr>
                      <w:rFonts w:hint="default" w:ascii="Times New Roman" w:hAnsi="Times New Roman" w:cs="Times New Roman"/>
                      <w:color w:val="000000" w:themeColor="text1"/>
                      <w:spacing w:val="7"/>
                      <w:sz w:val="21"/>
                      <w:szCs w:val="21"/>
                      <w:highlight w:val="none"/>
                      <w:lang w:eastAsia="zh-CN"/>
                      <w14:textFill>
                        <w14:solidFill>
                          <w14:schemeClr w14:val="tx1"/>
                        </w14:solidFill>
                      </w14:textFill>
                    </w:rPr>
                    <w:t>m</w:t>
                  </w:r>
                  <w:r>
                    <w:rPr>
                      <w:rFonts w:hint="default" w:ascii="Times New Roman" w:hAnsi="Times New Roman" w:cs="Times New Roman"/>
                      <w:color w:val="000000" w:themeColor="text1"/>
                      <w:spacing w:val="7"/>
                      <w:sz w:val="21"/>
                      <w:szCs w:val="21"/>
                      <w:highlight w:val="none"/>
                      <w:vertAlign w:val="superscript"/>
                      <w:lang w:val="en-US" w:eastAsia="zh-CN"/>
                      <w14:textFill>
                        <w14:solidFill>
                          <w14:schemeClr w14:val="tx1"/>
                        </w14:solidFill>
                      </w14:textFill>
                    </w:rPr>
                    <w:t>3</w:t>
                  </w:r>
                  <w:r>
                    <w:rPr>
                      <w:rFonts w:hint="default" w:ascii="Times New Roman" w:hAnsi="Times New Roman" w:eastAsia="Times New Roman" w:cs="Times New Roman"/>
                      <w:color w:val="000000" w:themeColor="text1"/>
                      <w:spacing w:val="7"/>
                      <w:sz w:val="21"/>
                      <w:szCs w:val="21"/>
                      <w:highlight w:val="none"/>
                      <w14:textFill>
                        <w14:solidFill>
                          <w14:schemeClr w14:val="tx1"/>
                        </w14:solidFill>
                      </w14:textFill>
                    </w:rPr>
                    <w:t>/</w:t>
                  </w:r>
                  <w:r>
                    <w:rPr>
                      <w:rFonts w:hint="default" w:ascii="Times New Roman" w:hAnsi="Times New Roman" w:eastAsia="宋体" w:cs="Times New Roman"/>
                      <w:color w:val="000000" w:themeColor="text1"/>
                      <w:spacing w:val="7"/>
                      <w:sz w:val="21"/>
                      <w:szCs w:val="21"/>
                      <w:highlight w:val="none"/>
                      <w:lang w:val="en-US" w:eastAsia="zh-CN"/>
                      <w14:textFill>
                        <w14:solidFill>
                          <w14:schemeClr w14:val="tx1"/>
                        </w14:solidFill>
                      </w14:textFill>
                    </w:rPr>
                    <w:t>吨－成品</w:t>
                  </w:r>
                </w:p>
              </w:tc>
              <w:tc>
                <w:tcPr>
                  <w:tcW w:w="732" w:type="dxa"/>
                  <w:tcBorders>
                    <w:top w:val="single" w:color="auto" w:sz="4" w:space="0"/>
                    <w:left w:val="single" w:color="auto" w:sz="4" w:space="0"/>
                    <w:bottom w:val="single" w:color="auto" w:sz="4" w:space="0"/>
                    <w:right w:val="single" w:color="auto" w:sz="4" w:space="0"/>
                  </w:tcBorders>
                  <w:noWrap w:val="0"/>
                  <w:vAlign w:val="center"/>
                </w:tcPr>
                <w:p w14:paraId="2C44BF31">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5134</w:t>
                  </w:r>
                </w:p>
              </w:tc>
              <w:tc>
                <w:tcPr>
                  <w:tcW w:w="1638" w:type="dxa"/>
                  <w:tcBorders>
                    <w:top w:val="single" w:color="auto" w:sz="4" w:space="0"/>
                    <w:left w:val="single" w:color="auto" w:sz="4" w:space="0"/>
                    <w:bottom w:val="single" w:color="auto" w:sz="4" w:space="0"/>
                    <w:right w:val="single" w:color="auto" w:sz="4" w:space="0"/>
                  </w:tcBorders>
                  <w:noWrap w:val="0"/>
                  <w:vAlign w:val="center"/>
                </w:tcPr>
                <w:p w14:paraId="06B814FF">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Times New Roman" w:cs="Times New Roman"/>
                      <w:color w:val="000000" w:themeColor="text1"/>
                      <w:sz w:val="21"/>
                      <w:szCs w:val="21"/>
                      <w:highlight w:val="none"/>
                      <w14:textFill>
                        <w14:solidFill>
                          <w14:schemeClr w14:val="tx1"/>
                        </w14:solidFill>
                      </w14:textFill>
                    </w:rPr>
                  </w:pPr>
                  <w:r>
                    <w:rPr>
                      <w:rFonts w:hint="default" w:ascii="Times New Roman" w:hAnsi="Times New Roman" w:eastAsia="Times New Roman" w:cs="Times New Roman"/>
                      <w:color w:val="000000" w:themeColor="text1"/>
                      <w:spacing w:val="2"/>
                      <w:sz w:val="21"/>
                      <w:szCs w:val="21"/>
                      <w:highlight w:val="none"/>
                      <w14:textFill>
                        <w14:solidFill>
                          <w14:schemeClr w14:val="tx1"/>
                        </w14:solidFill>
                      </w14:textFill>
                    </w:rPr>
                    <w:t>/</w:t>
                  </w:r>
                </w:p>
              </w:tc>
              <w:tc>
                <w:tcPr>
                  <w:tcW w:w="767" w:type="dxa"/>
                  <w:tcBorders>
                    <w:top w:val="single" w:color="auto" w:sz="4" w:space="0"/>
                    <w:left w:val="single" w:color="auto" w:sz="4" w:space="0"/>
                    <w:bottom w:val="single" w:color="auto" w:sz="4" w:space="0"/>
                    <w:right w:val="single" w:color="auto" w:sz="4" w:space="0"/>
                  </w:tcBorders>
                  <w:noWrap w:val="0"/>
                  <w:vAlign w:val="center"/>
                </w:tcPr>
                <w:p w14:paraId="3D7BB4B0">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Times New Roman" w:cs="Times New Roman"/>
                      <w:color w:val="000000" w:themeColor="text1"/>
                      <w:sz w:val="21"/>
                      <w:szCs w:val="21"/>
                      <w:highlight w:val="none"/>
                      <w14:textFill>
                        <w14:solidFill>
                          <w14:schemeClr w14:val="tx1"/>
                        </w14:solidFill>
                      </w14:textFill>
                    </w:rPr>
                  </w:pPr>
                  <w:r>
                    <w:rPr>
                      <w:rFonts w:hint="default" w:ascii="Times New Roman" w:hAnsi="Times New Roman" w:eastAsia="Times New Roman" w:cs="Times New Roman"/>
                      <w:color w:val="000000" w:themeColor="text1"/>
                      <w:sz w:val="21"/>
                      <w:szCs w:val="21"/>
                      <w:highlight w:val="none"/>
                      <w14:textFill>
                        <w14:solidFill>
                          <w14:schemeClr w14:val="tx1"/>
                        </w14:solidFill>
                      </w14:textFill>
                    </w:rPr>
                    <w:t>0</w:t>
                  </w:r>
                </w:p>
              </w:tc>
            </w:tr>
            <w:tr w14:paraId="309A6C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540" w:type="dxa"/>
                  <w:vMerge w:val="continue"/>
                  <w:tcBorders>
                    <w:top w:val="single" w:color="auto" w:sz="4" w:space="0"/>
                    <w:left w:val="single" w:color="auto" w:sz="4" w:space="0"/>
                    <w:bottom w:val="single" w:color="auto" w:sz="4" w:space="0"/>
                    <w:right w:val="single" w:color="auto" w:sz="4" w:space="0"/>
                  </w:tcBorders>
                  <w:noWrap w:val="0"/>
                  <w:vAlign w:val="center"/>
                </w:tcPr>
                <w:p w14:paraId="799D4A1F">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p>
              </w:tc>
              <w:tc>
                <w:tcPr>
                  <w:tcW w:w="578" w:type="dxa"/>
                  <w:vMerge w:val="continue"/>
                  <w:tcBorders>
                    <w:top w:val="single" w:color="auto" w:sz="4" w:space="0"/>
                    <w:left w:val="single" w:color="auto" w:sz="4" w:space="0"/>
                    <w:bottom w:val="single" w:color="auto" w:sz="4" w:space="0"/>
                    <w:right w:val="single" w:color="auto" w:sz="4" w:space="0"/>
                  </w:tcBorders>
                  <w:noWrap w:val="0"/>
                  <w:vAlign w:val="center"/>
                </w:tcPr>
                <w:p w14:paraId="36573BB7">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p>
              </w:tc>
              <w:tc>
                <w:tcPr>
                  <w:tcW w:w="1180" w:type="dxa"/>
                  <w:vMerge w:val="continue"/>
                  <w:tcBorders>
                    <w:top w:val="single" w:color="auto" w:sz="4" w:space="0"/>
                    <w:left w:val="single" w:color="auto" w:sz="4" w:space="0"/>
                    <w:bottom w:val="single" w:color="auto" w:sz="4" w:space="0"/>
                    <w:right w:val="single" w:color="auto" w:sz="4" w:space="0"/>
                  </w:tcBorders>
                  <w:noWrap w:val="0"/>
                  <w:vAlign w:val="center"/>
                </w:tcPr>
                <w:p w14:paraId="2EDCC4F9">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p>
              </w:tc>
              <w:tc>
                <w:tcPr>
                  <w:tcW w:w="677" w:type="dxa"/>
                  <w:vMerge w:val="continue"/>
                  <w:tcBorders>
                    <w:top w:val="single" w:color="auto" w:sz="4" w:space="0"/>
                    <w:left w:val="single" w:color="auto" w:sz="4" w:space="0"/>
                    <w:bottom w:val="single" w:color="auto" w:sz="4" w:space="0"/>
                    <w:right w:val="single" w:color="auto" w:sz="4" w:space="0"/>
                  </w:tcBorders>
                  <w:noWrap w:val="0"/>
                  <w:vAlign w:val="center"/>
                </w:tcPr>
                <w:p w14:paraId="6373B7FA">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p>
              </w:tc>
              <w:tc>
                <w:tcPr>
                  <w:tcW w:w="844" w:type="dxa"/>
                  <w:tcBorders>
                    <w:top w:val="single" w:color="auto" w:sz="4" w:space="0"/>
                    <w:left w:val="single" w:color="auto" w:sz="4" w:space="0"/>
                    <w:bottom w:val="single" w:color="auto" w:sz="4" w:space="0"/>
                    <w:right w:val="single" w:color="auto" w:sz="4" w:space="0"/>
                  </w:tcBorders>
                  <w:noWrap w:val="0"/>
                  <w:vAlign w:val="center"/>
                </w:tcPr>
                <w:p w14:paraId="6FC90B23">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颗粒物</w:t>
                  </w:r>
                </w:p>
              </w:tc>
              <w:tc>
                <w:tcPr>
                  <w:tcW w:w="982" w:type="dxa"/>
                  <w:tcBorders>
                    <w:top w:val="single" w:color="auto" w:sz="4" w:space="0"/>
                    <w:left w:val="single" w:color="auto" w:sz="4" w:space="0"/>
                    <w:bottom w:val="single" w:color="auto" w:sz="4" w:space="0"/>
                    <w:right w:val="single" w:color="auto" w:sz="4" w:space="0"/>
                  </w:tcBorders>
                  <w:noWrap w:val="0"/>
                  <w:vAlign w:val="center"/>
                </w:tcPr>
                <w:p w14:paraId="5862F280">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pacing w:val="7"/>
                      <w:sz w:val="21"/>
                      <w:szCs w:val="21"/>
                      <w:highlight w:val="none"/>
                      <w14:textFill>
                        <w14:solidFill>
                          <w14:schemeClr w14:val="tx1"/>
                        </w14:solidFill>
                      </w14:textFill>
                    </w:rPr>
                    <w:t>千克</w:t>
                  </w:r>
                  <w:r>
                    <w:rPr>
                      <w:rFonts w:hint="default" w:ascii="Times New Roman" w:hAnsi="Times New Roman" w:eastAsia="Times New Roman" w:cs="Times New Roman"/>
                      <w:color w:val="000000" w:themeColor="text1"/>
                      <w:spacing w:val="7"/>
                      <w:sz w:val="21"/>
                      <w:szCs w:val="21"/>
                      <w:highlight w:val="none"/>
                      <w14:textFill>
                        <w14:solidFill>
                          <w14:schemeClr w14:val="tx1"/>
                        </w14:solidFill>
                      </w14:textFill>
                    </w:rPr>
                    <w:t>/</w:t>
                  </w:r>
                  <w:r>
                    <w:rPr>
                      <w:rFonts w:hint="default" w:ascii="Times New Roman" w:hAnsi="Times New Roman" w:eastAsia="宋体" w:cs="Times New Roman"/>
                      <w:color w:val="000000" w:themeColor="text1"/>
                      <w:spacing w:val="7"/>
                      <w:sz w:val="21"/>
                      <w:szCs w:val="21"/>
                      <w:highlight w:val="none"/>
                      <w:lang w:val="en-US" w:eastAsia="zh-CN"/>
                      <w14:textFill>
                        <w14:solidFill>
                          <w14:schemeClr w14:val="tx1"/>
                        </w14:solidFill>
                      </w14:textFill>
                    </w:rPr>
                    <w:t>吨－成品</w:t>
                  </w:r>
                </w:p>
              </w:tc>
              <w:tc>
                <w:tcPr>
                  <w:tcW w:w="732" w:type="dxa"/>
                  <w:tcBorders>
                    <w:top w:val="single" w:color="auto" w:sz="4" w:space="0"/>
                    <w:left w:val="single" w:color="auto" w:sz="4" w:space="0"/>
                    <w:bottom w:val="single" w:color="auto" w:sz="4" w:space="0"/>
                    <w:right w:val="single" w:color="auto" w:sz="4" w:space="0"/>
                  </w:tcBorders>
                  <w:noWrap w:val="0"/>
                  <w:vAlign w:val="center"/>
                </w:tcPr>
                <w:p w14:paraId="3479E0A6">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Times New Roman"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0.36</w:t>
                  </w:r>
                </w:p>
              </w:tc>
              <w:tc>
                <w:tcPr>
                  <w:tcW w:w="1638" w:type="dxa"/>
                  <w:tcBorders>
                    <w:top w:val="single" w:color="auto" w:sz="4" w:space="0"/>
                    <w:left w:val="single" w:color="auto" w:sz="4" w:space="0"/>
                    <w:bottom w:val="single" w:color="auto" w:sz="4" w:space="0"/>
                    <w:right w:val="single" w:color="auto" w:sz="4" w:space="0"/>
                  </w:tcBorders>
                  <w:noWrap w:val="0"/>
                  <w:vAlign w:val="center"/>
                </w:tcPr>
                <w:p w14:paraId="08729DFB">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2"/>
                      <w:sz w:val="21"/>
                      <w:szCs w:val="21"/>
                      <w:highlight w:val="none"/>
                      <w:lang w:val="en-US" w:eastAsia="zh-CN"/>
                      <w14:textFill>
                        <w14:solidFill>
                          <w14:schemeClr w14:val="tx1"/>
                        </w14:solidFill>
                      </w14:textFill>
                    </w:rPr>
                    <w:t>袋式除尘器</w:t>
                  </w:r>
                </w:p>
              </w:tc>
              <w:tc>
                <w:tcPr>
                  <w:tcW w:w="767" w:type="dxa"/>
                  <w:tcBorders>
                    <w:top w:val="single" w:color="auto" w:sz="4" w:space="0"/>
                    <w:left w:val="single" w:color="auto" w:sz="4" w:space="0"/>
                    <w:bottom w:val="single" w:color="auto" w:sz="4" w:space="0"/>
                    <w:right w:val="single" w:color="auto" w:sz="4" w:space="0"/>
                  </w:tcBorders>
                  <w:noWrap w:val="0"/>
                  <w:vAlign w:val="center"/>
                </w:tcPr>
                <w:p w14:paraId="1C745EEE">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99</w:t>
                  </w:r>
                </w:p>
              </w:tc>
            </w:tr>
            <w:tr w14:paraId="347130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540" w:type="dxa"/>
                  <w:vMerge w:val="continue"/>
                  <w:tcBorders>
                    <w:top w:val="single" w:color="auto" w:sz="4" w:space="0"/>
                    <w:left w:val="single" w:color="auto" w:sz="4" w:space="0"/>
                    <w:bottom w:val="single" w:color="auto" w:sz="4" w:space="0"/>
                    <w:right w:val="single" w:color="auto" w:sz="4" w:space="0"/>
                  </w:tcBorders>
                  <w:noWrap w:val="0"/>
                  <w:vAlign w:val="center"/>
                </w:tcPr>
                <w:p w14:paraId="7DAB0950">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p>
              </w:tc>
              <w:tc>
                <w:tcPr>
                  <w:tcW w:w="578" w:type="dxa"/>
                  <w:vMerge w:val="continue"/>
                  <w:tcBorders>
                    <w:top w:val="single" w:color="auto" w:sz="4" w:space="0"/>
                    <w:left w:val="single" w:color="auto" w:sz="4" w:space="0"/>
                    <w:bottom w:val="single" w:color="auto" w:sz="4" w:space="0"/>
                    <w:right w:val="single" w:color="auto" w:sz="4" w:space="0"/>
                  </w:tcBorders>
                  <w:noWrap w:val="0"/>
                  <w:vAlign w:val="center"/>
                </w:tcPr>
                <w:p w14:paraId="151EBA70">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p>
              </w:tc>
              <w:tc>
                <w:tcPr>
                  <w:tcW w:w="1180" w:type="dxa"/>
                  <w:vMerge w:val="continue"/>
                  <w:tcBorders>
                    <w:top w:val="single" w:color="auto" w:sz="4" w:space="0"/>
                    <w:left w:val="single" w:color="auto" w:sz="4" w:space="0"/>
                    <w:bottom w:val="single" w:color="auto" w:sz="4" w:space="0"/>
                    <w:right w:val="single" w:color="auto" w:sz="4" w:space="0"/>
                  </w:tcBorders>
                  <w:noWrap w:val="0"/>
                  <w:vAlign w:val="center"/>
                </w:tcPr>
                <w:p w14:paraId="23F4D5D5">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p>
              </w:tc>
              <w:tc>
                <w:tcPr>
                  <w:tcW w:w="677" w:type="dxa"/>
                  <w:vMerge w:val="continue"/>
                  <w:tcBorders>
                    <w:top w:val="single" w:color="auto" w:sz="4" w:space="0"/>
                    <w:left w:val="single" w:color="auto" w:sz="4" w:space="0"/>
                    <w:bottom w:val="single" w:color="auto" w:sz="4" w:space="0"/>
                    <w:right w:val="single" w:color="auto" w:sz="4" w:space="0"/>
                  </w:tcBorders>
                  <w:noWrap w:val="0"/>
                  <w:vAlign w:val="center"/>
                </w:tcPr>
                <w:p w14:paraId="3DBA45BD">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p>
              </w:tc>
              <w:tc>
                <w:tcPr>
                  <w:tcW w:w="844" w:type="dxa"/>
                  <w:tcBorders>
                    <w:top w:val="single" w:color="auto" w:sz="4" w:space="0"/>
                    <w:left w:val="single" w:color="auto" w:sz="4" w:space="0"/>
                    <w:bottom w:val="single" w:color="auto" w:sz="4" w:space="0"/>
                    <w:right w:val="single" w:color="auto" w:sz="4" w:space="0"/>
                  </w:tcBorders>
                  <w:noWrap w:val="0"/>
                  <w:vAlign w:val="center"/>
                </w:tcPr>
                <w:p w14:paraId="00D5AC4D">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color w:val="000000" w:themeColor="text1"/>
                      <w:spacing w:val="6"/>
                      <w:sz w:val="21"/>
                      <w:szCs w:val="21"/>
                      <w:highlight w:val="none"/>
                      <w14:textFill>
                        <w14:solidFill>
                          <w14:schemeClr w14:val="tx1"/>
                        </w14:solidFill>
                      </w14:textFill>
                    </w:rPr>
                  </w:pPr>
                  <w:r>
                    <w:rPr>
                      <w:rFonts w:hint="default" w:ascii="Times New Roman" w:hAnsi="Times New Roman" w:cs="Times New Roman"/>
                      <w:color w:val="000000" w:themeColor="text1"/>
                      <w:spacing w:val="6"/>
                      <w:sz w:val="21"/>
                      <w:szCs w:val="21"/>
                      <w:highlight w:val="none"/>
                      <w14:textFill>
                        <w14:solidFill>
                          <w14:schemeClr w14:val="tx1"/>
                        </w14:solidFill>
                      </w14:textFill>
                    </w:rPr>
                    <w:t>二氧</w:t>
                  </w:r>
                </w:p>
                <w:p w14:paraId="5C9AD9D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pacing w:val="6"/>
                      <w:sz w:val="21"/>
                      <w:szCs w:val="21"/>
                      <w:highlight w:val="none"/>
                      <w14:textFill>
                        <w14:solidFill>
                          <w14:schemeClr w14:val="tx1"/>
                        </w14:solidFill>
                      </w14:textFill>
                    </w:rPr>
                    <w:t>化硫</w:t>
                  </w:r>
                </w:p>
              </w:tc>
              <w:tc>
                <w:tcPr>
                  <w:tcW w:w="982" w:type="dxa"/>
                  <w:tcBorders>
                    <w:top w:val="single" w:color="auto" w:sz="4" w:space="0"/>
                    <w:left w:val="single" w:color="auto" w:sz="4" w:space="0"/>
                    <w:bottom w:val="single" w:color="auto" w:sz="4" w:space="0"/>
                    <w:right w:val="single" w:color="auto" w:sz="4" w:space="0"/>
                  </w:tcBorders>
                  <w:noWrap w:val="0"/>
                  <w:vAlign w:val="center"/>
                </w:tcPr>
                <w:p w14:paraId="492D380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pacing w:val="7"/>
                      <w:sz w:val="21"/>
                      <w:szCs w:val="21"/>
                      <w:highlight w:val="none"/>
                      <w14:textFill>
                        <w14:solidFill>
                          <w14:schemeClr w14:val="tx1"/>
                        </w14:solidFill>
                      </w14:textFill>
                    </w:rPr>
                    <w:t>千克</w:t>
                  </w:r>
                  <w:r>
                    <w:rPr>
                      <w:rFonts w:hint="default" w:ascii="Times New Roman" w:hAnsi="Times New Roman" w:eastAsia="Times New Roman" w:cs="Times New Roman"/>
                      <w:color w:val="000000" w:themeColor="text1"/>
                      <w:spacing w:val="7"/>
                      <w:sz w:val="21"/>
                      <w:szCs w:val="21"/>
                      <w:highlight w:val="none"/>
                      <w14:textFill>
                        <w14:solidFill>
                          <w14:schemeClr w14:val="tx1"/>
                        </w14:solidFill>
                      </w14:textFill>
                    </w:rPr>
                    <w:t>/</w:t>
                  </w:r>
                  <w:r>
                    <w:rPr>
                      <w:rFonts w:hint="default" w:ascii="Times New Roman" w:hAnsi="Times New Roman" w:eastAsia="宋体" w:cs="Times New Roman"/>
                      <w:color w:val="000000" w:themeColor="text1"/>
                      <w:spacing w:val="7"/>
                      <w:sz w:val="21"/>
                      <w:szCs w:val="21"/>
                      <w:highlight w:val="none"/>
                      <w:lang w:val="en-US" w:eastAsia="zh-CN"/>
                      <w14:textFill>
                        <w14:solidFill>
                          <w14:schemeClr w14:val="tx1"/>
                        </w14:solidFill>
                      </w14:textFill>
                    </w:rPr>
                    <w:t>吨－成品</w:t>
                  </w:r>
                </w:p>
              </w:tc>
              <w:tc>
                <w:tcPr>
                  <w:tcW w:w="732" w:type="dxa"/>
                  <w:tcBorders>
                    <w:top w:val="single" w:color="auto" w:sz="4" w:space="0"/>
                    <w:left w:val="single" w:color="auto" w:sz="4" w:space="0"/>
                    <w:bottom w:val="single" w:color="auto" w:sz="4" w:space="0"/>
                    <w:right w:val="single" w:color="auto" w:sz="4" w:space="0"/>
                  </w:tcBorders>
                  <w:noWrap w:val="0"/>
                  <w:vAlign w:val="center"/>
                </w:tcPr>
                <w:p w14:paraId="2AFB8AD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pacing w:val="3"/>
                      <w:sz w:val="21"/>
                      <w:szCs w:val="21"/>
                      <w:highlight w:val="none"/>
                      <w:lang w:val="en-US" w:eastAsia="zh-CN"/>
                      <w14:textFill>
                        <w14:solidFill>
                          <w14:schemeClr w14:val="tx1"/>
                        </w14:solidFill>
                      </w14:textFill>
                    </w:rPr>
                    <w:t>2.21</w:t>
                  </w:r>
                </w:p>
              </w:tc>
              <w:tc>
                <w:tcPr>
                  <w:tcW w:w="1638" w:type="dxa"/>
                  <w:tcBorders>
                    <w:top w:val="single" w:color="auto" w:sz="4" w:space="0"/>
                    <w:left w:val="single" w:color="auto" w:sz="4" w:space="0"/>
                    <w:bottom w:val="single" w:color="auto" w:sz="4" w:space="0"/>
                    <w:right w:val="single" w:color="auto" w:sz="4" w:space="0"/>
                  </w:tcBorders>
                  <w:noWrap w:val="0"/>
                  <w:vAlign w:val="center"/>
                </w:tcPr>
                <w:p w14:paraId="071F554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pacing w:val="2"/>
                      <w:sz w:val="21"/>
                      <w:szCs w:val="21"/>
                      <w:highlight w:val="none"/>
                      <w:lang w:val="en-US" w:eastAsia="zh-CN"/>
                      <w14:textFill>
                        <w14:solidFill>
                          <w14:schemeClr w14:val="tx1"/>
                        </w14:solidFill>
                      </w14:textFill>
                    </w:rPr>
                    <w:t>石灰石</w:t>
                  </w:r>
                  <w:r>
                    <w:rPr>
                      <w:rFonts w:hint="eastAsia" w:cs="Times New Roman"/>
                      <w:color w:val="000000" w:themeColor="text1"/>
                      <w:spacing w:val="2"/>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pacing w:val="2"/>
                      <w:sz w:val="21"/>
                      <w:szCs w:val="21"/>
                      <w:highlight w:val="none"/>
                      <w:lang w:val="en-US" w:eastAsia="zh-CN"/>
                      <w14:textFill>
                        <w14:solidFill>
                          <w14:schemeClr w14:val="tx1"/>
                        </w14:solidFill>
                      </w14:textFill>
                    </w:rPr>
                    <w:t>石膏法</w:t>
                  </w:r>
                </w:p>
              </w:tc>
              <w:tc>
                <w:tcPr>
                  <w:tcW w:w="767" w:type="dxa"/>
                  <w:tcBorders>
                    <w:top w:val="single" w:color="auto" w:sz="4" w:space="0"/>
                    <w:left w:val="single" w:color="auto" w:sz="4" w:space="0"/>
                    <w:bottom w:val="single" w:color="auto" w:sz="4" w:space="0"/>
                    <w:right w:val="single" w:color="auto" w:sz="4" w:space="0"/>
                  </w:tcBorders>
                  <w:noWrap w:val="0"/>
                  <w:vAlign w:val="center"/>
                </w:tcPr>
                <w:p w14:paraId="4E81930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85</w:t>
                  </w:r>
                </w:p>
              </w:tc>
            </w:tr>
            <w:tr w14:paraId="61A528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540" w:type="dxa"/>
                  <w:vMerge w:val="continue"/>
                  <w:tcBorders>
                    <w:top w:val="single" w:color="auto" w:sz="4" w:space="0"/>
                    <w:left w:val="single" w:color="auto" w:sz="4" w:space="0"/>
                    <w:bottom w:val="single" w:color="auto" w:sz="4" w:space="0"/>
                    <w:right w:val="single" w:color="auto" w:sz="4" w:space="0"/>
                  </w:tcBorders>
                  <w:noWrap w:val="0"/>
                  <w:vAlign w:val="center"/>
                </w:tcPr>
                <w:p w14:paraId="1AA22004">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p>
              </w:tc>
              <w:tc>
                <w:tcPr>
                  <w:tcW w:w="578" w:type="dxa"/>
                  <w:vMerge w:val="continue"/>
                  <w:tcBorders>
                    <w:top w:val="single" w:color="auto" w:sz="4" w:space="0"/>
                    <w:left w:val="single" w:color="auto" w:sz="4" w:space="0"/>
                    <w:bottom w:val="single" w:color="auto" w:sz="4" w:space="0"/>
                    <w:right w:val="single" w:color="auto" w:sz="4" w:space="0"/>
                  </w:tcBorders>
                  <w:noWrap w:val="0"/>
                  <w:vAlign w:val="center"/>
                </w:tcPr>
                <w:p w14:paraId="4DEE34AD">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p>
              </w:tc>
              <w:tc>
                <w:tcPr>
                  <w:tcW w:w="1180" w:type="dxa"/>
                  <w:vMerge w:val="continue"/>
                  <w:tcBorders>
                    <w:top w:val="single" w:color="auto" w:sz="4" w:space="0"/>
                    <w:left w:val="single" w:color="auto" w:sz="4" w:space="0"/>
                    <w:bottom w:val="single" w:color="auto" w:sz="4" w:space="0"/>
                    <w:right w:val="single" w:color="auto" w:sz="4" w:space="0"/>
                  </w:tcBorders>
                  <w:noWrap w:val="0"/>
                  <w:vAlign w:val="center"/>
                </w:tcPr>
                <w:p w14:paraId="14F2DF3C">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p>
              </w:tc>
              <w:tc>
                <w:tcPr>
                  <w:tcW w:w="677" w:type="dxa"/>
                  <w:vMerge w:val="continue"/>
                  <w:tcBorders>
                    <w:top w:val="single" w:color="auto" w:sz="4" w:space="0"/>
                    <w:left w:val="single" w:color="auto" w:sz="4" w:space="0"/>
                    <w:bottom w:val="single" w:color="auto" w:sz="4" w:space="0"/>
                    <w:right w:val="single" w:color="auto" w:sz="4" w:space="0"/>
                  </w:tcBorders>
                  <w:noWrap w:val="0"/>
                  <w:vAlign w:val="center"/>
                </w:tcPr>
                <w:p w14:paraId="051E0963">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p>
              </w:tc>
              <w:tc>
                <w:tcPr>
                  <w:tcW w:w="844" w:type="dxa"/>
                  <w:tcBorders>
                    <w:top w:val="single" w:color="auto" w:sz="4" w:space="0"/>
                    <w:left w:val="single" w:color="auto" w:sz="4" w:space="0"/>
                    <w:bottom w:val="single" w:color="auto" w:sz="4" w:space="0"/>
                    <w:right w:val="single" w:color="auto" w:sz="4" w:space="0"/>
                  </w:tcBorders>
                  <w:noWrap w:val="0"/>
                  <w:vAlign w:val="center"/>
                </w:tcPr>
                <w:p w14:paraId="1E7A7B4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000000" w:themeColor="text1"/>
                      <w:spacing w:val="7"/>
                      <w:sz w:val="21"/>
                      <w:szCs w:val="21"/>
                      <w:highlight w:val="none"/>
                      <w14:textFill>
                        <w14:solidFill>
                          <w14:schemeClr w14:val="tx1"/>
                        </w14:solidFill>
                      </w14:textFill>
                    </w:rPr>
                  </w:pPr>
                  <w:r>
                    <w:rPr>
                      <w:rFonts w:hint="default" w:ascii="Times New Roman" w:hAnsi="Times New Roman" w:cs="Times New Roman"/>
                      <w:color w:val="000000" w:themeColor="text1"/>
                      <w:spacing w:val="7"/>
                      <w:sz w:val="21"/>
                      <w:szCs w:val="21"/>
                      <w:highlight w:val="none"/>
                      <w14:textFill>
                        <w14:solidFill>
                          <w14:schemeClr w14:val="tx1"/>
                        </w14:solidFill>
                      </w14:textFill>
                    </w:rPr>
                    <w:t>氮氧</w:t>
                  </w:r>
                </w:p>
                <w:p w14:paraId="08957E7D">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pacing w:val="7"/>
                      <w:sz w:val="21"/>
                      <w:szCs w:val="21"/>
                      <w:highlight w:val="none"/>
                      <w14:textFill>
                        <w14:solidFill>
                          <w14:schemeClr w14:val="tx1"/>
                        </w14:solidFill>
                      </w14:textFill>
                    </w:rPr>
                    <w:t>化物</w:t>
                  </w:r>
                </w:p>
              </w:tc>
              <w:tc>
                <w:tcPr>
                  <w:tcW w:w="982" w:type="dxa"/>
                  <w:tcBorders>
                    <w:top w:val="single" w:color="auto" w:sz="4" w:space="0"/>
                    <w:left w:val="single" w:color="auto" w:sz="4" w:space="0"/>
                    <w:bottom w:val="single" w:color="auto" w:sz="4" w:space="0"/>
                    <w:right w:val="single" w:color="auto" w:sz="4" w:space="0"/>
                  </w:tcBorders>
                  <w:noWrap w:val="0"/>
                  <w:vAlign w:val="center"/>
                </w:tcPr>
                <w:p w14:paraId="16D09E8B">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pacing w:val="7"/>
                      <w:sz w:val="21"/>
                      <w:szCs w:val="21"/>
                      <w:highlight w:val="none"/>
                      <w14:textFill>
                        <w14:solidFill>
                          <w14:schemeClr w14:val="tx1"/>
                        </w14:solidFill>
                      </w14:textFill>
                    </w:rPr>
                    <w:t>千克</w:t>
                  </w:r>
                  <w:r>
                    <w:rPr>
                      <w:rFonts w:hint="default" w:ascii="Times New Roman" w:hAnsi="Times New Roman" w:eastAsia="Times New Roman" w:cs="Times New Roman"/>
                      <w:color w:val="000000" w:themeColor="text1"/>
                      <w:spacing w:val="7"/>
                      <w:sz w:val="21"/>
                      <w:szCs w:val="21"/>
                      <w:highlight w:val="none"/>
                      <w14:textFill>
                        <w14:solidFill>
                          <w14:schemeClr w14:val="tx1"/>
                        </w14:solidFill>
                      </w14:textFill>
                    </w:rPr>
                    <w:t>/</w:t>
                  </w:r>
                  <w:r>
                    <w:rPr>
                      <w:rFonts w:hint="default" w:ascii="Times New Roman" w:hAnsi="Times New Roman" w:eastAsia="宋体" w:cs="Times New Roman"/>
                      <w:color w:val="000000" w:themeColor="text1"/>
                      <w:spacing w:val="7"/>
                      <w:sz w:val="21"/>
                      <w:szCs w:val="21"/>
                      <w:highlight w:val="none"/>
                      <w:lang w:val="en-US" w:eastAsia="zh-CN"/>
                      <w14:textFill>
                        <w14:solidFill>
                          <w14:schemeClr w14:val="tx1"/>
                        </w14:solidFill>
                      </w14:textFill>
                    </w:rPr>
                    <w:t>吨－成品</w:t>
                  </w:r>
                </w:p>
              </w:tc>
              <w:tc>
                <w:tcPr>
                  <w:tcW w:w="732" w:type="dxa"/>
                  <w:tcBorders>
                    <w:top w:val="single" w:color="auto" w:sz="4" w:space="0"/>
                    <w:left w:val="single" w:color="auto" w:sz="4" w:space="0"/>
                    <w:bottom w:val="single" w:color="auto" w:sz="4" w:space="0"/>
                    <w:right w:val="single" w:color="auto" w:sz="4" w:space="0"/>
                  </w:tcBorders>
                  <w:noWrap w:val="0"/>
                  <w:vAlign w:val="center"/>
                </w:tcPr>
                <w:p w14:paraId="26DCAD7A">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2"/>
                      <w:sz w:val="21"/>
                      <w:szCs w:val="21"/>
                      <w:highlight w:val="none"/>
                      <w:lang w:val="en-US" w:eastAsia="zh-CN"/>
                      <w14:textFill>
                        <w14:solidFill>
                          <w14:schemeClr w14:val="tx1"/>
                        </w14:solidFill>
                      </w14:textFill>
                    </w:rPr>
                    <w:t>1.88</w:t>
                  </w:r>
                </w:p>
              </w:tc>
              <w:tc>
                <w:tcPr>
                  <w:tcW w:w="1638" w:type="dxa"/>
                  <w:tcBorders>
                    <w:top w:val="single" w:color="auto" w:sz="4" w:space="0"/>
                    <w:left w:val="single" w:color="auto" w:sz="4" w:space="0"/>
                    <w:bottom w:val="single" w:color="auto" w:sz="4" w:space="0"/>
                    <w:right w:val="single" w:color="auto" w:sz="4" w:space="0"/>
                  </w:tcBorders>
                  <w:noWrap w:val="0"/>
                  <w:vAlign w:val="center"/>
                </w:tcPr>
                <w:p w14:paraId="6AE21A1D">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选择性非催化还原法（SNCR）</w:t>
                  </w:r>
                </w:p>
              </w:tc>
              <w:tc>
                <w:tcPr>
                  <w:tcW w:w="767" w:type="dxa"/>
                  <w:tcBorders>
                    <w:top w:val="single" w:color="auto" w:sz="4" w:space="0"/>
                    <w:left w:val="single" w:color="auto" w:sz="4" w:space="0"/>
                    <w:bottom w:val="single" w:color="auto" w:sz="4" w:space="0"/>
                    <w:right w:val="single" w:color="auto" w:sz="4" w:space="0"/>
                  </w:tcBorders>
                  <w:noWrap w:val="0"/>
                  <w:vAlign w:val="center"/>
                </w:tcPr>
                <w:p w14:paraId="2ABC5168">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50</w:t>
                  </w:r>
                </w:p>
              </w:tc>
            </w:tr>
          </w:tbl>
          <w:p w14:paraId="720F2AD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NOx排放量=NOx排放系数×原料量</w:t>
            </w:r>
          </w:p>
          <w:p w14:paraId="78B4F06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=1.88kg/吨×</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20万吨</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×10</w:t>
            </w:r>
            <w:r>
              <w:rPr>
                <w:rFonts w:hint="default" w:ascii="Times New Roman" w:hAnsi="Times New Roman" w:eastAsia="宋体" w:cs="Times New Roman"/>
                <w:color w:val="000000" w:themeColor="text1"/>
                <w:sz w:val="24"/>
                <w:highlight w:val="none"/>
                <w:vertAlign w:val="superscript"/>
                <w:lang w:val="en-US" w:eastAsia="zh-CN"/>
                <w14:textFill>
                  <w14:solidFill>
                    <w14:schemeClr w14:val="tx1"/>
                  </w14:solidFill>
                </w14:textFill>
              </w:rPr>
              <w:t>-3</w:t>
            </w:r>
          </w:p>
          <w:p w14:paraId="60AF226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=376t/a</w:t>
            </w:r>
          </w:p>
          <w:p w14:paraId="194F692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eastAsia" w:cs="Times New Roman"/>
                <w:color w:val="000000" w:themeColor="text1"/>
                <w:sz w:val="24"/>
                <w:highlight w:val="none"/>
                <w:lang w:val="en-US" w:eastAsia="zh-CN"/>
                <w14:textFill>
                  <w14:solidFill>
                    <w14:schemeClr w14:val="tx1"/>
                  </w14:solidFill>
                </w14:textFill>
              </w:rPr>
              <w:t>由于项目采用低氮燃烧技术，</w:t>
            </w: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低氮燃</w:t>
            </w:r>
            <w:r>
              <w:rPr>
                <w:rFonts w:hint="eastAsia" w:cs="Times New Roman"/>
                <w:color w:val="000000" w:themeColor="text1"/>
                <w:kern w:val="0"/>
                <w:sz w:val="24"/>
                <w:szCs w:val="24"/>
                <w:highlight w:val="none"/>
                <w:lang w:val="en-US" w:eastAsia="zh-CN" w:bidi="ar"/>
                <w14:textFill>
                  <w14:solidFill>
                    <w14:schemeClr w14:val="tx1"/>
                  </w14:solidFill>
                </w14:textFill>
              </w:rPr>
              <w:t>烧（分级燃烧+缺氧燃烧+烟气再循环（FGR））</w:t>
            </w:r>
            <w:r>
              <w:rPr>
                <w:rFonts w:hint="eastAsia" w:ascii="Times New Roman" w:hAnsi="Times New Roman" w:eastAsia="宋体" w:cs="Times New Roman"/>
                <w:b w:val="0"/>
                <w:bCs w:val="0"/>
                <w:color w:val="000000" w:themeColor="text1"/>
                <w:kern w:val="0"/>
                <w:sz w:val="24"/>
                <w:szCs w:val="24"/>
                <w:highlight w:val="none"/>
                <w:lang w:val="en-US" w:eastAsia="zh-CN" w:bidi="ar"/>
                <w14:textFill>
                  <w14:solidFill>
                    <w14:schemeClr w14:val="tx1"/>
                  </w14:solidFill>
                </w14:textFill>
              </w:rPr>
              <w:t>脱硝技术</w:t>
            </w:r>
            <w:r>
              <w:rPr>
                <w:rFonts w:hint="eastAsia" w:cs="Times New Roman"/>
                <w:color w:val="000000" w:themeColor="text1"/>
                <w:kern w:val="0"/>
                <w:sz w:val="24"/>
                <w:szCs w:val="24"/>
                <w:highlight w:val="none"/>
                <w:lang w:val="en-US" w:eastAsia="zh-CN" w:bidi="ar"/>
                <w14:textFill>
                  <w14:solidFill>
                    <w14:schemeClr w14:val="tx1"/>
                  </w14:solidFill>
                </w14:textFill>
              </w:rPr>
              <w:t>的</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氮氧化物去除效率为</w:t>
            </w:r>
            <w:r>
              <w:rPr>
                <w:rFonts w:hint="eastAsia" w:cs="Times New Roman"/>
                <w:color w:val="000000" w:themeColor="text1"/>
                <w:kern w:val="0"/>
                <w:sz w:val="24"/>
                <w:szCs w:val="24"/>
                <w:highlight w:val="none"/>
                <w:lang w:val="en-US" w:eastAsia="zh-CN" w:bidi="ar"/>
                <w14:textFill>
                  <w14:solidFill>
                    <w14:schemeClr w14:val="tx1"/>
                  </w14:solidFill>
                </w14:textFill>
              </w:rPr>
              <w:t>50%以上，取值5</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0%</w:t>
            </w:r>
            <w:r>
              <w:rPr>
                <w:rFonts w:hint="eastAsia" w:cs="Times New Roman"/>
                <w:color w:val="000000" w:themeColor="text1"/>
                <w:kern w:val="0"/>
                <w:sz w:val="24"/>
                <w:szCs w:val="24"/>
                <w:highlight w:val="none"/>
                <w:lang w:val="en-US" w:eastAsia="zh-CN" w:bidi="ar"/>
                <w14:textFill>
                  <w14:solidFill>
                    <w14:schemeClr w14:val="tx1"/>
                  </w14:solidFill>
                </w14:textFill>
              </w:rPr>
              <w:t>，</w:t>
            </w:r>
            <w:r>
              <w:rPr>
                <w:rFonts w:hint="eastAsia" w:cs="Times New Roman"/>
                <w:color w:val="000000" w:themeColor="text1"/>
                <w:sz w:val="24"/>
                <w:highlight w:val="none"/>
                <w:lang w:val="en-US" w:eastAsia="zh-CN"/>
                <w14:textFill>
                  <w14:solidFill>
                    <w14:schemeClr w14:val="tx1"/>
                  </w14:solidFill>
                </w14:textFill>
              </w:rPr>
              <w:t>因此，实际产生量为（376</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w:t>
            </w:r>
            <w:r>
              <w:rPr>
                <w:rFonts w:hint="eastAsia" w:cs="Times New Roman"/>
                <w:color w:val="000000" w:themeColor="text1"/>
                <w:sz w:val="24"/>
                <w:highlight w:val="none"/>
                <w:lang w:val="en-US" w:eastAsia="zh-CN"/>
                <w14:textFill>
                  <w14:solidFill>
                    <w14:schemeClr w14:val="tx1"/>
                  </w14:solidFill>
                </w14:textFill>
              </w:rPr>
              <w:t>0.5）t/a，</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则氮氧化物产生量为</w:t>
            </w:r>
            <w:r>
              <w:rPr>
                <w:rFonts w:hint="eastAsia" w:cs="Times New Roman"/>
                <w:color w:val="000000" w:themeColor="text1"/>
                <w:sz w:val="24"/>
                <w:highlight w:val="none"/>
                <w:lang w:val="en-US" w:eastAsia="zh-CN"/>
                <w14:textFill>
                  <w14:solidFill>
                    <w14:schemeClr w14:val="tx1"/>
                  </w14:solidFill>
                </w14:textFill>
              </w:rPr>
              <w:t>188</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t/a。</w:t>
            </w:r>
          </w:p>
          <w:p w14:paraId="0B1DECA2">
            <w:pPr>
              <w:keepNext w:val="0"/>
              <w:keepLines w:val="0"/>
              <w:pageBreakBefore w:val="0"/>
              <w:widowControl w:val="0"/>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本项目脱硝工艺选取</w:t>
            </w:r>
            <w:r>
              <w:rPr>
                <w:rFonts w:hint="eastAsia" w:cs="Times New Roman"/>
                <w:color w:val="000000" w:themeColor="text1"/>
                <w:kern w:val="0"/>
                <w:sz w:val="24"/>
                <w:szCs w:val="24"/>
                <w:highlight w:val="none"/>
                <w:lang w:val="en-US" w:eastAsia="zh-CN" w:bidi="ar"/>
                <w14:textFill>
                  <w14:solidFill>
                    <w14:schemeClr w14:val="tx1"/>
                  </w14:solidFill>
                </w14:textFill>
              </w:rPr>
              <w:t>“</w:t>
            </w:r>
            <w:r>
              <w:rPr>
                <w:rFonts w:hint="default" w:ascii="Times New Roman" w:hAnsi="Times New Roman" w:eastAsia="宋体" w:cs="Times New Roman"/>
                <w:b w:val="0"/>
                <w:bCs w:val="0"/>
                <w:color w:val="000000" w:themeColor="text1"/>
                <w:kern w:val="0"/>
                <w:sz w:val="24"/>
                <w:szCs w:val="24"/>
                <w:highlight w:val="none"/>
                <w:lang w:val="en-US" w:eastAsia="zh-CN" w:bidi="ar"/>
                <w14:textFill>
                  <w14:solidFill>
                    <w14:schemeClr w14:val="tx1"/>
                  </w14:solidFill>
                </w14:textFill>
              </w:rPr>
              <w:t>SNCR</w:t>
            </w:r>
            <w:r>
              <w:rPr>
                <w:rFonts w:hint="eastAsia" w:cs="Times New Roman"/>
                <w:b w:val="0"/>
                <w:bCs w:val="0"/>
                <w:color w:val="000000" w:themeColor="text1"/>
                <w:kern w:val="0"/>
                <w:sz w:val="24"/>
                <w:szCs w:val="24"/>
                <w:highlight w:val="none"/>
                <w:lang w:val="en-US" w:eastAsia="zh-CN" w:bidi="ar"/>
                <w14:textFill>
                  <w14:solidFill>
                    <w14:schemeClr w14:val="tx1"/>
                  </w14:solidFill>
                </w14:textFill>
              </w:rPr>
              <w:t>”联合</w:t>
            </w:r>
            <w:r>
              <w:rPr>
                <w:rFonts w:hint="default" w:ascii="Times New Roman" w:hAnsi="Times New Roman" w:eastAsia="宋体" w:cs="Times New Roman"/>
                <w:b w:val="0"/>
                <w:bCs w:val="0"/>
                <w:color w:val="000000" w:themeColor="text1"/>
                <w:kern w:val="0"/>
                <w:sz w:val="24"/>
                <w:szCs w:val="24"/>
                <w:highlight w:val="none"/>
                <w:lang w:val="en-US" w:eastAsia="zh-CN" w:bidi="ar"/>
                <w14:textFill>
                  <w14:solidFill>
                    <w14:schemeClr w14:val="tx1"/>
                  </w14:solidFill>
                </w14:textFill>
              </w:rPr>
              <w:t>脱硝</w:t>
            </w:r>
            <w:r>
              <w:rPr>
                <w:rFonts w:hint="eastAsia" w:cs="Times New Roman"/>
                <w:b w:val="0"/>
                <w:bCs w:val="0"/>
                <w:color w:val="000000" w:themeColor="text1"/>
                <w:kern w:val="0"/>
                <w:sz w:val="24"/>
                <w:szCs w:val="24"/>
                <w:highlight w:val="none"/>
                <w:lang w:val="en-US" w:eastAsia="zh-CN" w:bidi="ar"/>
                <w14:textFill>
                  <w14:solidFill>
                    <w14:schemeClr w14:val="tx1"/>
                  </w14:solidFill>
                </w14:textFill>
              </w:rPr>
              <w:t>工艺</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w:t>
            </w:r>
            <w:r>
              <w:rPr>
                <w:rFonts w:hint="default" w:ascii="Times New Roman" w:hAnsi="Times New Roman" w:eastAsia="宋体" w:cs="Times New Roman"/>
                <w:b w:val="0"/>
                <w:bCs w:val="0"/>
                <w:color w:val="000000" w:themeColor="text1"/>
                <w:kern w:val="0"/>
                <w:sz w:val="24"/>
                <w:szCs w:val="24"/>
                <w:highlight w:val="none"/>
                <w:lang w:val="en-US" w:eastAsia="zh-CN" w:bidi="ar"/>
                <w14:textFill>
                  <w14:solidFill>
                    <w14:schemeClr w14:val="tx1"/>
                  </w14:solidFill>
                </w14:textFill>
              </w:rPr>
              <w:t>SNCR</w:t>
            </w:r>
            <w:r>
              <w:rPr>
                <w:rFonts w:hint="eastAsia" w:ascii="Times New Roman" w:hAnsi="Times New Roman" w:eastAsia="宋体" w:cs="Times New Roman"/>
                <w:b w:val="0"/>
                <w:bCs w:val="0"/>
                <w:color w:val="000000" w:themeColor="text1"/>
                <w:kern w:val="0"/>
                <w:sz w:val="24"/>
                <w:szCs w:val="24"/>
                <w:highlight w:val="none"/>
                <w:lang w:val="en-US" w:eastAsia="zh-CN" w:bidi="ar"/>
                <w14:textFill>
                  <w14:solidFill>
                    <w14:schemeClr w14:val="tx1"/>
                  </w14:solidFill>
                </w14:textFill>
              </w:rPr>
              <w:t>脱硝技术</w:t>
            </w:r>
            <w:r>
              <w:rPr>
                <w:rFonts w:hint="eastAsia" w:cs="Times New Roman"/>
                <w:color w:val="000000" w:themeColor="text1"/>
                <w:kern w:val="0"/>
                <w:sz w:val="24"/>
                <w:szCs w:val="24"/>
                <w:highlight w:val="none"/>
                <w:lang w:val="en-US" w:eastAsia="zh-CN" w:bidi="ar"/>
                <w14:textFill>
                  <w14:solidFill>
                    <w14:schemeClr w14:val="tx1"/>
                  </w14:solidFill>
                </w14:textFill>
              </w:rPr>
              <w:t>的</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氮氧化物去除效率为</w:t>
            </w:r>
            <w:r>
              <w:rPr>
                <w:rFonts w:hint="eastAsia" w:cs="Times New Roman"/>
                <w:color w:val="000000" w:themeColor="text1"/>
                <w:kern w:val="0"/>
                <w:sz w:val="24"/>
                <w:szCs w:val="24"/>
                <w:highlight w:val="none"/>
                <w:lang w:val="en-US" w:eastAsia="zh-CN" w:bidi="ar"/>
                <w14:textFill>
                  <w14:solidFill>
                    <w14:schemeClr w14:val="tx1"/>
                  </w14:solidFill>
                </w14:textFill>
              </w:rPr>
              <w:t>40%～60%</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以上</w:t>
            </w:r>
            <w:r>
              <w:rPr>
                <w:rFonts w:hint="eastAsia" w:cs="Times New Roman"/>
                <w:color w:val="000000" w:themeColor="text1"/>
                <w:kern w:val="0"/>
                <w:sz w:val="24"/>
                <w:szCs w:val="24"/>
                <w:highlight w:val="none"/>
                <w:lang w:val="en-US" w:eastAsia="zh-CN" w:bidi="ar"/>
                <w14:textFill>
                  <w14:solidFill>
                    <w14:schemeClr w14:val="tx1"/>
                  </w14:solidFill>
                </w14:textFill>
              </w:rPr>
              <w:t>，取值50%</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w:t>
            </w:r>
          </w:p>
          <w:p w14:paraId="02156F0E">
            <w:pPr>
              <w:keepNext w:val="0"/>
              <w:keepLines w:val="0"/>
              <w:pageBreakBefore w:val="0"/>
              <w:widowControl w:val="0"/>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氮氧化物</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排放量=</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氮氧化物</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产生量×（1-去除效率）</w:t>
            </w:r>
          </w:p>
          <w:p w14:paraId="448BA07B">
            <w:pPr>
              <w:keepNext w:val="0"/>
              <w:keepLines w:val="0"/>
              <w:pageBreakBefore w:val="0"/>
              <w:widowControl w:val="0"/>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w:t>
            </w:r>
            <w:r>
              <w:rPr>
                <w:rFonts w:hint="eastAsia" w:cs="Times New Roman"/>
                <w:color w:val="000000" w:themeColor="text1"/>
                <w:kern w:val="0"/>
                <w:sz w:val="24"/>
                <w:szCs w:val="24"/>
                <w:highlight w:val="none"/>
                <w:lang w:val="en-US" w:eastAsia="zh-CN" w:bidi="ar"/>
                <w14:textFill>
                  <w14:solidFill>
                    <w14:schemeClr w14:val="tx1"/>
                  </w14:solidFill>
                </w14:textFill>
              </w:rPr>
              <w:t>188</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t/a×(1-</w:t>
            </w:r>
            <w:r>
              <w:rPr>
                <w:rFonts w:hint="eastAsia" w:cs="Times New Roman"/>
                <w:color w:val="000000" w:themeColor="text1"/>
                <w:kern w:val="0"/>
                <w:sz w:val="24"/>
                <w:szCs w:val="24"/>
                <w:highlight w:val="none"/>
                <w:lang w:val="en-US" w:eastAsia="zh-CN" w:bidi="ar"/>
                <w14:textFill>
                  <w14:solidFill>
                    <w14:schemeClr w14:val="tx1"/>
                  </w14:solidFill>
                </w14:textFill>
              </w:rPr>
              <w:t>50</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w:t>
            </w:r>
            <w:r>
              <w:rPr>
                <w:rFonts w:hint="eastAsia" w:cs="Times New Roman"/>
                <w:color w:val="000000" w:themeColor="text1"/>
                <w:kern w:val="0"/>
                <w:sz w:val="24"/>
                <w:szCs w:val="24"/>
                <w:highlight w:val="none"/>
                <w:lang w:val="en-US" w:eastAsia="zh-CN" w:bidi="ar"/>
                <w14:textFill>
                  <w14:solidFill>
                    <w14:schemeClr w14:val="tx1"/>
                  </w14:solidFill>
                </w14:textFill>
              </w:rPr>
              <w:t>94</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t/a</w:t>
            </w:r>
          </w:p>
          <w:p w14:paraId="16983CE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氮氧化物排放浓度=氮氧化物排放量÷废气量</w:t>
            </w:r>
          </w:p>
          <w:p w14:paraId="0C5214D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w:t>
            </w:r>
            <w:r>
              <w:rPr>
                <w:rFonts w:hint="eastAsia" w:cs="Times New Roman"/>
                <w:color w:val="000000" w:themeColor="text1"/>
                <w:sz w:val="24"/>
                <w:highlight w:val="none"/>
                <w:lang w:val="en-US" w:eastAsia="zh-CN"/>
                <w14:textFill>
                  <w14:solidFill>
                    <w14:schemeClr w14:val="tx1"/>
                  </w14:solidFill>
                </w14:textFill>
              </w:rPr>
              <w:t>94</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t/a÷</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1.0268×10</w:t>
            </w:r>
            <w:r>
              <w:rPr>
                <w:rFonts w:hint="default" w:ascii="Times New Roman" w:hAnsi="Times New Roman" w:eastAsia="宋体" w:cs="Times New Roman"/>
                <w:color w:val="000000" w:themeColor="text1"/>
                <w:kern w:val="0"/>
                <w:sz w:val="24"/>
                <w:szCs w:val="24"/>
                <w:highlight w:val="none"/>
                <w:vertAlign w:val="superscript"/>
                <w:lang w:val="en-US" w:eastAsia="zh-CN" w:bidi="ar"/>
                <w14:textFill>
                  <w14:solidFill>
                    <w14:schemeClr w14:val="tx1"/>
                  </w14:solidFill>
                </w14:textFill>
              </w:rPr>
              <w:t>9</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Nm</w:t>
            </w:r>
            <w:r>
              <w:rPr>
                <w:rFonts w:hint="default" w:ascii="Times New Roman" w:hAnsi="Times New Roman" w:eastAsia="宋体" w:cs="Times New Roman"/>
                <w:color w:val="000000" w:themeColor="text1"/>
                <w:kern w:val="0"/>
                <w:sz w:val="24"/>
                <w:szCs w:val="24"/>
                <w:highlight w:val="none"/>
                <w:vertAlign w:val="superscript"/>
                <w:lang w:val="en-US" w:eastAsia="zh-CN" w:bidi="ar"/>
                <w14:textFill>
                  <w14:solidFill>
                    <w14:schemeClr w14:val="tx1"/>
                  </w14:solidFill>
                </w14:textFill>
              </w:rPr>
              <w:t>3</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/a</w:t>
            </w:r>
          </w:p>
          <w:p w14:paraId="07B1618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cs="Times New Roman"/>
                <w:color w:val="000000" w:themeColor="text1"/>
                <w:sz w:val="24"/>
                <w:szCs w:val="24"/>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w:t>
            </w:r>
            <w:r>
              <w:rPr>
                <w:rFonts w:hint="eastAsia" w:cs="Times New Roman"/>
                <w:color w:val="000000" w:themeColor="text1"/>
                <w:sz w:val="24"/>
                <w:highlight w:val="none"/>
                <w:lang w:val="en-US" w:eastAsia="zh-CN"/>
                <w14:textFill>
                  <w14:solidFill>
                    <w14:schemeClr w14:val="tx1"/>
                  </w14:solidFill>
                </w14:textFill>
              </w:rPr>
              <w:t>91.55</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mg/m</w:t>
            </w:r>
            <w:r>
              <w:rPr>
                <w:rFonts w:hint="default" w:ascii="Times New Roman" w:hAnsi="Times New Roman" w:eastAsia="宋体" w:cs="Times New Roman"/>
                <w:color w:val="000000" w:themeColor="text1"/>
                <w:sz w:val="24"/>
                <w:highlight w:val="none"/>
                <w:vertAlign w:val="superscript"/>
                <w:lang w:val="en-US" w:eastAsia="zh-CN"/>
                <w14:textFill>
                  <w14:solidFill>
                    <w14:schemeClr w14:val="tx1"/>
                  </w14:solidFill>
                </w14:textFill>
              </w:rPr>
              <w:t>3</w:t>
            </w:r>
            <w:r>
              <w:rPr>
                <w:rFonts w:hint="eastAsia" w:cs="Times New Roman"/>
                <w:color w:val="000000" w:themeColor="text1"/>
                <w:kern w:val="0"/>
                <w:sz w:val="24"/>
                <w:szCs w:val="24"/>
                <w:highlight w:val="none"/>
                <w:lang w:val="en-US" w:eastAsia="zh-CN" w:bidi="ar"/>
                <w14:textFill>
                  <w14:solidFill>
                    <w14:schemeClr w14:val="tx1"/>
                  </w14:solidFill>
                </w14:textFill>
              </w:rPr>
              <w:t>（1200℃＜t≤1700℃，由于项目烧成温度为1350℃，因此，达标限值100</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mg/m</w:t>
            </w:r>
            <w:r>
              <w:rPr>
                <w:rFonts w:hint="default" w:ascii="Times New Roman" w:hAnsi="Times New Roman" w:eastAsia="宋体" w:cs="Times New Roman"/>
                <w:color w:val="000000" w:themeColor="text1"/>
                <w:sz w:val="24"/>
                <w:highlight w:val="none"/>
                <w:vertAlign w:val="superscript"/>
                <w:lang w:val="en-US" w:eastAsia="zh-CN"/>
                <w14:textFill>
                  <w14:solidFill>
                    <w14:schemeClr w14:val="tx1"/>
                  </w14:solidFill>
                </w14:textFill>
              </w:rPr>
              <w:t>3</w:t>
            </w:r>
            <w:r>
              <w:rPr>
                <w:rFonts w:hint="eastAsia" w:cs="Times New Roman"/>
                <w:color w:val="000000" w:themeColor="text1"/>
                <w:sz w:val="24"/>
                <w:szCs w:val="24"/>
                <w:highlight w:val="none"/>
                <w:vertAlign w:val="baseline"/>
                <w:lang w:val="en-US" w:eastAsia="zh-CN"/>
                <w14:textFill>
                  <w14:solidFill>
                    <w14:schemeClr w14:val="tx1"/>
                  </w14:solidFill>
                </w14:textFill>
              </w:rPr>
              <w:t>）</w:t>
            </w:r>
          </w:p>
          <w:p w14:paraId="495D07B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cs="Times New Roman"/>
                <w:b w:val="0"/>
                <w:bCs w:val="0"/>
                <w:color w:val="000000" w:themeColor="text1"/>
                <w:sz w:val="24"/>
                <w:highlight w:val="none"/>
                <w:lang w:val="en-US" w:eastAsia="zh-CN"/>
                <w14:textFill>
                  <w14:solidFill>
                    <w14:schemeClr w14:val="tx1"/>
                  </w14:solidFill>
                </w14:textFill>
              </w:rPr>
            </w:pPr>
            <w:r>
              <w:rPr>
                <w:rFonts w:hint="eastAsia" w:cs="Times New Roman"/>
                <w:b w:val="0"/>
                <w:bCs w:val="0"/>
                <w:color w:val="000000" w:themeColor="text1"/>
                <w:sz w:val="24"/>
                <w:highlight w:val="none"/>
                <w:lang w:val="en-US" w:eastAsia="zh-CN"/>
                <w14:textFill>
                  <w14:solidFill>
                    <w14:schemeClr w14:val="tx1"/>
                  </w14:solidFill>
                </w14:textFill>
              </w:rPr>
              <w:t>E.氨气的产排量</w:t>
            </w:r>
          </w:p>
          <w:p w14:paraId="64E0616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根据</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《耐火材料工业大气污染物排放标准》（GB46790-2025）</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中要求：脱硝系统氨逃逸浓度应控制在8mg/m</w:t>
            </w:r>
            <w:r>
              <w:rPr>
                <w:rFonts w:hint="eastAsia" w:ascii="Times New Roman" w:hAnsi="Times New Roman" w:eastAsia="宋体" w:cs="Times New Roman"/>
                <w:color w:val="000000" w:themeColor="text1"/>
                <w:sz w:val="24"/>
                <w:highlight w:val="none"/>
                <w:vertAlign w:val="superscript"/>
                <w:lang w:val="en-US" w:eastAsia="zh-CN"/>
                <w14:textFill>
                  <w14:solidFill>
                    <w14:schemeClr w14:val="tx1"/>
                  </w14:solidFill>
                </w14:textFill>
              </w:rPr>
              <w:t>3</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以下。本项目脱硝系统设计氨逃逸浓度小于7.0mg/m³，产生量为7.19t/a，产生效率为1kg/h。</w:t>
            </w:r>
          </w:p>
          <w:p w14:paraId="21AE1C6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color w:val="000000" w:themeColor="text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项目锅炉脱硝设施使用氨水作为脱硝剂，脱硝剂在使用时会有微量氨气未进行反应而通过高42</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m</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烟囱逃逸至大气环境。SNCR脱硝后的氨气经过</w:t>
            </w:r>
            <w:r>
              <w:rPr>
                <w:rFonts w:ascii="宋体" w:hAnsi="宋体" w:eastAsia="宋体" w:cs="宋体"/>
                <w:color w:val="000000" w:themeColor="text1"/>
                <w:sz w:val="24"/>
                <w:szCs w:val="24"/>
                <w:highlight w:val="none"/>
                <w14:textFill>
                  <w14:solidFill>
                    <w14:schemeClr w14:val="tx1"/>
                  </w14:solidFill>
                </w14:textFill>
              </w:rPr>
              <w:t>湿法脱硫（石灰石-石膏法）</w:t>
            </w:r>
            <w:r>
              <w:rPr>
                <w:rFonts w:hint="eastAsia" w:ascii="宋体" w:hAnsi="宋体" w:eastAsia="宋体" w:cs="宋体"/>
                <w:color w:val="000000" w:themeColor="text1"/>
                <w:sz w:val="24"/>
                <w:szCs w:val="24"/>
                <w:highlight w:val="none"/>
                <w:lang w:val="en-US" w:eastAsia="zh-CN"/>
                <w14:textFill>
                  <w14:solidFill>
                    <w14:schemeClr w14:val="tx1"/>
                  </w14:solidFill>
                </w14:textFill>
              </w:rPr>
              <w:t>装置</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由于</w:t>
            </w:r>
            <w:r>
              <w:rPr>
                <w:rFonts w:ascii="宋体" w:hAnsi="宋体" w:eastAsia="宋体" w:cs="宋体"/>
                <w:color w:val="000000" w:themeColor="text1"/>
                <w:sz w:val="24"/>
                <w:szCs w:val="24"/>
                <w:highlight w:val="none"/>
                <w14:textFill>
                  <w14:solidFill>
                    <w14:schemeClr w14:val="tx1"/>
                  </w14:solidFill>
                </w14:textFill>
              </w:rPr>
              <w:t>氨是碱性气体，浆液呈弱碱性/近中性，但因为极易溶于水+发生反应，</w:t>
            </w:r>
            <w:r>
              <w:rPr>
                <w:rFonts w:hint="eastAsia" w:ascii="宋体" w:hAnsi="宋体" w:eastAsia="宋体" w:cs="宋体"/>
                <w:color w:val="000000" w:themeColor="text1"/>
                <w:sz w:val="24"/>
                <w:szCs w:val="24"/>
                <w:highlight w:val="none"/>
                <w:lang w:val="en-US" w:eastAsia="zh-CN"/>
                <w14:textFill>
                  <w14:solidFill>
                    <w14:schemeClr w14:val="tx1"/>
                  </w14:solidFill>
                </w14:textFill>
              </w:rPr>
              <w:t>与浆液</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中SO₂、HSO₃</w:t>
            </w:r>
            <w:r>
              <w:rPr>
                <w:rFonts w:hint="default" w:ascii="Times New Roman" w:hAnsi="Times New Roman" w:eastAsia="宋体" w:cs="Times New Roman"/>
                <w:color w:val="000000" w:themeColor="text1"/>
                <w:sz w:val="24"/>
                <w:szCs w:val="24"/>
                <w:highlight w:val="none"/>
                <w:vertAlign w:val="superscript"/>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、SO₄²⁻反应生成铵盐，最终进入脱硫浆液/石膏</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最终氨逃逸浓度为</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w:t>
            </w:r>
            <w:r>
              <w:rPr>
                <w:rFonts w:hint="eastAsia" w:cs="Times New Roman"/>
                <w:color w:val="000000" w:themeColor="text1"/>
                <w:sz w:val="24"/>
                <w:highlight w:val="none"/>
                <w:lang w:val="en-US" w:eastAsia="zh-CN"/>
                <w14:textFill>
                  <w14:solidFill>
                    <w14:schemeClr w14:val="tx1"/>
                  </w14:solidFill>
                </w14:textFill>
              </w:rPr>
              <w:t>3.5</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mg/m</w:t>
            </w:r>
            <w:r>
              <w:rPr>
                <w:rFonts w:hint="default" w:ascii="Times New Roman" w:hAnsi="Times New Roman" w:eastAsia="宋体" w:cs="Times New Roman"/>
                <w:color w:val="000000" w:themeColor="text1"/>
                <w:sz w:val="24"/>
                <w:highlight w:val="none"/>
                <w:vertAlign w:val="superscript"/>
                <w:lang w:val="en-US" w:eastAsia="zh-CN"/>
                <w14:textFill>
                  <w14:solidFill>
                    <w14:schemeClr w14:val="tx1"/>
                  </w14:solidFill>
                </w14:textFill>
              </w:rPr>
              <w:t>3</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，排放速率</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w:t>
            </w:r>
            <w:r>
              <w:rPr>
                <w:rFonts w:hint="eastAsia" w:cs="Times New Roman"/>
                <w:color w:val="000000" w:themeColor="text1"/>
                <w:sz w:val="24"/>
                <w:highlight w:val="none"/>
                <w:lang w:val="en-US" w:eastAsia="zh-CN"/>
                <w14:textFill>
                  <w14:solidFill>
                    <w14:schemeClr w14:val="tx1"/>
                  </w14:solidFill>
                </w14:textFill>
              </w:rPr>
              <w:t>0.5</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kg/h</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，排放量为3.6t/a，氨排放浓度满足</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《耐火材料工业大气污染物排放标准》（GB46790-2025）表1大气污染物排放限值</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，排放</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速率能够满足《恶臭污染物排放标准》（</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GB14554-93</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）中表</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2</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中相应标准限值。</w:t>
            </w:r>
          </w:p>
          <w:p w14:paraId="69B64F1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4"/>
                <w:highlight w:val="none"/>
                <w:lang w:val="en-US" w:eastAsia="zh-CN"/>
                <w14:textFill>
                  <w14:solidFill>
                    <w14:schemeClr w14:val="tx1"/>
                  </w14:solidFill>
                </w14:textFill>
              </w:rPr>
              <w:t>6）</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分选（打散、粉磨）废气（G1-</w:t>
            </w:r>
            <w:r>
              <w:rPr>
                <w:rFonts w:hint="default" w:ascii="Times New Roman" w:hAnsi="Times New Roman" w:cs="Times New Roman"/>
                <w:b w:val="0"/>
                <w:bCs w:val="0"/>
                <w:color w:val="000000" w:themeColor="text1"/>
                <w:sz w:val="24"/>
                <w:highlight w:val="none"/>
                <w:lang w:val="en-US" w:eastAsia="zh-CN"/>
                <w14:textFill>
                  <w14:solidFill>
                    <w14:schemeClr w14:val="tx1"/>
                  </w14:solidFill>
                </w14:textFill>
              </w:rPr>
              <w:t>7、</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G1-</w:t>
            </w:r>
            <w:r>
              <w:rPr>
                <w:rFonts w:hint="default" w:ascii="Times New Roman" w:hAnsi="Times New Roman" w:cs="Times New Roman"/>
                <w:b w:val="0"/>
                <w:bCs w:val="0"/>
                <w:color w:val="000000" w:themeColor="text1"/>
                <w:sz w:val="24"/>
                <w:highlight w:val="none"/>
                <w:lang w:val="en-US" w:eastAsia="zh-CN"/>
                <w14:textFill>
                  <w14:solidFill>
                    <w14:schemeClr w14:val="tx1"/>
                  </w14:solidFill>
                </w14:textFill>
              </w:rPr>
              <w:t>8</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w:t>
            </w:r>
          </w:p>
          <w:p w14:paraId="48D904B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打散过程废气</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粉尘参照《3021、3022、3029水泥制品制造行业系数手册（含3022砼结构构件、3029其他水泥类似制品制造）行业》中混凝土制品的物料混合搅拌源强产污系数为0.13kg/t-产品，本项目输送皮带封闭处理，合计颗粒物产生量26t/a。</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打散机</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进入</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1</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个收尘器后接</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1</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个风机；</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除尘器风量为10000Nm</w:t>
            </w:r>
            <w:r>
              <w:rPr>
                <w:rFonts w:hint="default" w:ascii="Times New Roman" w:hAnsi="Times New Roman" w:eastAsia="宋体" w:cs="Times New Roman"/>
                <w:b w:val="0"/>
                <w:bCs w:val="0"/>
                <w:color w:val="000000" w:themeColor="text1"/>
                <w:sz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/h，除尘效率为99%，年运行时间2400h。</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袋式除尘器的除尘效率为99%，</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排放量为2t/a，排放浓度为9.09mg/Nm</w:t>
            </w:r>
            <w:r>
              <w:rPr>
                <w:rFonts w:hint="default" w:ascii="Times New Roman" w:hAnsi="Times New Roman" w:eastAsia="宋体" w:cs="Times New Roman"/>
                <w:b w:val="0"/>
                <w:bCs w:val="0"/>
                <w:color w:val="000000" w:themeColor="text1"/>
                <w:sz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w:t>
            </w:r>
          </w:p>
          <w:p w14:paraId="79AAB2AE">
            <w:pPr>
              <w:keepNext w:val="0"/>
              <w:keepLines w:val="0"/>
              <w:pageBreakBefore w:val="0"/>
              <w:widowControl w:val="0"/>
              <w:kinsoku/>
              <w:wordWrap/>
              <w:overflowPunct/>
              <w:topLinePunct w:val="0"/>
              <w:autoSpaceDE/>
              <w:autoSpaceDN/>
              <w:bidi w:val="0"/>
              <w:adjustRightInd/>
              <w:snapToGrid w:val="0"/>
              <w:spacing w:line="240" w:lineRule="auto"/>
              <w:ind w:firstLine="482" w:firstLineChars="200"/>
              <w:jc w:val="center"/>
              <w:textAlignment w:val="auto"/>
              <w:rPr>
                <w:rFonts w:hint="default" w:ascii="Times New Roman" w:hAnsi="Times New Roman" w:eastAsia="仿宋" w:cs="Times New Roman"/>
                <w:color w:val="000000" w:themeColor="text1"/>
                <w:sz w:val="24"/>
                <w:highlight w:val="none"/>
                <w14:textFill>
                  <w14:solidFill>
                    <w14:schemeClr w14:val="tx1"/>
                  </w14:solidFill>
                </w14:textFill>
              </w:rPr>
            </w:pPr>
            <w:r>
              <w:rPr>
                <w:rFonts w:hint="default" w:ascii="Times New Roman" w:hAnsi="Times New Roman" w:eastAsia="宋体" w:cs="Times New Roman"/>
                <w:b/>
                <w:bCs/>
                <w:color w:val="000000" w:themeColor="text1"/>
                <w:kern w:val="2"/>
                <w:sz w:val="24"/>
                <w:szCs w:val="24"/>
                <w:highlight w:val="none"/>
                <w14:textFill>
                  <w14:solidFill>
                    <w14:schemeClr w14:val="tx1"/>
                  </w14:solidFill>
                </w14:textFill>
              </w:rPr>
              <w:t>表</w:t>
            </w:r>
            <w:r>
              <w:rPr>
                <w:rFonts w:hint="default" w:ascii="Times New Roman" w:hAnsi="Times New Roman" w:eastAsia="宋体" w:cs="Times New Roman"/>
                <w:b/>
                <w:bCs/>
                <w:color w:val="000000" w:themeColor="text1"/>
                <w:kern w:val="2"/>
                <w:sz w:val="24"/>
                <w:szCs w:val="24"/>
                <w:highlight w:val="none"/>
                <w:lang w:val="en-US" w:eastAsia="zh-CN"/>
                <w14:textFill>
                  <w14:solidFill>
                    <w14:schemeClr w14:val="tx1"/>
                  </w14:solidFill>
                </w14:textFill>
              </w:rPr>
              <w:t>4-</w:t>
            </w:r>
            <w:r>
              <w:rPr>
                <w:rFonts w:hint="default" w:ascii="Times New Roman" w:hAnsi="Times New Roman" w:cs="Times New Roman"/>
                <w:b/>
                <w:bCs/>
                <w:color w:val="000000" w:themeColor="text1"/>
                <w:kern w:val="2"/>
                <w:sz w:val="24"/>
                <w:szCs w:val="24"/>
                <w:highlight w:val="none"/>
                <w:lang w:val="en-US" w:eastAsia="zh-CN"/>
                <w14:textFill>
                  <w14:solidFill>
                    <w14:schemeClr w14:val="tx1"/>
                  </w14:solidFill>
                </w14:textFill>
              </w:rPr>
              <w:t>5废气</w:t>
            </w:r>
            <w:r>
              <w:rPr>
                <w:rFonts w:hint="default" w:ascii="Times New Roman" w:hAnsi="Times New Roman" w:cs="Times New Roman"/>
                <w:b/>
                <w:bCs/>
                <w:color w:val="000000" w:themeColor="text1"/>
                <w:kern w:val="2"/>
                <w:sz w:val="24"/>
                <w:szCs w:val="24"/>
                <w:highlight w:val="none"/>
                <w14:textFill>
                  <w14:solidFill>
                    <w14:schemeClr w14:val="tx1"/>
                  </w14:solidFill>
                </w14:textFill>
              </w:rPr>
              <w:t>粉尘产排情况一览表</w:t>
            </w:r>
          </w:p>
          <w:tbl>
            <w:tblPr>
              <w:tblStyle w:val="24"/>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566"/>
              <w:gridCol w:w="850"/>
              <w:gridCol w:w="745"/>
              <w:gridCol w:w="934"/>
              <w:gridCol w:w="1072"/>
              <w:gridCol w:w="616"/>
              <w:gridCol w:w="1261"/>
              <w:gridCol w:w="1015"/>
              <w:gridCol w:w="881"/>
            </w:tblGrid>
            <w:tr w14:paraId="15DB7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2" w:hRule="atLeast"/>
              </w:trPr>
              <w:tc>
                <w:tcPr>
                  <w:tcW w:w="356" w:type="pct"/>
                  <w:vMerge w:val="restart"/>
                  <w:noWrap w:val="0"/>
                  <w:vAlign w:val="center"/>
                </w:tcPr>
                <w:p w14:paraId="49C4F043">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装置</w:t>
                  </w:r>
                </w:p>
              </w:tc>
              <w:tc>
                <w:tcPr>
                  <w:tcW w:w="535" w:type="pct"/>
                  <w:vMerge w:val="restart"/>
                  <w:noWrap w:val="0"/>
                  <w:vAlign w:val="center"/>
                </w:tcPr>
                <w:p w14:paraId="25A4EA57">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污染源</w:t>
                  </w:r>
                </w:p>
              </w:tc>
              <w:tc>
                <w:tcPr>
                  <w:tcW w:w="469" w:type="pct"/>
                  <w:vMerge w:val="restart"/>
                  <w:noWrap w:val="0"/>
                  <w:vAlign w:val="center"/>
                </w:tcPr>
                <w:p w14:paraId="7A1C5563">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污染物</w:t>
                  </w:r>
                </w:p>
              </w:tc>
              <w:tc>
                <w:tcPr>
                  <w:tcW w:w="588" w:type="pct"/>
                  <w:vMerge w:val="restart"/>
                  <w:noWrap w:val="0"/>
                  <w:vAlign w:val="center"/>
                </w:tcPr>
                <w:p w14:paraId="44812BC0">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风机</w:t>
                  </w:r>
                </w:p>
                <w:p w14:paraId="5DB9803D">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风量</w:t>
                  </w:r>
                </w:p>
                <w:p w14:paraId="19B64B48">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(m</w:t>
                  </w:r>
                  <w:r>
                    <w:rPr>
                      <w:rFonts w:hint="default" w:ascii="Times New Roman" w:hAnsi="Times New Roman" w:eastAsia="宋体" w:cs="Times New Roman"/>
                      <w:b w:val="0"/>
                      <w:bCs w:val="0"/>
                      <w:color w:val="000000" w:themeColor="text1"/>
                      <w:sz w:val="21"/>
                      <w:szCs w:val="21"/>
                      <w:highlight w:val="none"/>
                      <w:vertAlign w:val="superscript"/>
                      <w:lang w:eastAsia="zh-CN"/>
                      <w14:textFill>
                        <w14:solidFill>
                          <w14:schemeClr w14:val="tx1"/>
                        </w14:solidFill>
                      </w14:textFill>
                    </w:rPr>
                    <w:t>3</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/h</w:t>
                  </w: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w:t>
                  </w:r>
                </w:p>
              </w:tc>
              <w:tc>
                <w:tcPr>
                  <w:tcW w:w="675" w:type="pct"/>
                  <w:vMerge w:val="restart"/>
                  <w:noWrap w:val="0"/>
                  <w:vAlign w:val="center"/>
                </w:tcPr>
                <w:p w14:paraId="2CD12D39">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污染物</w:t>
                  </w:r>
                </w:p>
                <w:p w14:paraId="4F3921A4">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产生</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量</w:t>
                  </w:r>
                </w:p>
                <w:p w14:paraId="2781F074">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t</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a)</w:t>
                  </w:r>
                </w:p>
              </w:tc>
              <w:tc>
                <w:tcPr>
                  <w:tcW w:w="386" w:type="pct"/>
                  <w:vMerge w:val="restart"/>
                  <w:noWrap w:val="0"/>
                  <w:vAlign w:val="center"/>
                </w:tcPr>
                <w:p w14:paraId="54B6BE08">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处理</w:t>
                  </w:r>
                </w:p>
                <w:p w14:paraId="437619FA">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效率</w:t>
                  </w:r>
                </w:p>
                <w:p w14:paraId="09545957">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w:t>
                  </w:r>
                </w:p>
              </w:tc>
              <w:tc>
                <w:tcPr>
                  <w:tcW w:w="1433" w:type="pct"/>
                  <w:gridSpan w:val="2"/>
                  <w:noWrap w:val="0"/>
                  <w:vAlign w:val="center"/>
                </w:tcPr>
                <w:p w14:paraId="2B73266D">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污染物排放</w:t>
                  </w:r>
                </w:p>
              </w:tc>
              <w:tc>
                <w:tcPr>
                  <w:tcW w:w="554" w:type="pct"/>
                  <w:vMerge w:val="restart"/>
                  <w:noWrap w:val="0"/>
                  <w:vAlign w:val="center"/>
                </w:tcPr>
                <w:p w14:paraId="408B985E">
                  <w:pPr>
                    <w:pStyle w:val="85"/>
                    <w:kinsoku w:val="0"/>
                    <w:overflowPunct w:val="0"/>
                    <w:snapToGrid w:val="0"/>
                    <w:jc w:val="cente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排气</w:t>
                  </w:r>
                  <w:r>
                    <w:rPr>
                      <w:rFonts w:hint="eastAsia" w:cs="Times New Roman"/>
                      <w:color w:val="000000" w:themeColor="text1"/>
                      <w:sz w:val="24"/>
                      <w:szCs w:val="24"/>
                      <w:highlight w:val="none"/>
                      <w:lang w:val="en-US" w:eastAsia="zh-CN"/>
                      <w14:textFill>
                        <w14:solidFill>
                          <w14:schemeClr w14:val="tx1"/>
                        </w14:solidFill>
                      </w14:textFill>
                    </w:rPr>
                    <w:t>口</w:t>
                  </w:r>
                </w:p>
                <w:p w14:paraId="4F413B15">
                  <w:pPr>
                    <w:pStyle w:val="85"/>
                    <w:kinsoku w:val="0"/>
                    <w:overflowPunct w:val="0"/>
                    <w:snapToGrid w:val="0"/>
                    <w:jc w:val="cente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高度</w:t>
                  </w:r>
                </w:p>
                <w:p w14:paraId="03118B7C">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（m）</w:t>
                  </w:r>
                </w:p>
              </w:tc>
            </w:tr>
            <w:tr w14:paraId="5CBCB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19" w:hRule="atLeast"/>
              </w:trPr>
              <w:tc>
                <w:tcPr>
                  <w:tcW w:w="356" w:type="pct"/>
                  <w:vMerge w:val="continue"/>
                  <w:noWrap w:val="0"/>
                  <w:vAlign w:val="center"/>
                </w:tcPr>
                <w:p w14:paraId="5D5A032F">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535" w:type="pct"/>
                  <w:vMerge w:val="continue"/>
                  <w:noWrap w:val="0"/>
                  <w:vAlign w:val="center"/>
                </w:tcPr>
                <w:p w14:paraId="5D42DED3">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469" w:type="pct"/>
                  <w:vMerge w:val="continue"/>
                  <w:noWrap w:val="0"/>
                  <w:vAlign w:val="center"/>
                </w:tcPr>
                <w:p w14:paraId="04337ADF">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588" w:type="pct"/>
                  <w:vMerge w:val="continue"/>
                  <w:noWrap w:val="0"/>
                  <w:vAlign w:val="center"/>
                </w:tcPr>
                <w:p w14:paraId="2C8FBF2E">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675" w:type="pct"/>
                  <w:vMerge w:val="continue"/>
                  <w:noWrap w:val="0"/>
                  <w:vAlign w:val="center"/>
                </w:tcPr>
                <w:p w14:paraId="5BA1A189">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386" w:type="pct"/>
                  <w:vMerge w:val="continue"/>
                  <w:noWrap w:val="0"/>
                  <w:vAlign w:val="center"/>
                </w:tcPr>
                <w:p w14:paraId="090BC729">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794" w:type="pct"/>
                  <w:noWrap w:val="0"/>
                  <w:vAlign w:val="center"/>
                </w:tcPr>
                <w:p w14:paraId="406CB14D">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排放浓度</w:t>
                  </w:r>
                </w:p>
                <w:p w14:paraId="38D004B9">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mg/</w:t>
                  </w: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m</w:t>
                  </w:r>
                  <w:r>
                    <w:rPr>
                      <w:rFonts w:hint="default" w:ascii="Times New Roman" w:hAnsi="Times New Roman" w:eastAsia="宋体" w:cs="Times New Roman"/>
                      <w:b w:val="0"/>
                      <w:bCs w:val="0"/>
                      <w:color w:val="000000" w:themeColor="text1"/>
                      <w:sz w:val="21"/>
                      <w:szCs w:val="21"/>
                      <w:highlight w:val="none"/>
                      <w:vertAlign w:val="superscript"/>
                      <w:lang w:eastAsia="zh-CN"/>
                      <w14:textFill>
                        <w14:solidFill>
                          <w14:schemeClr w14:val="tx1"/>
                        </w14:solidFill>
                      </w14:textFill>
                    </w:rPr>
                    <w:t>3</w:t>
                  </w:r>
                  <w:r>
                    <w:rPr>
                      <w:rFonts w:hint="default" w:ascii="Times New Roman" w:hAnsi="Times New Roman" w:eastAsia="宋体" w:cs="Times New Roman"/>
                      <w:b w:val="0"/>
                      <w:bCs w:val="0"/>
                      <w:color w:val="000000" w:themeColor="text1"/>
                      <w:sz w:val="21"/>
                      <w:szCs w:val="21"/>
                      <w:highlight w:val="none"/>
                      <w:vertAlign w:val="baseline"/>
                      <w:lang w:eastAsia="zh-CN"/>
                      <w14:textFill>
                        <w14:solidFill>
                          <w14:schemeClr w14:val="tx1"/>
                        </w14:solidFill>
                      </w14:textFill>
                    </w:rPr>
                    <w:t>)</w:t>
                  </w:r>
                </w:p>
              </w:tc>
              <w:tc>
                <w:tcPr>
                  <w:tcW w:w="639" w:type="pct"/>
                  <w:noWrap w:val="0"/>
                  <w:vAlign w:val="center"/>
                </w:tcPr>
                <w:p w14:paraId="391C831C">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排放量</w:t>
                  </w:r>
                </w:p>
                <w:p w14:paraId="185E4F61">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t</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a)</w:t>
                  </w:r>
                </w:p>
              </w:tc>
              <w:tc>
                <w:tcPr>
                  <w:tcW w:w="554" w:type="pct"/>
                  <w:vMerge w:val="continue"/>
                  <w:noWrap w:val="0"/>
                  <w:vAlign w:val="center"/>
                </w:tcPr>
                <w:p w14:paraId="4A553CFD">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pPr>
                </w:p>
              </w:tc>
            </w:tr>
            <w:tr w14:paraId="66274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8" w:hRule="atLeast"/>
              </w:trPr>
              <w:tc>
                <w:tcPr>
                  <w:tcW w:w="356" w:type="pct"/>
                  <w:noWrap w:val="0"/>
                  <w:vAlign w:val="center"/>
                </w:tcPr>
                <w:p w14:paraId="6928C9B1">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lang w:val="en-US"/>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打散</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机</w:t>
                  </w:r>
                </w:p>
              </w:tc>
              <w:tc>
                <w:tcPr>
                  <w:tcW w:w="535" w:type="pct"/>
                  <w:noWrap w:val="0"/>
                  <w:vAlign w:val="center"/>
                </w:tcPr>
                <w:p w14:paraId="1DE929F4">
                  <w:pPr>
                    <w:kinsoku w:val="0"/>
                    <w:overflowPunct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DA00</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7</w:t>
                  </w:r>
                </w:p>
              </w:tc>
              <w:tc>
                <w:tcPr>
                  <w:tcW w:w="469" w:type="pct"/>
                  <w:noWrap w:val="0"/>
                  <w:vAlign w:val="center"/>
                </w:tcPr>
                <w:p w14:paraId="422E81CD">
                  <w:pPr>
                    <w:pStyle w:val="85"/>
                    <w:kinsoku w:val="0"/>
                    <w:overflowPunct w:val="0"/>
                    <w:snapToGrid w:val="0"/>
                    <w:ind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颗粒物</w:t>
                  </w:r>
                </w:p>
              </w:tc>
              <w:tc>
                <w:tcPr>
                  <w:tcW w:w="588" w:type="pct"/>
                  <w:noWrap w:val="0"/>
                  <w:vAlign w:val="center"/>
                </w:tcPr>
                <w:p w14:paraId="18B69AA2">
                  <w:pPr>
                    <w:pStyle w:val="85"/>
                    <w:kinsoku w:val="0"/>
                    <w:overflowPunct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10000</w:t>
                  </w:r>
                </w:p>
              </w:tc>
              <w:tc>
                <w:tcPr>
                  <w:tcW w:w="675" w:type="pct"/>
                  <w:noWrap w:val="0"/>
                  <w:vAlign w:val="center"/>
                </w:tcPr>
                <w:p w14:paraId="48CBACF1">
                  <w:pPr>
                    <w:pStyle w:val="85"/>
                    <w:kinsoku w:val="0"/>
                    <w:overflowPunct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26</w:t>
                  </w:r>
                </w:p>
              </w:tc>
              <w:tc>
                <w:tcPr>
                  <w:tcW w:w="386" w:type="pct"/>
                  <w:noWrap w:val="0"/>
                  <w:vAlign w:val="center"/>
                </w:tcPr>
                <w:p w14:paraId="3974B37C">
                  <w:pPr>
                    <w:pStyle w:val="85"/>
                    <w:kinsoku w:val="0"/>
                    <w:overflowPunct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99</w:t>
                  </w:r>
                </w:p>
              </w:tc>
              <w:tc>
                <w:tcPr>
                  <w:tcW w:w="794" w:type="pct"/>
                  <w:noWrap w:val="0"/>
                  <w:vAlign w:val="center"/>
                </w:tcPr>
                <w:p w14:paraId="27C27CBC">
                  <w:pPr>
                    <w:keepNext w:val="0"/>
                    <w:keepLines w:val="0"/>
                    <w:widowControl/>
                    <w:suppressLineNumbers w:val="0"/>
                    <w:jc w:val="center"/>
                    <w:textAlignment w:val="cente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t>10.8</w:t>
                  </w:r>
                </w:p>
              </w:tc>
              <w:tc>
                <w:tcPr>
                  <w:tcW w:w="639" w:type="pct"/>
                  <w:noWrap w:val="0"/>
                  <w:vAlign w:val="center"/>
                </w:tcPr>
                <w:p w14:paraId="06D58943">
                  <w:pPr>
                    <w:keepNext w:val="0"/>
                    <w:keepLines w:val="0"/>
                    <w:widowControl/>
                    <w:suppressLineNumbers w:val="0"/>
                    <w:jc w:val="center"/>
                    <w:textAlignment w:val="cente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t>0.26</w:t>
                  </w:r>
                </w:p>
              </w:tc>
              <w:tc>
                <w:tcPr>
                  <w:tcW w:w="554" w:type="pct"/>
                  <w:noWrap w:val="0"/>
                  <w:vAlign w:val="center"/>
                </w:tcPr>
                <w:p w14:paraId="758C5D82">
                  <w:pPr>
                    <w:keepNext w:val="0"/>
                    <w:keepLines w:val="0"/>
                    <w:widowControl/>
                    <w:suppressLineNumbers w:val="0"/>
                    <w:jc w:val="center"/>
                    <w:textAlignment w:val="cente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color w:val="000000" w:themeColor="text1"/>
                      <w:kern w:val="0"/>
                      <w:sz w:val="21"/>
                      <w:szCs w:val="21"/>
                      <w:highlight w:val="none"/>
                      <w:u w:val="none"/>
                      <w:lang w:val="en-US" w:eastAsia="zh-CN" w:bidi="ar"/>
                      <w14:textFill>
                        <w14:solidFill>
                          <w14:schemeClr w14:val="tx1"/>
                        </w14:solidFill>
                      </w14:textFill>
                    </w:rPr>
                    <w:t>30</w:t>
                  </w:r>
                </w:p>
              </w:tc>
            </w:tr>
            <w:tr w14:paraId="32D90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5" w:hRule="atLeast"/>
              </w:trPr>
              <w:tc>
                <w:tcPr>
                  <w:tcW w:w="3011" w:type="pct"/>
                  <w:gridSpan w:val="6"/>
                  <w:noWrap w:val="0"/>
                  <w:vAlign w:val="center"/>
                </w:tcPr>
                <w:p w14:paraId="24C920BB">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排放</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限值</w:t>
                  </w:r>
                </w:p>
              </w:tc>
              <w:tc>
                <w:tcPr>
                  <w:tcW w:w="794" w:type="pct"/>
                  <w:noWrap w:val="0"/>
                  <w:vAlign w:val="center"/>
                </w:tcPr>
                <w:p w14:paraId="7E4AD105">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20</w:t>
                  </w:r>
                </w:p>
              </w:tc>
              <w:tc>
                <w:tcPr>
                  <w:tcW w:w="639" w:type="pct"/>
                  <w:noWrap w:val="0"/>
                  <w:vAlign w:val="center"/>
                </w:tcPr>
                <w:p w14:paraId="46D16B94">
                  <w:pPr>
                    <w:pStyle w:val="85"/>
                    <w:kinsoku w:val="0"/>
                    <w:overflowPunct w:val="0"/>
                    <w:snapToGrid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554" w:type="pct"/>
                  <w:noWrap w:val="0"/>
                  <w:vAlign w:val="center"/>
                </w:tcPr>
                <w:p w14:paraId="36286D8E">
                  <w:pPr>
                    <w:pStyle w:val="85"/>
                    <w:kinsoku w:val="0"/>
                    <w:overflowPunct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p>
              </w:tc>
            </w:tr>
            <w:tr w14:paraId="58BCE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5" w:hRule="atLeast"/>
              </w:trPr>
              <w:tc>
                <w:tcPr>
                  <w:tcW w:w="3011" w:type="pct"/>
                  <w:gridSpan w:val="6"/>
                  <w:noWrap w:val="0"/>
                  <w:vAlign w:val="center"/>
                </w:tcPr>
                <w:p w14:paraId="4D748369">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达标情况</w:t>
                  </w:r>
                </w:p>
              </w:tc>
              <w:tc>
                <w:tcPr>
                  <w:tcW w:w="794" w:type="pct"/>
                  <w:noWrap w:val="0"/>
                  <w:vAlign w:val="center"/>
                </w:tcPr>
                <w:p w14:paraId="56F090BF">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达标</w:t>
                  </w:r>
                </w:p>
              </w:tc>
              <w:tc>
                <w:tcPr>
                  <w:tcW w:w="639" w:type="pct"/>
                  <w:noWrap w:val="0"/>
                  <w:vAlign w:val="center"/>
                </w:tcPr>
                <w:p w14:paraId="2949A43E">
                  <w:pPr>
                    <w:pStyle w:val="85"/>
                    <w:kinsoku w:val="0"/>
                    <w:overflowPunct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p>
              </w:tc>
              <w:tc>
                <w:tcPr>
                  <w:tcW w:w="554" w:type="pct"/>
                  <w:noWrap w:val="0"/>
                  <w:vAlign w:val="center"/>
                </w:tcPr>
                <w:p w14:paraId="4E28F3FC">
                  <w:pPr>
                    <w:pStyle w:val="85"/>
                    <w:kinsoku w:val="0"/>
                    <w:overflowPunct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p>
              </w:tc>
            </w:tr>
          </w:tbl>
          <w:p w14:paraId="219188C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粉磨粉尘产生量参照《3099其他非金属矿物制品制造行业系数表（续1）》粉磨系数，废气产生系数为276标立方米/吨</w:t>
            </w:r>
            <w:r>
              <w:rPr>
                <w:rFonts w:hint="eastAsia" w:cs="Times New Roman"/>
                <w:b w:val="0"/>
                <w:bCs w:val="0"/>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产品，废气产生量为5520万标立方米/年（11500</w:t>
            </w: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m</w:t>
            </w:r>
            <w:r>
              <w:rPr>
                <w:rFonts w:hint="default" w:ascii="Times New Roman" w:hAnsi="Times New Roman" w:eastAsia="宋体" w:cs="Times New Roman"/>
                <w:b w:val="0"/>
                <w:bCs w:val="0"/>
                <w:color w:val="000000" w:themeColor="text1"/>
                <w:sz w:val="21"/>
                <w:szCs w:val="21"/>
                <w:highlight w:val="none"/>
                <w:vertAlign w:val="superscript"/>
                <w:lang w:eastAsia="zh-CN"/>
                <w14:textFill>
                  <w14:solidFill>
                    <w14:schemeClr w14:val="tx1"/>
                  </w14:solidFill>
                </w14:textFill>
              </w:rPr>
              <w:t>3</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/h</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）；颗粒物产污系数</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1.19kg/t-产品，则</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产品分选废气中的产生量为2</w:t>
            </w:r>
            <w:r>
              <w:rPr>
                <w:rFonts w:hint="default" w:ascii="Times New Roman" w:hAnsi="Times New Roman" w:cs="Times New Roman"/>
                <w:b w:val="0"/>
                <w:bCs w:val="0"/>
                <w:color w:val="000000" w:themeColor="text1"/>
                <w:sz w:val="24"/>
                <w:highlight w:val="none"/>
                <w:lang w:val="en-US" w:eastAsia="zh-CN"/>
                <w14:textFill>
                  <w14:solidFill>
                    <w14:schemeClr w14:val="tx1"/>
                  </w14:solidFill>
                </w14:textFill>
              </w:rPr>
              <w:t>38</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t/a，打散和粉磨装置分别</w:t>
            </w:r>
            <w:r>
              <w:rPr>
                <w:rFonts w:hint="eastAsia" w:cs="Times New Roman"/>
                <w:b w:val="0"/>
                <w:bCs w:val="0"/>
                <w:color w:val="000000" w:themeColor="text1"/>
                <w:sz w:val="24"/>
                <w:highlight w:val="none"/>
                <w:lang w:val="en-US" w:eastAsia="zh-CN"/>
                <w14:textFill>
                  <w14:solidFill>
                    <w14:schemeClr w14:val="tx1"/>
                  </w14:solidFill>
                </w14:textFill>
              </w:rPr>
              <w:t>设置</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1台袋式除尘器，除尘器风量为1</w:t>
            </w:r>
            <w:r>
              <w:rPr>
                <w:rFonts w:hint="default" w:ascii="Times New Roman" w:hAnsi="Times New Roman" w:cs="Times New Roman"/>
                <w:b w:val="0"/>
                <w:bCs w:val="0"/>
                <w:color w:val="000000" w:themeColor="text1"/>
                <w:sz w:val="24"/>
                <w:highlight w:val="none"/>
                <w:lang w:val="en-US" w:eastAsia="zh-CN"/>
                <w14:textFill>
                  <w14:solidFill>
                    <w14:schemeClr w14:val="tx1"/>
                  </w14:solidFill>
                </w14:textFill>
              </w:rPr>
              <w:t>15</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00Nm</w:t>
            </w:r>
            <w:r>
              <w:rPr>
                <w:rFonts w:hint="default" w:ascii="Times New Roman" w:hAnsi="Times New Roman" w:eastAsia="宋体" w:cs="Times New Roman"/>
                <w:b w:val="0"/>
                <w:bCs w:val="0"/>
                <w:color w:val="000000" w:themeColor="text1"/>
                <w:sz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/h，除尘效率为99%，年运行时间</w:t>
            </w:r>
            <w:r>
              <w:rPr>
                <w:rFonts w:hint="default" w:ascii="Times New Roman" w:hAnsi="Times New Roman" w:cs="Times New Roman"/>
                <w:b w:val="0"/>
                <w:bCs w:val="0"/>
                <w:color w:val="000000" w:themeColor="text1"/>
                <w:sz w:val="24"/>
                <w:highlight w:val="none"/>
                <w:lang w:val="en-US" w:eastAsia="zh-CN"/>
                <w14:textFill>
                  <w14:solidFill>
                    <w14:schemeClr w14:val="tx1"/>
                  </w14:solidFill>
                </w14:textFill>
              </w:rPr>
              <w:t>48</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00h。</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袋式除尘器的除尘效率为99%，</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排放量为2</w:t>
            </w:r>
            <w:r>
              <w:rPr>
                <w:rFonts w:hint="default" w:ascii="Times New Roman" w:hAnsi="Times New Roman" w:cs="Times New Roman"/>
                <w:b w:val="0"/>
                <w:bCs w:val="0"/>
                <w:color w:val="000000" w:themeColor="text1"/>
                <w:sz w:val="24"/>
                <w:highlight w:val="none"/>
                <w:lang w:val="en-US" w:eastAsia="zh-CN"/>
                <w14:textFill>
                  <w14:solidFill>
                    <w14:schemeClr w14:val="tx1"/>
                  </w14:solidFill>
                </w14:textFill>
              </w:rPr>
              <w:t>.38</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t/a，排放浓度为</w:t>
            </w:r>
            <w:r>
              <w:rPr>
                <w:rFonts w:hint="default" w:ascii="Times New Roman" w:hAnsi="Times New Roman" w:cs="Times New Roman"/>
                <w:b w:val="0"/>
                <w:bCs w:val="0"/>
                <w:color w:val="000000" w:themeColor="text1"/>
                <w:sz w:val="24"/>
                <w:highlight w:val="none"/>
                <w:lang w:val="en-US" w:eastAsia="zh-CN"/>
                <w14:textFill>
                  <w14:solidFill>
                    <w14:schemeClr w14:val="tx1"/>
                  </w14:solidFill>
                </w14:textFill>
              </w:rPr>
              <w:t>86.22</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mg/Nm</w:t>
            </w:r>
            <w:r>
              <w:rPr>
                <w:rFonts w:hint="default" w:ascii="Times New Roman" w:hAnsi="Times New Roman" w:eastAsia="宋体" w:cs="Times New Roman"/>
                <w:b w:val="0"/>
                <w:bCs w:val="0"/>
                <w:color w:val="000000" w:themeColor="text1"/>
                <w:sz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w:t>
            </w:r>
          </w:p>
          <w:p w14:paraId="2E6A46D1">
            <w:pPr>
              <w:keepNext w:val="0"/>
              <w:keepLines w:val="0"/>
              <w:pageBreakBefore w:val="0"/>
              <w:widowControl w:val="0"/>
              <w:kinsoku/>
              <w:wordWrap/>
              <w:overflowPunct/>
              <w:topLinePunct w:val="0"/>
              <w:autoSpaceDE/>
              <w:autoSpaceDN/>
              <w:bidi w:val="0"/>
              <w:adjustRightInd/>
              <w:snapToGrid w:val="0"/>
              <w:spacing w:line="240" w:lineRule="auto"/>
              <w:ind w:firstLine="482" w:firstLineChars="200"/>
              <w:jc w:val="center"/>
              <w:textAlignment w:val="auto"/>
              <w:rPr>
                <w:rFonts w:hint="default" w:ascii="Times New Roman" w:hAnsi="Times New Roman" w:eastAsia="仿宋" w:cs="Times New Roman"/>
                <w:color w:val="000000" w:themeColor="text1"/>
                <w:sz w:val="24"/>
                <w:highlight w:val="none"/>
                <w14:textFill>
                  <w14:solidFill>
                    <w14:schemeClr w14:val="tx1"/>
                  </w14:solidFill>
                </w14:textFill>
              </w:rPr>
            </w:pPr>
            <w:r>
              <w:rPr>
                <w:rFonts w:hint="default" w:ascii="Times New Roman" w:hAnsi="Times New Roman" w:eastAsia="宋体" w:cs="Times New Roman"/>
                <w:b/>
                <w:bCs/>
                <w:color w:val="000000" w:themeColor="text1"/>
                <w:kern w:val="2"/>
                <w:sz w:val="24"/>
                <w:szCs w:val="24"/>
                <w:highlight w:val="none"/>
                <w14:textFill>
                  <w14:solidFill>
                    <w14:schemeClr w14:val="tx1"/>
                  </w14:solidFill>
                </w14:textFill>
              </w:rPr>
              <w:t>表</w:t>
            </w:r>
            <w:r>
              <w:rPr>
                <w:rFonts w:hint="default" w:ascii="Times New Roman" w:hAnsi="Times New Roman" w:eastAsia="宋体" w:cs="Times New Roman"/>
                <w:b/>
                <w:bCs/>
                <w:color w:val="000000" w:themeColor="text1"/>
                <w:kern w:val="2"/>
                <w:sz w:val="24"/>
                <w:szCs w:val="24"/>
                <w:highlight w:val="none"/>
                <w:lang w:val="en-US" w:eastAsia="zh-CN"/>
                <w14:textFill>
                  <w14:solidFill>
                    <w14:schemeClr w14:val="tx1"/>
                  </w14:solidFill>
                </w14:textFill>
              </w:rPr>
              <w:t>4-6</w:t>
            </w:r>
            <w:r>
              <w:rPr>
                <w:rFonts w:hint="default" w:ascii="Times New Roman" w:hAnsi="Times New Roman" w:cs="Times New Roman"/>
                <w:b/>
                <w:bCs/>
                <w:color w:val="000000" w:themeColor="text1"/>
                <w:kern w:val="2"/>
                <w:sz w:val="24"/>
                <w:szCs w:val="24"/>
                <w:highlight w:val="none"/>
                <w:lang w:val="en-US" w:eastAsia="zh-CN"/>
                <w14:textFill>
                  <w14:solidFill>
                    <w14:schemeClr w14:val="tx1"/>
                  </w14:solidFill>
                </w14:textFill>
              </w:rPr>
              <w:t>废气</w:t>
            </w:r>
            <w:r>
              <w:rPr>
                <w:rFonts w:hint="default" w:ascii="Times New Roman" w:hAnsi="Times New Roman" w:cs="Times New Roman"/>
                <w:b/>
                <w:bCs/>
                <w:color w:val="000000" w:themeColor="text1"/>
                <w:kern w:val="2"/>
                <w:sz w:val="24"/>
                <w:szCs w:val="24"/>
                <w:highlight w:val="none"/>
                <w14:textFill>
                  <w14:solidFill>
                    <w14:schemeClr w14:val="tx1"/>
                  </w14:solidFill>
                </w14:textFill>
              </w:rPr>
              <w:t>粉尘产排情况一览表</w:t>
            </w:r>
          </w:p>
          <w:tbl>
            <w:tblPr>
              <w:tblStyle w:val="24"/>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626"/>
              <w:gridCol w:w="923"/>
              <w:gridCol w:w="817"/>
              <w:gridCol w:w="1015"/>
              <w:gridCol w:w="1007"/>
              <w:gridCol w:w="809"/>
              <w:gridCol w:w="1164"/>
              <w:gridCol w:w="699"/>
              <w:gridCol w:w="880"/>
            </w:tblGrid>
            <w:tr w14:paraId="1655D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2" w:hRule="atLeast"/>
              </w:trPr>
              <w:tc>
                <w:tcPr>
                  <w:tcW w:w="394" w:type="pct"/>
                  <w:vMerge w:val="restart"/>
                  <w:noWrap w:val="0"/>
                  <w:vAlign w:val="center"/>
                </w:tcPr>
                <w:p w14:paraId="091A9DA0">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装置</w:t>
                  </w:r>
                </w:p>
              </w:tc>
              <w:tc>
                <w:tcPr>
                  <w:tcW w:w="581" w:type="pct"/>
                  <w:vMerge w:val="restart"/>
                  <w:noWrap w:val="0"/>
                  <w:vAlign w:val="center"/>
                </w:tcPr>
                <w:p w14:paraId="5254770E">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污染源</w:t>
                  </w:r>
                </w:p>
              </w:tc>
              <w:tc>
                <w:tcPr>
                  <w:tcW w:w="514" w:type="pct"/>
                  <w:vMerge w:val="restart"/>
                  <w:noWrap w:val="0"/>
                  <w:vAlign w:val="center"/>
                </w:tcPr>
                <w:p w14:paraId="157658FC">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污染物</w:t>
                  </w:r>
                </w:p>
              </w:tc>
              <w:tc>
                <w:tcPr>
                  <w:tcW w:w="639" w:type="pct"/>
                  <w:vMerge w:val="restart"/>
                  <w:noWrap w:val="0"/>
                  <w:vAlign w:val="center"/>
                </w:tcPr>
                <w:p w14:paraId="2D2FBEA4">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风机</w:t>
                  </w:r>
                </w:p>
                <w:p w14:paraId="484467B4">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风量</w:t>
                  </w:r>
                </w:p>
                <w:p w14:paraId="11DCC362">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eastAsia" w:ascii="Times New Roman" w:hAnsi="Times New Roman" w:cs="Times New Roman"/>
                      <w:b w:val="0"/>
                      <w:bCs w:val="0"/>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m</w:t>
                  </w:r>
                  <w:r>
                    <w:rPr>
                      <w:rFonts w:hint="default" w:ascii="Times New Roman" w:hAnsi="Times New Roman" w:eastAsia="宋体" w:cs="Times New Roman"/>
                      <w:b w:val="0"/>
                      <w:bCs w:val="0"/>
                      <w:color w:val="000000" w:themeColor="text1"/>
                      <w:sz w:val="21"/>
                      <w:szCs w:val="21"/>
                      <w:highlight w:val="none"/>
                      <w:vertAlign w:val="superscript"/>
                      <w:lang w:eastAsia="zh-CN"/>
                      <w14:textFill>
                        <w14:solidFill>
                          <w14:schemeClr w14:val="tx1"/>
                        </w14:solidFill>
                      </w14:textFill>
                    </w:rPr>
                    <w:t>3</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/h</w:t>
                  </w:r>
                  <w:r>
                    <w:rPr>
                      <w:rFonts w:hint="eastAsia" w:ascii="Times New Roman" w:hAnsi="Times New Roman" w:cs="Times New Roman"/>
                      <w:b w:val="0"/>
                      <w:bCs w:val="0"/>
                      <w:color w:val="000000" w:themeColor="text1"/>
                      <w:sz w:val="21"/>
                      <w:szCs w:val="21"/>
                      <w:highlight w:val="none"/>
                      <w:lang w:eastAsia="zh-CN"/>
                      <w14:textFill>
                        <w14:solidFill>
                          <w14:schemeClr w14:val="tx1"/>
                        </w14:solidFill>
                      </w14:textFill>
                    </w:rPr>
                    <w:t>)</w:t>
                  </w:r>
                </w:p>
              </w:tc>
              <w:tc>
                <w:tcPr>
                  <w:tcW w:w="634" w:type="pct"/>
                  <w:vMerge w:val="restart"/>
                  <w:noWrap w:val="0"/>
                  <w:vAlign w:val="center"/>
                </w:tcPr>
                <w:p w14:paraId="1C0F1AB5">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污染物</w:t>
                  </w:r>
                </w:p>
                <w:p w14:paraId="1EB8AB79">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产生</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量</w:t>
                  </w:r>
                </w:p>
                <w:p w14:paraId="209C3B64">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eastAsia" w:ascii="Times New Roman" w:hAnsi="Times New Roman" w:cs="Times New Roman"/>
                      <w:b w:val="0"/>
                      <w:bCs w:val="0"/>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t</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a</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w:t>
                  </w:r>
                </w:p>
              </w:tc>
              <w:tc>
                <w:tcPr>
                  <w:tcW w:w="506" w:type="pct"/>
                  <w:vMerge w:val="restart"/>
                  <w:noWrap w:val="0"/>
                  <w:vAlign w:val="center"/>
                </w:tcPr>
                <w:p w14:paraId="0C23E24E">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处理</w:t>
                  </w:r>
                </w:p>
                <w:p w14:paraId="5953C2E0">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效率</w:t>
                  </w:r>
                </w:p>
                <w:p w14:paraId="4BA17A4E">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w:t>
                  </w:r>
                </w:p>
              </w:tc>
              <w:tc>
                <w:tcPr>
                  <w:tcW w:w="1173" w:type="pct"/>
                  <w:gridSpan w:val="2"/>
                  <w:noWrap w:val="0"/>
                  <w:vAlign w:val="center"/>
                </w:tcPr>
                <w:p w14:paraId="57583565">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污染物排放</w:t>
                  </w:r>
                </w:p>
              </w:tc>
              <w:tc>
                <w:tcPr>
                  <w:tcW w:w="554" w:type="pct"/>
                  <w:vMerge w:val="restart"/>
                  <w:noWrap w:val="0"/>
                  <w:vAlign w:val="center"/>
                </w:tcPr>
                <w:p w14:paraId="669FF634">
                  <w:pPr>
                    <w:pStyle w:val="85"/>
                    <w:kinsoku w:val="0"/>
                    <w:overflowPunct w:val="0"/>
                    <w:snapToGrid w:val="0"/>
                    <w:jc w:val="cente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排气</w:t>
                  </w:r>
                  <w:r>
                    <w:rPr>
                      <w:rFonts w:hint="eastAsia" w:cs="Times New Roman"/>
                      <w:color w:val="000000" w:themeColor="text1"/>
                      <w:sz w:val="24"/>
                      <w:szCs w:val="24"/>
                      <w:highlight w:val="none"/>
                      <w:lang w:val="en-US" w:eastAsia="zh-CN"/>
                      <w14:textFill>
                        <w14:solidFill>
                          <w14:schemeClr w14:val="tx1"/>
                        </w14:solidFill>
                      </w14:textFill>
                    </w:rPr>
                    <w:t>口</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高度</w:t>
                  </w:r>
                </w:p>
                <w:p w14:paraId="1CC598D1">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(m)</w:t>
                  </w:r>
                </w:p>
              </w:tc>
            </w:tr>
            <w:tr w14:paraId="22544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19" w:hRule="atLeast"/>
              </w:trPr>
              <w:tc>
                <w:tcPr>
                  <w:tcW w:w="394" w:type="pct"/>
                  <w:vMerge w:val="continue"/>
                  <w:noWrap w:val="0"/>
                  <w:vAlign w:val="center"/>
                </w:tcPr>
                <w:p w14:paraId="33DE470C">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581" w:type="pct"/>
                  <w:vMerge w:val="continue"/>
                  <w:noWrap w:val="0"/>
                  <w:vAlign w:val="center"/>
                </w:tcPr>
                <w:p w14:paraId="6D054B1D">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514" w:type="pct"/>
                  <w:vMerge w:val="continue"/>
                  <w:noWrap w:val="0"/>
                  <w:vAlign w:val="center"/>
                </w:tcPr>
                <w:p w14:paraId="1E1DEF0C">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639" w:type="pct"/>
                  <w:vMerge w:val="continue"/>
                  <w:noWrap w:val="0"/>
                  <w:vAlign w:val="center"/>
                </w:tcPr>
                <w:p w14:paraId="14BE9130">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634" w:type="pct"/>
                  <w:vMerge w:val="continue"/>
                  <w:noWrap w:val="0"/>
                  <w:vAlign w:val="center"/>
                </w:tcPr>
                <w:p w14:paraId="681192FD">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506" w:type="pct"/>
                  <w:vMerge w:val="continue"/>
                  <w:noWrap w:val="0"/>
                  <w:vAlign w:val="center"/>
                </w:tcPr>
                <w:p w14:paraId="7558857F">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733" w:type="pct"/>
                  <w:noWrap w:val="0"/>
                  <w:vAlign w:val="center"/>
                </w:tcPr>
                <w:p w14:paraId="128F4A74">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排放浓度</w:t>
                  </w:r>
                </w:p>
                <w:p w14:paraId="4705A37B">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eastAsia" w:ascii="Times New Roman" w:hAnsi="Times New Roman" w:cs="Times New Roman"/>
                      <w:b w:val="0"/>
                      <w:bCs w:val="0"/>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mg/</w:t>
                  </w: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m</w:t>
                  </w:r>
                  <w:r>
                    <w:rPr>
                      <w:rFonts w:hint="default" w:ascii="Times New Roman" w:hAnsi="Times New Roman" w:eastAsia="宋体" w:cs="Times New Roman"/>
                      <w:b w:val="0"/>
                      <w:bCs w:val="0"/>
                      <w:color w:val="000000" w:themeColor="text1"/>
                      <w:sz w:val="21"/>
                      <w:szCs w:val="21"/>
                      <w:highlight w:val="none"/>
                      <w:vertAlign w:val="superscript"/>
                      <w:lang w:eastAsia="zh-CN"/>
                      <w14:textFill>
                        <w14:solidFill>
                          <w14:schemeClr w14:val="tx1"/>
                        </w14:solidFill>
                      </w14:textFill>
                    </w:rPr>
                    <w:t>3</w:t>
                  </w:r>
                  <w:r>
                    <w:rPr>
                      <w:rFonts w:hint="eastAsia" w:ascii="Times New Roman" w:hAnsi="Times New Roman" w:cs="Times New Roman"/>
                      <w:b w:val="0"/>
                      <w:bCs w:val="0"/>
                      <w:color w:val="000000" w:themeColor="text1"/>
                      <w:sz w:val="21"/>
                      <w:szCs w:val="21"/>
                      <w:highlight w:val="none"/>
                      <w:vertAlign w:val="baseline"/>
                      <w:lang w:eastAsia="zh-CN"/>
                      <w14:textFill>
                        <w14:solidFill>
                          <w14:schemeClr w14:val="tx1"/>
                        </w14:solidFill>
                      </w14:textFill>
                    </w:rPr>
                    <w:t>)</w:t>
                  </w:r>
                </w:p>
              </w:tc>
              <w:tc>
                <w:tcPr>
                  <w:tcW w:w="440" w:type="pct"/>
                  <w:noWrap w:val="0"/>
                  <w:vAlign w:val="center"/>
                </w:tcPr>
                <w:p w14:paraId="08721BDD">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排放量</w:t>
                  </w:r>
                </w:p>
                <w:p w14:paraId="62808D7A">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eastAsia" w:ascii="Times New Roman" w:hAnsi="Times New Roman" w:cs="Times New Roman"/>
                      <w:b w:val="0"/>
                      <w:bCs w:val="0"/>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t</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a</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w:t>
                  </w:r>
                </w:p>
              </w:tc>
              <w:tc>
                <w:tcPr>
                  <w:tcW w:w="554" w:type="pct"/>
                  <w:vMerge w:val="continue"/>
                  <w:noWrap w:val="0"/>
                  <w:vAlign w:val="center"/>
                </w:tcPr>
                <w:p w14:paraId="3BDDE712">
                  <w:pPr>
                    <w:pStyle w:val="85"/>
                    <w:kinsoku w:val="0"/>
                    <w:overflowPunct w:val="0"/>
                    <w:snapToGrid w:val="0"/>
                    <w:jc w:val="center"/>
                    <w:rPr>
                      <w:rFonts w:hint="eastAsia" w:ascii="Times New Roman" w:hAnsi="Times New Roman" w:cs="Times New Roman"/>
                      <w:b w:val="0"/>
                      <w:bCs w:val="0"/>
                      <w:color w:val="000000" w:themeColor="text1"/>
                      <w:sz w:val="21"/>
                      <w:szCs w:val="21"/>
                      <w:highlight w:val="none"/>
                      <w:lang w:eastAsia="zh-CN"/>
                      <w14:textFill>
                        <w14:solidFill>
                          <w14:schemeClr w14:val="tx1"/>
                        </w14:solidFill>
                      </w14:textFill>
                    </w:rPr>
                  </w:pPr>
                </w:p>
              </w:tc>
            </w:tr>
            <w:tr w14:paraId="1261A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trPr>
              <w:tc>
                <w:tcPr>
                  <w:tcW w:w="394" w:type="pct"/>
                  <w:noWrap w:val="0"/>
                  <w:vAlign w:val="center"/>
                </w:tcPr>
                <w:p w14:paraId="5B5B56CE">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lang w:val="en-US"/>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粉磨</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机</w:t>
                  </w:r>
                </w:p>
              </w:tc>
              <w:tc>
                <w:tcPr>
                  <w:tcW w:w="581" w:type="pct"/>
                  <w:noWrap w:val="0"/>
                  <w:vAlign w:val="center"/>
                </w:tcPr>
                <w:p w14:paraId="5D3F2085">
                  <w:pPr>
                    <w:kinsoku w:val="0"/>
                    <w:overflowPunct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DA00</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8</w:t>
                  </w:r>
                </w:p>
              </w:tc>
              <w:tc>
                <w:tcPr>
                  <w:tcW w:w="514" w:type="pct"/>
                  <w:noWrap w:val="0"/>
                  <w:vAlign w:val="center"/>
                </w:tcPr>
                <w:p w14:paraId="33B03FD0">
                  <w:pPr>
                    <w:pStyle w:val="85"/>
                    <w:kinsoku w:val="0"/>
                    <w:overflowPunct w:val="0"/>
                    <w:snapToGrid w:val="0"/>
                    <w:ind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颗粒物</w:t>
                  </w:r>
                </w:p>
              </w:tc>
              <w:tc>
                <w:tcPr>
                  <w:tcW w:w="639" w:type="pct"/>
                  <w:noWrap w:val="0"/>
                  <w:vAlign w:val="center"/>
                </w:tcPr>
                <w:p w14:paraId="67DF9AAA">
                  <w:pPr>
                    <w:pStyle w:val="85"/>
                    <w:kinsoku w:val="0"/>
                    <w:overflowPunct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115</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00</w:t>
                  </w:r>
                </w:p>
              </w:tc>
              <w:tc>
                <w:tcPr>
                  <w:tcW w:w="634" w:type="pct"/>
                  <w:noWrap w:val="0"/>
                  <w:vAlign w:val="center"/>
                </w:tcPr>
                <w:p w14:paraId="2D002EEB">
                  <w:pPr>
                    <w:pStyle w:val="85"/>
                    <w:kinsoku w:val="0"/>
                    <w:overflowPunct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238</w:t>
                  </w:r>
                </w:p>
              </w:tc>
              <w:tc>
                <w:tcPr>
                  <w:tcW w:w="506" w:type="pct"/>
                  <w:noWrap w:val="0"/>
                  <w:vAlign w:val="center"/>
                </w:tcPr>
                <w:p w14:paraId="34DF6F2B">
                  <w:pPr>
                    <w:pStyle w:val="85"/>
                    <w:kinsoku w:val="0"/>
                    <w:overflowPunct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99</w:t>
                  </w:r>
                </w:p>
              </w:tc>
              <w:tc>
                <w:tcPr>
                  <w:tcW w:w="733" w:type="pct"/>
                  <w:noWrap w:val="0"/>
                  <w:vAlign w:val="center"/>
                </w:tcPr>
                <w:p w14:paraId="47AE02E0">
                  <w:pPr>
                    <w:keepNext w:val="0"/>
                    <w:keepLines w:val="0"/>
                    <w:widowControl/>
                    <w:suppressLineNumbers w:val="0"/>
                    <w:jc w:val="center"/>
                    <w:textAlignment w:val="cente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color w:val="000000" w:themeColor="text1"/>
                      <w:kern w:val="0"/>
                      <w:sz w:val="21"/>
                      <w:szCs w:val="21"/>
                      <w:highlight w:val="none"/>
                      <w:u w:val="none"/>
                      <w:lang w:val="en-US" w:eastAsia="zh-CN" w:bidi="ar"/>
                      <w14:textFill>
                        <w14:solidFill>
                          <w14:schemeClr w14:val="tx1"/>
                        </w14:solidFill>
                      </w14:textFill>
                    </w:rPr>
                    <w:t>4.31</w:t>
                  </w:r>
                </w:p>
              </w:tc>
              <w:tc>
                <w:tcPr>
                  <w:tcW w:w="440" w:type="pct"/>
                  <w:noWrap w:val="0"/>
                  <w:vAlign w:val="center"/>
                </w:tcPr>
                <w:p w14:paraId="6786AEBB">
                  <w:pPr>
                    <w:keepNext w:val="0"/>
                    <w:keepLines w:val="0"/>
                    <w:widowControl/>
                    <w:suppressLineNumbers w:val="0"/>
                    <w:jc w:val="center"/>
                    <w:textAlignment w:val="cente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cs="Times New Roman"/>
                      <w:i w:val="0"/>
                      <w:color w:val="000000" w:themeColor="text1"/>
                      <w:kern w:val="0"/>
                      <w:sz w:val="21"/>
                      <w:szCs w:val="21"/>
                      <w:highlight w:val="none"/>
                      <w:u w:val="none"/>
                      <w:lang w:val="en-US" w:eastAsia="zh-CN" w:bidi="ar"/>
                      <w14:textFill>
                        <w14:solidFill>
                          <w14:schemeClr w14:val="tx1"/>
                        </w14:solidFill>
                      </w14:textFill>
                    </w:rPr>
                    <w:t>2.38</w:t>
                  </w:r>
                </w:p>
              </w:tc>
              <w:tc>
                <w:tcPr>
                  <w:tcW w:w="554" w:type="pct"/>
                  <w:noWrap w:val="0"/>
                  <w:vAlign w:val="center"/>
                </w:tcPr>
                <w:p w14:paraId="7B7F67F7">
                  <w:pPr>
                    <w:keepNext w:val="0"/>
                    <w:keepLines w:val="0"/>
                    <w:widowControl/>
                    <w:suppressLineNumbers w:val="0"/>
                    <w:jc w:val="center"/>
                    <w:textAlignment w:val="center"/>
                    <w:rPr>
                      <w:rFonts w:hint="default" w:ascii="Times New Roman" w:hAnsi="Times New Roman" w:cs="Times New Roman"/>
                      <w:i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color w:val="000000" w:themeColor="text1"/>
                      <w:kern w:val="0"/>
                      <w:sz w:val="21"/>
                      <w:szCs w:val="21"/>
                      <w:highlight w:val="none"/>
                      <w:u w:val="none"/>
                      <w:lang w:val="en-US" w:eastAsia="zh-CN" w:bidi="ar"/>
                      <w14:textFill>
                        <w14:solidFill>
                          <w14:schemeClr w14:val="tx1"/>
                        </w14:solidFill>
                      </w14:textFill>
                    </w:rPr>
                    <w:t>30</w:t>
                  </w:r>
                </w:p>
              </w:tc>
            </w:tr>
            <w:tr w14:paraId="5CE71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5" w:hRule="atLeast"/>
              </w:trPr>
              <w:tc>
                <w:tcPr>
                  <w:tcW w:w="3271" w:type="pct"/>
                  <w:gridSpan w:val="6"/>
                  <w:noWrap w:val="0"/>
                  <w:vAlign w:val="center"/>
                </w:tcPr>
                <w:p w14:paraId="00B43D90">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排放</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限值</w:t>
                  </w:r>
                </w:p>
              </w:tc>
              <w:tc>
                <w:tcPr>
                  <w:tcW w:w="733" w:type="pct"/>
                  <w:noWrap w:val="0"/>
                  <w:vAlign w:val="center"/>
                </w:tcPr>
                <w:p w14:paraId="0E202B45">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20</w:t>
                  </w:r>
                </w:p>
              </w:tc>
              <w:tc>
                <w:tcPr>
                  <w:tcW w:w="440" w:type="pct"/>
                  <w:noWrap w:val="0"/>
                  <w:vAlign w:val="center"/>
                </w:tcPr>
                <w:p w14:paraId="2EDD7A21">
                  <w:pPr>
                    <w:pStyle w:val="85"/>
                    <w:kinsoku w:val="0"/>
                    <w:overflowPunct w:val="0"/>
                    <w:snapToGrid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554" w:type="pct"/>
                  <w:noWrap w:val="0"/>
                  <w:vAlign w:val="center"/>
                </w:tcPr>
                <w:p w14:paraId="40586F26">
                  <w:pPr>
                    <w:pStyle w:val="85"/>
                    <w:kinsoku w:val="0"/>
                    <w:overflowPunct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p>
              </w:tc>
            </w:tr>
            <w:tr w14:paraId="71CF2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5" w:hRule="atLeast"/>
              </w:trPr>
              <w:tc>
                <w:tcPr>
                  <w:tcW w:w="3271" w:type="pct"/>
                  <w:gridSpan w:val="6"/>
                  <w:noWrap w:val="0"/>
                  <w:vAlign w:val="center"/>
                </w:tcPr>
                <w:p w14:paraId="317EE754">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达标情况</w:t>
                  </w:r>
                </w:p>
              </w:tc>
              <w:tc>
                <w:tcPr>
                  <w:tcW w:w="733" w:type="pct"/>
                  <w:noWrap w:val="0"/>
                  <w:vAlign w:val="center"/>
                </w:tcPr>
                <w:p w14:paraId="16C99736">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达标</w:t>
                  </w:r>
                </w:p>
              </w:tc>
              <w:tc>
                <w:tcPr>
                  <w:tcW w:w="440" w:type="pct"/>
                  <w:noWrap w:val="0"/>
                  <w:vAlign w:val="center"/>
                </w:tcPr>
                <w:p w14:paraId="3CE38457">
                  <w:pPr>
                    <w:pStyle w:val="85"/>
                    <w:kinsoku w:val="0"/>
                    <w:overflowPunct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p>
              </w:tc>
              <w:tc>
                <w:tcPr>
                  <w:tcW w:w="554" w:type="pct"/>
                  <w:noWrap w:val="0"/>
                  <w:vAlign w:val="center"/>
                </w:tcPr>
                <w:p w14:paraId="1B7D9E9D">
                  <w:pPr>
                    <w:pStyle w:val="85"/>
                    <w:kinsoku w:val="0"/>
                    <w:overflowPunct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p>
              </w:tc>
            </w:tr>
          </w:tbl>
          <w:p w14:paraId="45904FF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t>7</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）成品输送</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储存</w:t>
            </w:r>
            <w:r>
              <w:rPr>
                <w:rFonts w:hint="default" w:ascii="Times New Roman" w:hAnsi="Times New Roman" w:cs="Times New Roman"/>
                <w:b w:val="0"/>
                <w:bCs w:val="0"/>
                <w:color w:val="000000" w:themeColor="text1"/>
                <w:sz w:val="24"/>
                <w:highlight w:val="none"/>
                <w:lang w:val="en-US" w:eastAsia="zh-CN"/>
                <w14:textFill>
                  <w14:solidFill>
                    <w14:schemeClr w14:val="tx1"/>
                  </w14:solidFill>
                </w14:textFill>
              </w:rPr>
              <w:t>废气</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（G1-</w:t>
            </w:r>
            <w:r>
              <w:rPr>
                <w:rFonts w:hint="default" w:ascii="Times New Roman" w:hAnsi="Times New Roman" w:cs="Times New Roman"/>
                <w:b w:val="0"/>
                <w:bCs w:val="0"/>
                <w:color w:val="000000" w:themeColor="text1"/>
                <w:sz w:val="24"/>
                <w:highlight w:val="none"/>
                <w:lang w:val="en-US" w:eastAsia="zh-CN"/>
                <w14:textFill>
                  <w14:solidFill>
                    <w14:schemeClr w14:val="tx1"/>
                  </w14:solidFill>
                </w14:textFill>
              </w:rPr>
              <w:t>10</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、G1-</w:t>
            </w:r>
            <w:r>
              <w:rPr>
                <w:rFonts w:hint="default" w:ascii="Times New Roman" w:hAnsi="Times New Roman" w:cs="Times New Roman"/>
                <w:b w:val="0"/>
                <w:bCs w:val="0"/>
                <w:color w:val="000000" w:themeColor="text1"/>
                <w:sz w:val="24"/>
                <w:highlight w:val="none"/>
                <w:lang w:val="en-US" w:eastAsia="zh-CN"/>
                <w14:textFill>
                  <w14:solidFill>
                    <w14:schemeClr w14:val="tx1"/>
                  </w14:solidFill>
                </w14:textFill>
              </w:rPr>
              <w:t>11</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、G1-</w:t>
            </w:r>
            <w:r>
              <w:rPr>
                <w:rFonts w:hint="default" w:ascii="Times New Roman" w:hAnsi="Times New Roman" w:cs="Times New Roman"/>
                <w:b w:val="0"/>
                <w:bCs w:val="0"/>
                <w:color w:val="000000" w:themeColor="text1"/>
                <w:sz w:val="24"/>
                <w:highlight w:val="none"/>
                <w:lang w:val="en-US" w:eastAsia="zh-CN"/>
                <w14:textFill>
                  <w14:solidFill>
                    <w14:schemeClr w14:val="tx1"/>
                  </w14:solidFill>
                </w14:textFill>
              </w:rPr>
              <w:t>12</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和不合格品（黄料）输送</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储存</w:t>
            </w:r>
            <w:r>
              <w:rPr>
                <w:rFonts w:hint="default" w:ascii="Times New Roman" w:hAnsi="Times New Roman" w:cs="Times New Roman"/>
                <w:b w:val="0"/>
                <w:bCs w:val="0"/>
                <w:color w:val="000000" w:themeColor="text1"/>
                <w:sz w:val="24"/>
                <w:highlight w:val="none"/>
                <w:lang w:val="en-US" w:eastAsia="zh-CN"/>
                <w14:textFill>
                  <w14:solidFill>
                    <w14:schemeClr w14:val="tx1"/>
                  </w14:solidFill>
                </w14:textFill>
              </w:rPr>
              <w:t>废气</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（G1-</w:t>
            </w:r>
            <w:r>
              <w:rPr>
                <w:rFonts w:hint="default" w:ascii="Times New Roman" w:hAnsi="Times New Roman" w:cs="Times New Roman"/>
                <w:b w:val="0"/>
                <w:bCs w:val="0"/>
                <w:color w:val="000000" w:themeColor="text1"/>
                <w:sz w:val="24"/>
                <w:highlight w:val="none"/>
                <w:lang w:val="en-US" w:eastAsia="zh-CN"/>
                <w14:textFill>
                  <w14:solidFill>
                    <w14:schemeClr w14:val="tx1"/>
                  </w14:solidFill>
                </w14:textFill>
              </w:rPr>
              <w:t>9</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w:t>
            </w:r>
          </w:p>
          <w:p w14:paraId="27F209F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成品输送</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存储</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粉尘</w:t>
            </w:r>
            <w:r>
              <w:rPr>
                <w:rFonts w:hint="eastAsia" w:cs="Times New Roman"/>
                <w:color w:val="000000" w:themeColor="text1"/>
                <w:sz w:val="24"/>
                <w:highlight w:val="none"/>
                <w:lang w:val="en-US" w:eastAsia="zh-CN"/>
                <w14:textFill>
                  <w14:solidFill>
                    <w14:schemeClr w14:val="tx1"/>
                  </w14:solidFill>
                </w14:textFill>
              </w:rPr>
              <w:t>和不合格品存储粉尘</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参照《3021、3022、3029水泥制品制造行业系数手册（含3022砼结构构件、3029其他水泥类似制品制造）行业》中混凝土制品</w:t>
            </w:r>
            <w:r>
              <w:rPr>
                <w:rFonts w:hint="eastAsia" w:cs="Times New Roman"/>
                <w:color w:val="000000" w:themeColor="text1"/>
                <w:sz w:val="24"/>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的物料输送储存源强产污系数为0.12kg/t-产品，本项目输送皮带封闭处理，合计颗粒物产生量24t/a。粉尘配置1台袋式除尘器，除尘器风量为1000</w:t>
            </w:r>
            <w:r>
              <w:rPr>
                <w:rFonts w:hint="eastAsia" w:cs="Times New Roman"/>
                <w:color w:val="000000" w:themeColor="text1"/>
                <w:sz w:val="24"/>
                <w:highlight w:val="none"/>
                <w:lang w:val="en-US" w:eastAsia="zh-CN"/>
                <w14:textFill>
                  <w14:solidFill>
                    <w14:schemeClr w14:val="tx1"/>
                  </w14:solidFill>
                </w14:textFill>
              </w:rPr>
              <w:t>0</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Nm</w:t>
            </w:r>
            <w:r>
              <w:rPr>
                <w:rFonts w:hint="default" w:ascii="Times New Roman" w:hAnsi="Times New Roman" w:eastAsia="宋体" w:cs="Times New Roman"/>
                <w:color w:val="000000" w:themeColor="text1"/>
                <w:sz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/h，除尘效率为99%，年运行时间为2400h。大、小包装工序设置集气罩收集，排气进入成品库库顶除尘装置，由成品料顶的3个收尘器排气筒排出。</w:t>
            </w:r>
          </w:p>
          <w:p w14:paraId="6395945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cs="Times New Roman"/>
                <w:color w:val="000000" w:themeColor="text1"/>
                <w:sz w:val="24"/>
                <w:highlight w:val="none"/>
                <w:lang w:val="en-US" w:eastAsia="zh-CN"/>
                <w14:textFill>
                  <w14:solidFill>
                    <w14:schemeClr w14:val="tx1"/>
                  </w14:solidFill>
                </w14:textFill>
              </w:rPr>
              <w:t>2个</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成品筒仓</w:t>
            </w:r>
            <w:r>
              <w:rPr>
                <w:rFonts w:hint="default" w:ascii="Times New Roman" w:hAnsi="Times New Roman" w:cs="Times New Roman"/>
                <w:color w:val="000000" w:themeColor="text1"/>
                <w:sz w:val="24"/>
                <w:highlight w:val="none"/>
                <w:lang w:val="en-US" w:eastAsia="zh-CN"/>
                <w14:textFill>
                  <w14:solidFill>
                    <w14:schemeClr w14:val="tx1"/>
                  </w14:solidFill>
                </w14:textFill>
              </w:rPr>
              <w:t>1组，单独一个</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成品筒仓</w:t>
            </w:r>
            <w:r>
              <w:rPr>
                <w:rFonts w:hint="default" w:ascii="Times New Roman" w:hAnsi="Times New Roman" w:cs="Times New Roman"/>
                <w:color w:val="000000" w:themeColor="text1"/>
                <w:sz w:val="24"/>
                <w:highlight w:val="none"/>
                <w:lang w:val="en-US" w:eastAsia="zh-CN"/>
                <w14:textFill>
                  <w14:solidFill>
                    <w14:schemeClr w14:val="tx1"/>
                  </w14:solidFill>
                </w14:textFill>
              </w:rPr>
              <w:t>1组</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和2个黄料筒仓粉尘分别配置1台袋式除尘器，除尘器风量为10000Nm</w:t>
            </w:r>
            <w:r>
              <w:rPr>
                <w:rFonts w:hint="default" w:ascii="Times New Roman" w:hAnsi="Times New Roman" w:eastAsia="宋体" w:cs="Times New Roman"/>
                <w:color w:val="000000" w:themeColor="text1"/>
                <w:sz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/h，除尘效率为99%，年运行时间为2400h。</w:t>
            </w:r>
          </w:p>
          <w:p w14:paraId="675B135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cs="Times New Roman"/>
                <w:color w:val="000000" w:themeColor="text1"/>
                <w:sz w:val="24"/>
                <w:highlight w:val="none"/>
                <w:lang w:val="en-US" w:eastAsia="zh-CN"/>
                <w14:textFill>
                  <w14:solidFill>
                    <w14:schemeClr w14:val="tx1"/>
                  </w14:solidFill>
                </w14:textFill>
              </w:rPr>
              <w:t>2个</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成品筒仓</w:t>
            </w:r>
            <w:r>
              <w:rPr>
                <w:rFonts w:hint="default" w:ascii="Times New Roman" w:hAnsi="Times New Roman" w:cs="Times New Roman"/>
                <w:color w:val="000000" w:themeColor="text1"/>
                <w:sz w:val="24"/>
                <w:highlight w:val="none"/>
                <w:lang w:val="en-US" w:eastAsia="zh-CN"/>
                <w14:textFill>
                  <w14:solidFill>
                    <w14:schemeClr w14:val="tx1"/>
                  </w14:solidFill>
                </w14:textFill>
              </w:rPr>
              <w:t>1组，单独一个</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成品筒仓</w:t>
            </w:r>
            <w:r>
              <w:rPr>
                <w:rFonts w:hint="default" w:ascii="Times New Roman" w:hAnsi="Times New Roman" w:cs="Times New Roman"/>
                <w:color w:val="000000" w:themeColor="text1"/>
                <w:sz w:val="24"/>
                <w:highlight w:val="none"/>
                <w:lang w:val="en-US" w:eastAsia="zh-CN"/>
                <w14:textFill>
                  <w14:solidFill>
                    <w14:schemeClr w14:val="tx1"/>
                  </w14:solidFill>
                </w14:textFill>
              </w:rPr>
              <w:t>1组</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和2个黄料筒仓粉尘中颗粒物产生量为</w:t>
            </w:r>
            <w:r>
              <w:rPr>
                <w:rFonts w:hint="default" w:ascii="Times New Roman" w:hAnsi="Times New Roman" w:cs="Times New Roman"/>
                <w:color w:val="000000" w:themeColor="text1"/>
                <w:sz w:val="24"/>
                <w:highlight w:val="none"/>
                <w:lang w:val="en-US" w:eastAsia="zh-CN"/>
                <w14:textFill>
                  <w14:solidFill>
                    <w14:schemeClr w14:val="tx1"/>
                  </w14:solidFill>
                </w14:textFill>
              </w:rPr>
              <w:t>19.2</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t/a和</w:t>
            </w:r>
            <w:r>
              <w:rPr>
                <w:rFonts w:hint="eastAsia" w:cs="Times New Roman"/>
                <w:color w:val="000000" w:themeColor="text1"/>
                <w:sz w:val="24"/>
                <w:highlight w:val="none"/>
                <w:lang w:val="en-US" w:eastAsia="zh-CN"/>
                <w14:textFill>
                  <w14:solidFill>
                    <w14:schemeClr w14:val="tx1"/>
                  </w14:solidFill>
                </w14:textFill>
              </w:rPr>
              <w:t>1.26</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t/a，袋式除尘器的除尘效率为99%，则排放量为0.</w:t>
            </w:r>
            <w:r>
              <w:rPr>
                <w:rFonts w:hint="default" w:ascii="Times New Roman" w:hAnsi="Times New Roman" w:cs="Times New Roman"/>
                <w:color w:val="000000" w:themeColor="text1"/>
                <w:sz w:val="24"/>
                <w:highlight w:val="none"/>
                <w:lang w:val="en-US" w:eastAsia="zh-CN"/>
                <w14:textFill>
                  <w14:solidFill>
                    <w14:schemeClr w14:val="tx1"/>
                  </w14:solidFill>
                </w14:textFill>
              </w:rPr>
              <w:t>096</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t/a</w:t>
            </w:r>
            <w:r>
              <w:rPr>
                <w:rFonts w:hint="default" w:ascii="Times New Roman" w:hAnsi="Times New Roman" w:cs="Times New Roman"/>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0.</w:t>
            </w:r>
            <w:r>
              <w:rPr>
                <w:rFonts w:hint="default" w:ascii="Times New Roman" w:hAnsi="Times New Roman" w:cs="Times New Roman"/>
                <w:color w:val="000000" w:themeColor="text1"/>
                <w:sz w:val="24"/>
                <w:highlight w:val="none"/>
                <w:lang w:val="en-US" w:eastAsia="zh-CN"/>
                <w14:textFill>
                  <w14:solidFill>
                    <w14:schemeClr w14:val="tx1"/>
                  </w14:solidFill>
                </w14:textFill>
              </w:rPr>
              <w:t>096</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t/a和0.0</w:t>
            </w:r>
            <w:r>
              <w:rPr>
                <w:rFonts w:hint="default" w:ascii="Times New Roman" w:hAnsi="Times New Roman" w:cs="Times New Roman"/>
                <w:color w:val="000000" w:themeColor="text1"/>
                <w:sz w:val="24"/>
                <w:highlight w:val="none"/>
                <w:lang w:val="en-US" w:eastAsia="zh-CN"/>
                <w14:textFill>
                  <w14:solidFill>
                    <w14:schemeClr w14:val="tx1"/>
                  </w14:solidFill>
                </w14:textFill>
              </w:rPr>
              <w:t>4</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t/a。</w:t>
            </w:r>
          </w:p>
          <w:p w14:paraId="55329A23">
            <w:pPr>
              <w:keepNext w:val="0"/>
              <w:keepLines w:val="0"/>
              <w:pageBreakBefore w:val="0"/>
              <w:widowControl w:val="0"/>
              <w:kinsoku/>
              <w:wordWrap/>
              <w:overflowPunct/>
              <w:topLinePunct w:val="0"/>
              <w:autoSpaceDE/>
              <w:autoSpaceDN/>
              <w:bidi w:val="0"/>
              <w:adjustRightInd/>
              <w:snapToGrid w:val="0"/>
              <w:spacing w:line="240" w:lineRule="auto"/>
              <w:ind w:firstLine="482" w:firstLineChars="200"/>
              <w:jc w:val="center"/>
              <w:textAlignment w:val="auto"/>
              <w:rPr>
                <w:rFonts w:hint="default" w:ascii="Times New Roman" w:hAnsi="Times New Roman" w:eastAsia="仿宋" w:cs="Times New Roman"/>
                <w:color w:val="000000" w:themeColor="text1"/>
                <w:sz w:val="24"/>
                <w:highlight w:val="none"/>
                <w14:textFill>
                  <w14:solidFill>
                    <w14:schemeClr w14:val="tx1"/>
                  </w14:solidFill>
                </w14:textFill>
              </w:rPr>
            </w:pPr>
            <w:r>
              <w:rPr>
                <w:rFonts w:hint="default" w:ascii="Times New Roman" w:hAnsi="Times New Roman" w:eastAsia="宋体" w:cs="Times New Roman"/>
                <w:b/>
                <w:bCs/>
                <w:color w:val="000000" w:themeColor="text1"/>
                <w:kern w:val="2"/>
                <w:sz w:val="24"/>
                <w:szCs w:val="24"/>
                <w:highlight w:val="none"/>
                <w14:textFill>
                  <w14:solidFill>
                    <w14:schemeClr w14:val="tx1"/>
                  </w14:solidFill>
                </w14:textFill>
              </w:rPr>
              <w:t>表</w:t>
            </w:r>
            <w:r>
              <w:rPr>
                <w:rFonts w:hint="default" w:ascii="Times New Roman" w:hAnsi="Times New Roman" w:eastAsia="宋体" w:cs="Times New Roman"/>
                <w:b/>
                <w:bCs/>
                <w:color w:val="000000" w:themeColor="text1"/>
                <w:kern w:val="2"/>
                <w:sz w:val="24"/>
                <w:szCs w:val="24"/>
                <w:highlight w:val="none"/>
                <w:lang w:val="en-US" w:eastAsia="zh-CN"/>
                <w14:textFill>
                  <w14:solidFill>
                    <w14:schemeClr w14:val="tx1"/>
                  </w14:solidFill>
                </w14:textFill>
              </w:rPr>
              <w:t>4-7成品仓</w:t>
            </w:r>
            <w:r>
              <w:rPr>
                <w:rFonts w:hint="default" w:ascii="Times New Roman" w:hAnsi="Times New Roman" w:cs="Times New Roman"/>
                <w:b/>
                <w:bCs/>
                <w:color w:val="000000" w:themeColor="text1"/>
                <w:kern w:val="2"/>
                <w:sz w:val="24"/>
                <w:szCs w:val="24"/>
                <w:highlight w:val="none"/>
                <w:lang w:val="en-US" w:eastAsia="zh-CN"/>
                <w14:textFill>
                  <w14:solidFill>
                    <w14:schemeClr w14:val="tx1"/>
                  </w14:solidFill>
                </w14:textFill>
              </w:rPr>
              <w:t>废气</w:t>
            </w:r>
            <w:r>
              <w:rPr>
                <w:rFonts w:hint="default" w:ascii="Times New Roman" w:hAnsi="Times New Roman" w:cs="Times New Roman"/>
                <w:b/>
                <w:bCs/>
                <w:color w:val="000000" w:themeColor="text1"/>
                <w:kern w:val="2"/>
                <w:sz w:val="24"/>
                <w:szCs w:val="24"/>
                <w:highlight w:val="none"/>
                <w14:textFill>
                  <w14:solidFill>
                    <w14:schemeClr w14:val="tx1"/>
                  </w14:solidFill>
                </w14:textFill>
              </w:rPr>
              <w:t>粉尘产排情况一览表</w:t>
            </w:r>
          </w:p>
          <w:tbl>
            <w:tblPr>
              <w:tblStyle w:val="24"/>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1044"/>
              <w:gridCol w:w="799"/>
              <w:gridCol w:w="799"/>
              <w:gridCol w:w="1045"/>
              <w:gridCol w:w="799"/>
              <w:gridCol w:w="564"/>
              <w:gridCol w:w="1290"/>
              <w:gridCol w:w="799"/>
              <w:gridCol w:w="801"/>
            </w:tblGrid>
            <w:tr w14:paraId="3CEB4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658" w:type="pct"/>
                  <w:vMerge w:val="restart"/>
                  <w:noWrap w:val="0"/>
                  <w:vAlign w:val="center"/>
                </w:tcPr>
                <w:p w14:paraId="791BC98C">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装置</w:t>
                  </w:r>
                </w:p>
              </w:tc>
              <w:tc>
                <w:tcPr>
                  <w:tcW w:w="503" w:type="pct"/>
                  <w:vMerge w:val="restart"/>
                  <w:noWrap w:val="0"/>
                  <w:vAlign w:val="center"/>
                </w:tcPr>
                <w:p w14:paraId="24751459">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污染源</w:t>
                  </w:r>
                </w:p>
              </w:tc>
              <w:tc>
                <w:tcPr>
                  <w:tcW w:w="503" w:type="pct"/>
                  <w:vMerge w:val="restart"/>
                  <w:noWrap w:val="0"/>
                  <w:vAlign w:val="center"/>
                </w:tcPr>
                <w:p w14:paraId="5D09AF48">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污染物</w:t>
                  </w:r>
                </w:p>
              </w:tc>
              <w:tc>
                <w:tcPr>
                  <w:tcW w:w="658" w:type="pct"/>
                  <w:vMerge w:val="restart"/>
                  <w:noWrap w:val="0"/>
                  <w:vAlign w:val="center"/>
                </w:tcPr>
                <w:p w14:paraId="46443672">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风机风量</w:t>
                  </w:r>
                </w:p>
                <w:p w14:paraId="532DB116">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eastAsia" w:ascii="Times New Roman" w:hAnsi="Times New Roman" w:cs="Times New Roman"/>
                      <w:b w:val="0"/>
                      <w:bCs w:val="0"/>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m</w:t>
                  </w:r>
                  <w:r>
                    <w:rPr>
                      <w:rFonts w:hint="default" w:ascii="Times New Roman" w:hAnsi="Times New Roman" w:eastAsia="宋体" w:cs="Times New Roman"/>
                      <w:b w:val="0"/>
                      <w:bCs w:val="0"/>
                      <w:color w:val="000000" w:themeColor="text1"/>
                      <w:sz w:val="21"/>
                      <w:szCs w:val="21"/>
                      <w:highlight w:val="none"/>
                      <w:vertAlign w:val="superscript"/>
                      <w:lang w:eastAsia="zh-CN"/>
                      <w14:textFill>
                        <w14:solidFill>
                          <w14:schemeClr w14:val="tx1"/>
                        </w14:solidFill>
                      </w14:textFill>
                    </w:rPr>
                    <w:t>3</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/h</w:t>
                  </w:r>
                  <w:r>
                    <w:rPr>
                      <w:rFonts w:hint="eastAsia" w:ascii="Times New Roman" w:hAnsi="Times New Roman" w:cs="Times New Roman"/>
                      <w:b w:val="0"/>
                      <w:bCs w:val="0"/>
                      <w:color w:val="000000" w:themeColor="text1"/>
                      <w:sz w:val="21"/>
                      <w:szCs w:val="21"/>
                      <w:highlight w:val="none"/>
                      <w:lang w:eastAsia="zh-CN"/>
                      <w14:textFill>
                        <w14:solidFill>
                          <w14:schemeClr w14:val="tx1"/>
                        </w14:solidFill>
                      </w14:textFill>
                    </w:rPr>
                    <w:t>)</w:t>
                  </w:r>
                </w:p>
              </w:tc>
              <w:tc>
                <w:tcPr>
                  <w:tcW w:w="503" w:type="pct"/>
                  <w:vMerge w:val="restart"/>
                  <w:noWrap w:val="0"/>
                  <w:vAlign w:val="center"/>
                </w:tcPr>
                <w:p w14:paraId="33989D8B">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污染物</w:t>
                  </w:r>
                </w:p>
                <w:p w14:paraId="7CB8993F">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产生</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量</w:t>
                  </w:r>
                </w:p>
                <w:p w14:paraId="5778CEFB">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eastAsia" w:ascii="Times New Roman" w:hAnsi="Times New Roman" w:cs="Times New Roman"/>
                      <w:b w:val="0"/>
                      <w:bCs w:val="0"/>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t</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a</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w:t>
                  </w:r>
                </w:p>
              </w:tc>
              <w:tc>
                <w:tcPr>
                  <w:tcW w:w="353" w:type="pct"/>
                  <w:vMerge w:val="restart"/>
                  <w:noWrap w:val="0"/>
                  <w:vAlign w:val="center"/>
                </w:tcPr>
                <w:p w14:paraId="731B917C">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处理</w:t>
                  </w:r>
                </w:p>
                <w:p w14:paraId="432C1E97">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效率</w:t>
                  </w:r>
                </w:p>
                <w:p w14:paraId="6B6A33B5">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w:t>
                  </w:r>
                </w:p>
              </w:tc>
              <w:tc>
                <w:tcPr>
                  <w:tcW w:w="1315" w:type="pct"/>
                  <w:gridSpan w:val="2"/>
                  <w:noWrap w:val="0"/>
                  <w:vAlign w:val="center"/>
                </w:tcPr>
                <w:p w14:paraId="234D88A5">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污染物排放</w:t>
                  </w:r>
                </w:p>
              </w:tc>
              <w:tc>
                <w:tcPr>
                  <w:tcW w:w="504" w:type="pct"/>
                  <w:vMerge w:val="restart"/>
                  <w:noWrap w:val="0"/>
                  <w:vAlign w:val="center"/>
                </w:tcPr>
                <w:p w14:paraId="6736D6AC">
                  <w:pPr>
                    <w:pStyle w:val="85"/>
                    <w:kinsoku w:val="0"/>
                    <w:overflowPunct w:val="0"/>
                    <w:snapToGrid w:val="0"/>
                    <w:jc w:val="cente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排气</w:t>
                  </w:r>
                  <w:r>
                    <w:rPr>
                      <w:rFonts w:hint="eastAsia" w:cs="Times New Roman"/>
                      <w:color w:val="000000" w:themeColor="text1"/>
                      <w:sz w:val="24"/>
                      <w:szCs w:val="24"/>
                      <w:highlight w:val="none"/>
                      <w:lang w:val="en-US" w:eastAsia="zh-CN"/>
                      <w14:textFill>
                        <w14:solidFill>
                          <w14:schemeClr w14:val="tx1"/>
                        </w14:solidFill>
                      </w14:textFill>
                    </w:rPr>
                    <w:t>口</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高度</w:t>
                  </w:r>
                </w:p>
                <w:p w14:paraId="04349AC7">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(m)</w:t>
                  </w:r>
                </w:p>
              </w:tc>
            </w:tr>
            <w:tr w14:paraId="76982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658" w:type="pct"/>
                  <w:vMerge w:val="continue"/>
                  <w:noWrap w:val="0"/>
                  <w:vAlign w:val="center"/>
                </w:tcPr>
                <w:p w14:paraId="2A1B033E">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503" w:type="pct"/>
                  <w:vMerge w:val="continue"/>
                  <w:noWrap w:val="0"/>
                  <w:vAlign w:val="center"/>
                </w:tcPr>
                <w:p w14:paraId="0F229DE6">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503" w:type="pct"/>
                  <w:vMerge w:val="continue"/>
                  <w:noWrap w:val="0"/>
                  <w:vAlign w:val="center"/>
                </w:tcPr>
                <w:p w14:paraId="17F1EA9F">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658" w:type="pct"/>
                  <w:vMerge w:val="continue"/>
                  <w:noWrap w:val="0"/>
                  <w:vAlign w:val="center"/>
                </w:tcPr>
                <w:p w14:paraId="78AD8490">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503" w:type="pct"/>
                  <w:vMerge w:val="continue"/>
                  <w:noWrap w:val="0"/>
                  <w:vAlign w:val="center"/>
                </w:tcPr>
                <w:p w14:paraId="4613D25A">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353" w:type="pct"/>
                  <w:vMerge w:val="continue"/>
                  <w:noWrap w:val="0"/>
                  <w:vAlign w:val="center"/>
                </w:tcPr>
                <w:p w14:paraId="1C4BCBD8">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812" w:type="pct"/>
                  <w:noWrap w:val="0"/>
                  <w:vAlign w:val="center"/>
                </w:tcPr>
                <w:p w14:paraId="3909085A">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排放浓度</w:t>
                  </w:r>
                </w:p>
                <w:p w14:paraId="74CDA024">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eastAsia" w:ascii="Times New Roman" w:hAnsi="Times New Roman" w:cs="Times New Roman"/>
                      <w:b w:val="0"/>
                      <w:bCs w:val="0"/>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mg/</w:t>
                  </w: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m</w:t>
                  </w:r>
                  <w:r>
                    <w:rPr>
                      <w:rFonts w:hint="default" w:ascii="Times New Roman" w:hAnsi="Times New Roman" w:eastAsia="宋体" w:cs="Times New Roman"/>
                      <w:b w:val="0"/>
                      <w:bCs w:val="0"/>
                      <w:color w:val="000000" w:themeColor="text1"/>
                      <w:sz w:val="21"/>
                      <w:szCs w:val="21"/>
                      <w:highlight w:val="none"/>
                      <w:vertAlign w:val="superscript"/>
                      <w:lang w:eastAsia="zh-CN"/>
                      <w14:textFill>
                        <w14:solidFill>
                          <w14:schemeClr w14:val="tx1"/>
                        </w14:solidFill>
                      </w14:textFill>
                    </w:rPr>
                    <w:t>3</w:t>
                  </w:r>
                  <w:r>
                    <w:rPr>
                      <w:rFonts w:hint="eastAsia" w:ascii="Times New Roman" w:hAnsi="Times New Roman" w:cs="Times New Roman"/>
                      <w:b w:val="0"/>
                      <w:bCs w:val="0"/>
                      <w:color w:val="000000" w:themeColor="text1"/>
                      <w:sz w:val="21"/>
                      <w:szCs w:val="21"/>
                      <w:highlight w:val="none"/>
                      <w:vertAlign w:val="baseline"/>
                      <w:lang w:eastAsia="zh-CN"/>
                      <w14:textFill>
                        <w14:solidFill>
                          <w14:schemeClr w14:val="tx1"/>
                        </w14:solidFill>
                      </w14:textFill>
                    </w:rPr>
                    <w:t>)</w:t>
                  </w:r>
                </w:p>
              </w:tc>
              <w:tc>
                <w:tcPr>
                  <w:tcW w:w="503" w:type="pct"/>
                  <w:noWrap w:val="0"/>
                  <w:vAlign w:val="center"/>
                </w:tcPr>
                <w:p w14:paraId="0B22F883">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排放量</w:t>
                  </w:r>
                </w:p>
                <w:p w14:paraId="35E4EB5F">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eastAsia" w:ascii="Times New Roman" w:hAnsi="Times New Roman" w:cs="Times New Roman"/>
                      <w:b w:val="0"/>
                      <w:bCs w:val="0"/>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t</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a</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w:t>
                  </w:r>
                </w:p>
              </w:tc>
              <w:tc>
                <w:tcPr>
                  <w:tcW w:w="504" w:type="pct"/>
                  <w:vMerge w:val="continue"/>
                  <w:noWrap w:val="0"/>
                  <w:vAlign w:val="center"/>
                </w:tcPr>
                <w:p w14:paraId="653672C7">
                  <w:pPr>
                    <w:pStyle w:val="85"/>
                    <w:kinsoku w:val="0"/>
                    <w:overflowPunct w:val="0"/>
                    <w:snapToGrid w:val="0"/>
                    <w:jc w:val="center"/>
                    <w:rPr>
                      <w:rFonts w:hint="eastAsia" w:ascii="Times New Roman" w:hAnsi="Times New Roman" w:cs="Times New Roman"/>
                      <w:b w:val="0"/>
                      <w:bCs w:val="0"/>
                      <w:color w:val="000000" w:themeColor="text1"/>
                      <w:sz w:val="21"/>
                      <w:szCs w:val="21"/>
                      <w:highlight w:val="none"/>
                      <w:lang w:eastAsia="zh-CN"/>
                      <w14:textFill>
                        <w14:solidFill>
                          <w14:schemeClr w14:val="tx1"/>
                        </w14:solidFill>
                      </w14:textFill>
                    </w:rPr>
                  </w:pPr>
                </w:p>
              </w:tc>
            </w:tr>
            <w:tr w14:paraId="347B0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658" w:type="pct"/>
                  <w:noWrap w:val="0"/>
                  <w:vAlign w:val="center"/>
                </w:tcPr>
                <w:p w14:paraId="0BF384AC">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成品仓顶</w:t>
                  </w:r>
                </w:p>
              </w:tc>
              <w:tc>
                <w:tcPr>
                  <w:tcW w:w="503" w:type="pct"/>
                  <w:noWrap w:val="0"/>
                  <w:vAlign w:val="center"/>
                </w:tcPr>
                <w:p w14:paraId="28E9C925">
                  <w:pPr>
                    <w:kinsoku w:val="0"/>
                    <w:overflowPunct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DA00</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9</w:t>
                  </w:r>
                </w:p>
              </w:tc>
              <w:tc>
                <w:tcPr>
                  <w:tcW w:w="503" w:type="pct"/>
                  <w:noWrap w:val="0"/>
                  <w:vAlign w:val="center"/>
                </w:tcPr>
                <w:p w14:paraId="647675DF">
                  <w:pPr>
                    <w:pStyle w:val="85"/>
                    <w:kinsoku w:val="0"/>
                    <w:overflowPunct w:val="0"/>
                    <w:snapToGrid w:val="0"/>
                    <w:ind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颗粒物</w:t>
                  </w:r>
                </w:p>
              </w:tc>
              <w:tc>
                <w:tcPr>
                  <w:tcW w:w="658" w:type="pct"/>
                  <w:noWrap w:val="0"/>
                  <w:vAlign w:val="center"/>
                </w:tcPr>
                <w:p w14:paraId="76970E6C">
                  <w:pPr>
                    <w:pStyle w:val="85"/>
                    <w:kinsoku w:val="0"/>
                    <w:overflowPunct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10000</w:t>
                  </w:r>
                </w:p>
              </w:tc>
              <w:tc>
                <w:tcPr>
                  <w:tcW w:w="503" w:type="pct"/>
                  <w:noWrap w:val="0"/>
                  <w:vAlign w:val="center"/>
                </w:tcPr>
                <w:p w14:paraId="3D1AD91B">
                  <w:pPr>
                    <w:pStyle w:val="85"/>
                    <w:kinsoku w:val="0"/>
                    <w:overflowPunct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9.6</w:t>
                  </w:r>
                </w:p>
              </w:tc>
              <w:tc>
                <w:tcPr>
                  <w:tcW w:w="353" w:type="pct"/>
                  <w:noWrap w:val="0"/>
                  <w:vAlign w:val="center"/>
                </w:tcPr>
                <w:p w14:paraId="182E8963">
                  <w:pPr>
                    <w:pStyle w:val="85"/>
                    <w:kinsoku w:val="0"/>
                    <w:overflowPunct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99</w:t>
                  </w:r>
                </w:p>
              </w:tc>
              <w:tc>
                <w:tcPr>
                  <w:tcW w:w="812" w:type="pct"/>
                  <w:noWrap w:val="0"/>
                  <w:vAlign w:val="center"/>
                </w:tcPr>
                <w:p w14:paraId="6694E3D6">
                  <w:pPr>
                    <w:keepNext w:val="0"/>
                    <w:keepLines w:val="0"/>
                    <w:widowControl/>
                    <w:suppressLineNumbers w:val="0"/>
                    <w:jc w:val="center"/>
                    <w:textAlignment w:val="cente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color w:val="000000" w:themeColor="text1"/>
                      <w:kern w:val="0"/>
                      <w:sz w:val="21"/>
                      <w:szCs w:val="21"/>
                      <w:highlight w:val="none"/>
                      <w:u w:val="none"/>
                      <w:lang w:val="en-US" w:eastAsia="zh-CN" w:bidi="ar"/>
                      <w14:textFill>
                        <w14:solidFill>
                          <w14:schemeClr w14:val="tx1"/>
                        </w14:solidFill>
                      </w14:textFill>
                    </w:rPr>
                    <w:t>4</w:t>
                  </w:r>
                </w:p>
              </w:tc>
              <w:tc>
                <w:tcPr>
                  <w:tcW w:w="503" w:type="pct"/>
                  <w:noWrap w:val="0"/>
                  <w:vAlign w:val="center"/>
                </w:tcPr>
                <w:p w14:paraId="21534DA5">
                  <w:pPr>
                    <w:keepNext w:val="0"/>
                    <w:keepLines w:val="0"/>
                    <w:widowControl/>
                    <w:suppressLineNumbers w:val="0"/>
                    <w:jc w:val="center"/>
                    <w:textAlignment w:val="cente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t>0.</w:t>
                  </w:r>
                  <w:r>
                    <w:rPr>
                      <w:rFonts w:hint="default" w:ascii="Times New Roman" w:hAnsi="Times New Roman" w:cs="Times New Roman"/>
                      <w:i w:val="0"/>
                      <w:color w:val="000000" w:themeColor="text1"/>
                      <w:kern w:val="0"/>
                      <w:sz w:val="21"/>
                      <w:szCs w:val="21"/>
                      <w:highlight w:val="none"/>
                      <w:u w:val="none"/>
                      <w:lang w:val="en-US" w:eastAsia="zh-CN" w:bidi="ar"/>
                      <w14:textFill>
                        <w14:solidFill>
                          <w14:schemeClr w14:val="tx1"/>
                        </w14:solidFill>
                      </w14:textFill>
                    </w:rPr>
                    <w:t>096</w:t>
                  </w:r>
                </w:p>
              </w:tc>
              <w:tc>
                <w:tcPr>
                  <w:tcW w:w="504" w:type="pct"/>
                  <w:noWrap w:val="0"/>
                  <w:vAlign w:val="center"/>
                </w:tcPr>
                <w:p w14:paraId="7DA15F2A">
                  <w:pPr>
                    <w:keepNext w:val="0"/>
                    <w:keepLines w:val="0"/>
                    <w:widowControl/>
                    <w:suppressLineNumbers w:val="0"/>
                    <w:jc w:val="center"/>
                    <w:textAlignment w:val="cente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color w:val="000000" w:themeColor="text1"/>
                      <w:kern w:val="0"/>
                      <w:sz w:val="21"/>
                      <w:szCs w:val="21"/>
                      <w:highlight w:val="none"/>
                      <w:u w:val="none"/>
                      <w:lang w:val="en-US" w:eastAsia="zh-CN" w:bidi="ar"/>
                      <w14:textFill>
                        <w14:solidFill>
                          <w14:schemeClr w14:val="tx1"/>
                        </w14:solidFill>
                      </w14:textFill>
                    </w:rPr>
                    <w:t>50</w:t>
                  </w:r>
                </w:p>
              </w:tc>
            </w:tr>
            <w:tr w14:paraId="7DF29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658" w:type="pct"/>
                  <w:noWrap w:val="0"/>
                  <w:vAlign w:val="center"/>
                </w:tcPr>
                <w:p w14:paraId="4C057958">
                  <w:pPr>
                    <w:pStyle w:val="85"/>
                    <w:kinsoku w:val="0"/>
                    <w:overflowPunct w:val="0"/>
                    <w:snapToGrid w:val="0"/>
                    <w:ind w:firstLine="0" w:firstLineChars="0"/>
                    <w:jc w:val="center"/>
                    <w:rPr>
                      <w:rFonts w:hint="default" w:ascii="Times New Roman" w:hAnsi="Times New Roman" w:eastAsia="宋体" w:cs="Times New Roman"/>
                      <w:b w:val="0"/>
                      <w:bCs w:val="0"/>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成品仓顶</w:t>
                  </w:r>
                </w:p>
              </w:tc>
              <w:tc>
                <w:tcPr>
                  <w:tcW w:w="503" w:type="pct"/>
                  <w:noWrap w:val="0"/>
                  <w:vAlign w:val="center"/>
                </w:tcPr>
                <w:p w14:paraId="16A2F1D2">
                  <w:pPr>
                    <w:kinsoku w:val="0"/>
                    <w:overflowPunct w:val="0"/>
                    <w:snapToGrid w:val="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DA0</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10</w:t>
                  </w:r>
                </w:p>
              </w:tc>
              <w:tc>
                <w:tcPr>
                  <w:tcW w:w="503" w:type="pct"/>
                  <w:noWrap w:val="0"/>
                  <w:vAlign w:val="center"/>
                </w:tcPr>
                <w:p w14:paraId="19D6265A">
                  <w:pPr>
                    <w:pStyle w:val="85"/>
                    <w:kinsoku w:val="0"/>
                    <w:overflowPunct w:val="0"/>
                    <w:snapToGrid w:val="0"/>
                    <w:ind w:firstLine="0" w:firstLineChars="0"/>
                    <w:jc w:val="both"/>
                    <w:rPr>
                      <w:rFonts w:hint="default" w:ascii="Times New Roman" w:hAnsi="Times New Roman" w:eastAsia="宋体" w:cs="Times New Roman"/>
                      <w:color w:val="000000" w:themeColor="text1"/>
                      <w:kern w:val="0"/>
                      <w:sz w:val="21"/>
                      <w:szCs w:val="21"/>
                      <w:highlight w:val="none"/>
                      <w:lang w:val="en-US" w:eastAsia="en-US"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颗粒物</w:t>
                  </w:r>
                </w:p>
              </w:tc>
              <w:tc>
                <w:tcPr>
                  <w:tcW w:w="658" w:type="pct"/>
                  <w:noWrap w:val="0"/>
                  <w:vAlign w:val="center"/>
                </w:tcPr>
                <w:p w14:paraId="00CD4457">
                  <w:pPr>
                    <w:pStyle w:val="85"/>
                    <w:kinsoku w:val="0"/>
                    <w:overflowPunct w:val="0"/>
                    <w:snapToGrid w:val="0"/>
                    <w:ind w:firstLine="0" w:firstLineChars="0"/>
                    <w:jc w:val="cente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10000</w:t>
                  </w:r>
                </w:p>
              </w:tc>
              <w:tc>
                <w:tcPr>
                  <w:tcW w:w="503" w:type="pct"/>
                  <w:noWrap w:val="0"/>
                  <w:vAlign w:val="center"/>
                </w:tcPr>
                <w:p w14:paraId="4B0B4E5F">
                  <w:pPr>
                    <w:pStyle w:val="85"/>
                    <w:kinsoku w:val="0"/>
                    <w:overflowPunct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9.6</w:t>
                  </w:r>
                </w:p>
              </w:tc>
              <w:tc>
                <w:tcPr>
                  <w:tcW w:w="353" w:type="pct"/>
                  <w:noWrap w:val="0"/>
                  <w:vAlign w:val="center"/>
                </w:tcPr>
                <w:p w14:paraId="16CAE47B">
                  <w:pPr>
                    <w:kinsoku w:val="0"/>
                    <w:overflowPunct w:val="0"/>
                    <w:snapToGrid w:val="0"/>
                    <w:jc w:val="cente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99</w:t>
                  </w:r>
                </w:p>
              </w:tc>
              <w:tc>
                <w:tcPr>
                  <w:tcW w:w="812" w:type="pct"/>
                  <w:noWrap w:val="0"/>
                  <w:vAlign w:val="center"/>
                </w:tcPr>
                <w:p w14:paraId="3D0EEFC8">
                  <w:pPr>
                    <w:keepNext w:val="0"/>
                    <w:keepLines w:val="0"/>
                    <w:widowControl/>
                    <w:suppressLineNumbers w:val="0"/>
                    <w:jc w:val="center"/>
                    <w:textAlignment w:val="cente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color w:val="000000" w:themeColor="text1"/>
                      <w:kern w:val="0"/>
                      <w:sz w:val="21"/>
                      <w:szCs w:val="21"/>
                      <w:highlight w:val="none"/>
                      <w:u w:val="none"/>
                      <w:lang w:val="en-US" w:eastAsia="zh-CN" w:bidi="ar"/>
                      <w14:textFill>
                        <w14:solidFill>
                          <w14:schemeClr w14:val="tx1"/>
                        </w14:solidFill>
                      </w14:textFill>
                    </w:rPr>
                    <w:t>4</w:t>
                  </w:r>
                </w:p>
              </w:tc>
              <w:tc>
                <w:tcPr>
                  <w:tcW w:w="503" w:type="pct"/>
                  <w:noWrap w:val="0"/>
                  <w:vAlign w:val="center"/>
                </w:tcPr>
                <w:p w14:paraId="4240F9C3">
                  <w:pPr>
                    <w:keepNext w:val="0"/>
                    <w:keepLines w:val="0"/>
                    <w:widowControl/>
                    <w:suppressLineNumbers w:val="0"/>
                    <w:jc w:val="center"/>
                    <w:textAlignment w:val="cente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t>0.</w:t>
                  </w:r>
                  <w:r>
                    <w:rPr>
                      <w:rFonts w:hint="default" w:ascii="Times New Roman" w:hAnsi="Times New Roman" w:cs="Times New Roman"/>
                      <w:i w:val="0"/>
                      <w:color w:val="000000" w:themeColor="text1"/>
                      <w:kern w:val="0"/>
                      <w:sz w:val="21"/>
                      <w:szCs w:val="21"/>
                      <w:highlight w:val="none"/>
                      <w:u w:val="none"/>
                      <w:lang w:val="en-US" w:eastAsia="zh-CN" w:bidi="ar"/>
                      <w14:textFill>
                        <w14:solidFill>
                          <w14:schemeClr w14:val="tx1"/>
                        </w14:solidFill>
                      </w14:textFill>
                    </w:rPr>
                    <w:t>096</w:t>
                  </w:r>
                </w:p>
              </w:tc>
              <w:tc>
                <w:tcPr>
                  <w:tcW w:w="504" w:type="pct"/>
                  <w:noWrap w:val="0"/>
                  <w:vAlign w:val="center"/>
                </w:tcPr>
                <w:p w14:paraId="67B71E4B">
                  <w:pPr>
                    <w:keepNext w:val="0"/>
                    <w:keepLines w:val="0"/>
                    <w:widowControl/>
                    <w:suppressLineNumbers w:val="0"/>
                    <w:jc w:val="center"/>
                    <w:textAlignment w:val="cente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color w:val="000000" w:themeColor="text1"/>
                      <w:kern w:val="0"/>
                      <w:sz w:val="21"/>
                      <w:szCs w:val="21"/>
                      <w:highlight w:val="none"/>
                      <w:u w:val="none"/>
                      <w:lang w:val="en-US" w:eastAsia="zh-CN" w:bidi="ar"/>
                      <w14:textFill>
                        <w14:solidFill>
                          <w14:schemeClr w14:val="tx1"/>
                        </w14:solidFill>
                      </w14:textFill>
                    </w:rPr>
                    <w:t>50</w:t>
                  </w:r>
                </w:p>
              </w:tc>
            </w:tr>
            <w:tr w14:paraId="0E994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3180" w:type="pct"/>
                  <w:gridSpan w:val="6"/>
                  <w:shd w:val="clear" w:color="auto" w:fill="auto"/>
                  <w:noWrap w:val="0"/>
                  <w:vAlign w:val="center"/>
                </w:tcPr>
                <w:p w14:paraId="17C65A59">
                  <w:pPr>
                    <w:pStyle w:val="85"/>
                    <w:kinsoku w:val="0"/>
                    <w:overflowPunct w:val="0"/>
                    <w:snapToGrid w:val="0"/>
                    <w:ind w:firstLine="0" w:firstLineChars="0"/>
                    <w:jc w:val="center"/>
                    <w:rPr>
                      <w:rFonts w:hint="default" w:ascii="Times New Roman" w:hAnsi="Times New Roman" w:eastAsia="宋体" w:cs="Times New Roman"/>
                      <w:b w:val="0"/>
                      <w:bCs w:val="0"/>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排放</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限值</w:t>
                  </w:r>
                </w:p>
              </w:tc>
              <w:tc>
                <w:tcPr>
                  <w:tcW w:w="812" w:type="pct"/>
                  <w:shd w:val="clear" w:color="auto" w:fill="auto"/>
                  <w:noWrap w:val="0"/>
                  <w:vAlign w:val="center"/>
                </w:tcPr>
                <w:p w14:paraId="34E197B6">
                  <w:pPr>
                    <w:pStyle w:val="85"/>
                    <w:kinsoku w:val="0"/>
                    <w:overflowPunct w:val="0"/>
                    <w:snapToGrid w:val="0"/>
                    <w:ind w:firstLine="0" w:firstLineChars="0"/>
                    <w:jc w:val="center"/>
                    <w:rPr>
                      <w:rFonts w:hint="default" w:ascii="Times New Roman" w:hAnsi="Times New Roman" w:eastAsia="宋体" w:cs="Times New Roman"/>
                      <w:b w:val="0"/>
                      <w:bCs w:val="0"/>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20</w:t>
                  </w:r>
                </w:p>
              </w:tc>
              <w:tc>
                <w:tcPr>
                  <w:tcW w:w="503" w:type="pct"/>
                  <w:noWrap w:val="0"/>
                  <w:vAlign w:val="center"/>
                </w:tcPr>
                <w:p w14:paraId="2118813C">
                  <w:pPr>
                    <w:keepNext w:val="0"/>
                    <w:keepLines w:val="0"/>
                    <w:widowControl/>
                    <w:suppressLineNumbers w:val="0"/>
                    <w:jc w:val="center"/>
                    <w:textAlignment w:val="cente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color w:val="000000" w:themeColor="text1"/>
                      <w:kern w:val="0"/>
                      <w:sz w:val="21"/>
                      <w:szCs w:val="21"/>
                      <w:highlight w:val="none"/>
                      <w:u w:val="none"/>
                      <w:lang w:val="en-US" w:eastAsia="zh-CN" w:bidi="ar"/>
                      <w14:textFill>
                        <w14:solidFill>
                          <w14:schemeClr w14:val="tx1"/>
                        </w14:solidFill>
                      </w14:textFill>
                    </w:rPr>
                    <w:t>/</w:t>
                  </w:r>
                </w:p>
              </w:tc>
              <w:tc>
                <w:tcPr>
                  <w:tcW w:w="504" w:type="pct"/>
                  <w:noWrap w:val="0"/>
                  <w:vAlign w:val="center"/>
                </w:tcPr>
                <w:p w14:paraId="555E85A0">
                  <w:pPr>
                    <w:keepNext w:val="0"/>
                    <w:keepLines w:val="0"/>
                    <w:widowControl/>
                    <w:suppressLineNumbers w:val="0"/>
                    <w:jc w:val="center"/>
                    <w:textAlignment w:val="cente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color w:val="000000" w:themeColor="text1"/>
                      <w:kern w:val="0"/>
                      <w:sz w:val="21"/>
                      <w:szCs w:val="21"/>
                      <w:highlight w:val="none"/>
                      <w:u w:val="none"/>
                      <w:lang w:val="en-US" w:eastAsia="zh-CN" w:bidi="ar"/>
                      <w14:textFill>
                        <w14:solidFill>
                          <w14:schemeClr w14:val="tx1"/>
                        </w14:solidFill>
                      </w14:textFill>
                    </w:rPr>
                    <w:t>/</w:t>
                  </w:r>
                </w:p>
              </w:tc>
            </w:tr>
            <w:tr w14:paraId="42878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658" w:type="pct"/>
                  <w:noWrap w:val="0"/>
                  <w:vAlign w:val="center"/>
                </w:tcPr>
                <w:p w14:paraId="2F5E4178">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成品仓</w:t>
                  </w:r>
                </w:p>
              </w:tc>
              <w:tc>
                <w:tcPr>
                  <w:tcW w:w="503" w:type="pct"/>
                  <w:shd w:val="clear" w:color="auto" w:fill="auto"/>
                  <w:noWrap w:val="0"/>
                  <w:vAlign w:val="center"/>
                </w:tcPr>
                <w:p w14:paraId="5E8DE729">
                  <w:pPr>
                    <w:kinsoku w:val="0"/>
                    <w:overflowPunct w:val="0"/>
                    <w:snapToGrid w:val="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DA0</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1</w:t>
                  </w:r>
                  <w:r>
                    <w:rPr>
                      <w:rFonts w:hint="eastAsia" w:cs="Times New Roman"/>
                      <w:color w:val="000000" w:themeColor="text1"/>
                      <w:sz w:val="21"/>
                      <w:szCs w:val="21"/>
                      <w:highlight w:val="none"/>
                      <w:lang w:val="en-US" w:eastAsia="zh-CN"/>
                      <w14:textFill>
                        <w14:solidFill>
                          <w14:schemeClr w14:val="tx1"/>
                        </w14:solidFill>
                      </w14:textFill>
                    </w:rPr>
                    <w:t>2</w:t>
                  </w:r>
                </w:p>
              </w:tc>
              <w:tc>
                <w:tcPr>
                  <w:tcW w:w="503" w:type="pct"/>
                  <w:shd w:val="clear" w:color="auto" w:fill="auto"/>
                  <w:noWrap w:val="0"/>
                  <w:vAlign w:val="center"/>
                </w:tcPr>
                <w:p w14:paraId="0A8F7EA0">
                  <w:pPr>
                    <w:pStyle w:val="85"/>
                    <w:kinsoku w:val="0"/>
                    <w:overflowPunct w:val="0"/>
                    <w:snapToGrid w:val="0"/>
                    <w:ind w:firstLine="0" w:firstLineChars="0"/>
                    <w:jc w:val="both"/>
                    <w:rPr>
                      <w:rFonts w:hint="default" w:ascii="Times New Roman" w:hAnsi="Times New Roman" w:eastAsia="宋体" w:cs="Times New Roman"/>
                      <w:color w:val="000000" w:themeColor="text1"/>
                      <w:kern w:val="0"/>
                      <w:sz w:val="21"/>
                      <w:szCs w:val="21"/>
                      <w:highlight w:val="none"/>
                      <w:lang w:val="en-US" w:eastAsia="en-US"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颗粒物</w:t>
                  </w:r>
                </w:p>
              </w:tc>
              <w:tc>
                <w:tcPr>
                  <w:tcW w:w="658" w:type="pct"/>
                  <w:shd w:val="clear" w:color="auto" w:fill="auto"/>
                  <w:noWrap w:val="0"/>
                  <w:vAlign w:val="center"/>
                </w:tcPr>
                <w:p w14:paraId="6C8BEB80">
                  <w:pPr>
                    <w:pStyle w:val="85"/>
                    <w:kinsoku w:val="0"/>
                    <w:overflowPunct w:val="0"/>
                    <w:snapToGrid w:val="0"/>
                    <w:ind w:firstLine="0" w:firstLineChars="0"/>
                    <w:jc w:val="cente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10000</w:t>
                  </w:r>
                </w:p>
              </w:tc>
              <w:tc>
                <w:tcPr>
                  <w:tcW w:w="503" w:type="pct"/>
                  <w:noWrap w:val="0"/>
                  <w:vAlign w:val="center"/>
                </w:tcPr>
                <w:p w14:paraId="6B6D0918">
                  <w:pPr>
                    <w:pStyle w:val="85"/>
                    <w:kinsoku w:val="0"/>
                    <w:overflowPunct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4.8</w:t>
                  </w:r>
                </w:p>
              </w:tc>
              <w:tc>
                <w:tcPr>
                  <w:tcW w:w="353" w:type="pct"/>
                  <w:noWrap w:val="0"/>
                  <w:vAlign w:val="center"/>
                </w:tcPr>
                <w:p w14:paraId="327D9770">
                  <w:pPr>
                    <w:pStyle w:val="85"/>
                    <w:kinsoku w:val="0"/>
                    <w:overflowPunct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99</w:t>
                  </w:r>
                </w:p>
              </w:tc>
              <w:tc>
                <w:tcPr>
                  <w:tcW w:w="812" w:type="pct"/>
                  <w:noWrap w:val="0"/>
                  <w:vAlign w:val="center"/>
                </w:tcPr>
                <w:p w14:paraId="07B33D6C">
                  <w:pPr>
                    <w:keepNext w:val="0"/>
                    <w:keepLines w:val="0"/>
                    <w:widowControl/>
                    <w:suppressLineNumbers w:val="0"/>
                    <w:jc w:val="center"/>
                    <w:textAlignment w:val="center"/>
                    <w:rPr>
                      <w:rFonts w:hint="default" w:ascii="Times New Roman" w:hAnsi="Times New Roman" w:cs="Times New Roman"/>
                      <w:i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color w:val="000000" w:themeColor="text1"/>
                      <w:kern w:val="0"/>
                      <w:sz w:val="21"/>
                      <w:szCs w:val="21"/>
                      <w:highlight w:val="none"/>
                      <w:u w:val="none"/>
                      <w:lang w:val="en-US" w:eastAsia="zh-CN" w:bidi="ar"/>
                      <w14:textFill>
                        <w14:solidFill>
                          <w14:schemeClr w14:val="tx1"/>
                        </w14:solidFill>
                      </w14:textFill>
                    </w:rPr>
                    <w:t>2</w:t>
                  </w:r>
                </w:p>
              </w:tc>
              <w:tc>
                <w:tcPr>
                  <w:tcW w:w="503" w:type="pct"/>
                  <w:noWrap w:val="0"/>
                  <w:vAlign w:val="center"/>
                </w:tcPr>
                <w:p w14:paraId="12538602">
                  <w:pPr>
                    <w:keepNext w:val="0"/>
                    <w:keepLines w:val="0"/>
                    <w:widowControl/>
                    <w:suppressLineNumbers w:val="0"/>
                    <w:jc w:val="center"/>
                    <w:textAlignment w:val="cente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cs="Times New Roman"/>
                      <w:i w:val="0"/>
                      <w:color w:val="000000" w:themeColor="text1"/>
                      <w:kern w:val="0"/>
                      <w:sz w:val="21"/>
                      <w:szCs w:val="21"/>
                      <w:highlight w:val="none"/>
                      <w:u w:val="none"/>
                      <w:lang w:val="en-US" w:eastAsia="zh-CN" w:bidi="ar"/>
                      <w14:textFill>
                        <w14:solidFill>
                          <w14:schemeClr w14:val="tx1"/>
                        </w14:solidFill>
                      </w14:textFill>
                    </w:rPr>
                    <w:t>0.048</w:t>
                  </w:r>
                </w:p>
              </w:tc>
              <w:tc>
                <w:tcPr>
                  <w:tcW w:w="504" w:type="pct"/>
                  <w:noWrap w:val="0"/>
                  <w:vAlign w:val="center"/>
                </w:tcPr>
                <w:p w14:paraId="69CFD778">
                  <w:pPr>
                    <w:keepNext w:val="0"/>
                    <w:keepLines w:val="0"/>
                    <w:widowControl/>
                    <w:suppressLineNumbers w:val="0"/>
                    <w:jc w:val="center"/>
                    <w:textAlignment w:val="center"/>
                    <w:rPr>
                      <w:rFonts w:hint="default" w:ascii="Times New Roman" w:hAnsi="Times New Roman" w:cs="Times New Roman"/>
                      <w:i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color w:val="000000" w:themeColor="text1"/>
                      <w:kern w:val="0"/>
                      <w:sz w:val="21"/>
                      <w:szCs w:val="21"/>
                      <w:highlight w:val="none"/>
                      <w:u w:val="none"/>
                      <w:lang w:val="en-US" w:eastAsia="zh-CN" w:bidi="ar"/>
                      <w14:textFill>
                        <w14:solidFill>
                          <w14:schemeClr w14:val="tx1"/>
                        </w14:solidFill>
                      </w14:textFill>
                    </w:rPr>
                    <w:t>30</w:t>
                  </w:r>
                </w:p>
              </w:tc>
            </w:tr>
            <w:tr w14:paraId="3FD08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3180" w:type="pct"/>
                  <w:gridSpan w:val="6"/>
                  <w:noWrap w:val="0"/>
                  <w:vAlign w:val="center"/>
                </w:tcPr>
                <w:p w14:paraId="41E62AFA">
                  <w:pPr>
                    <w:pStyle w:val="85"/>
                    <w:kinsoku w:val="0"/>
                    <w:overflowPunct w:val="0"/>
                    <w:snapToGrid w:val="0"/>
                    <w:jc w:val="cente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排放</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限值</w:t>
                  </w:r>
                </w:p>
              </w:tc>
              <w:tc>
                <w:tcPr>
                  <w:tcW w:w="812" w:type="pct"/>
                  <w:noWrap w:val="0"/>
                  <w:vAlign w:val="center"/>
                </w:tcPr>
                <w:p w14:paraId="5AAA3DC1">
                  <w:pPr>
                    <w:keepNext w:val="0"/>
                    <w:keepLines w:val="0"/>
                    <w:widowControl/>
                    <w:suppressLineNumbers w:val="0"/>
                    <w:jc w:val="center"/>
                    <w:textAlignment w:val="center"/>
                    <w:rPr>
                      <w:rFonts w:hint="default" w:ascii="Times New Roman" w:hAnsi="Times New Roman" w:cs="Times New Roman"/>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20</w:t>
                  </w:r>
                </w:p>
              </w:tc>
              <w:tc>
                <w:tcPr>
                  <w:tcW w:w="503" w:type="pct"/>
                  <w:noWrap w:val="0"/>
                  <w:vAlign w:val="center"/>
                </w:tcPr>
                <w:p w14:paraId="21E11D76">
                  <w:pPr>
                    <w:keepNext w:val="0"/>
                    <w:keepLines w:val="0"/>
                    <w:widowControl/>
                    <w:suppressLineNumbers w:val="0"/>
                    <w:jc w:val="center"/>
                    <w:textAlignment w:val="center"/>
                    <w:rPr>
                      <w:rFonts w:hint="default" w:ascii="Times New Roman" w:hAnsi="Times New Roman" w:cs="Times New Roman"/>
                      <w:i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color w:val="000000" w:themeColor="text1"/>
                      <w:kern w:val="0"/>
                      <w:sz w:val="21"/>
                      <w:szCs w:val="21"/>
                      <w:highlight w:val="none"/>
                      <w:u w:val="none"/>
                      <w:lang w:val="en-US" w:eastAsia="zh-CN" w:bidi="ar"/>
                      <w14:textFill>
                        <w14:solidFill>
                          <w14:schemeClr w14:val="tx1"/>
                        </w14:solidFill>
                      </w14:textFill>
                    </w:rPr>
                    <w:t>/</w:t>
                  </w:r>
                </w:p>
              </w:tc>
              <w:tc>
                <w:tcPr>
                  <w:tcW w:w="504" w:type="pct"/>
                  <w:noWrap w:val="0"/>
                  <w:vAlign w:val="center"/>
                </w:tcPr>
                <w:p w14:paraId="6CD1C197">
                  <w:pPr>
                    <w:keepNext w:val="0"/>
                    <w:keepLines w:val="0"/>
                    <w:widowControl/>
                    <w:suppressLineNumbers w:val="0"/>
                    <w:jc w:val="center"/>
                    <w:textAlignment w:val="center"/>
                    <w:rPr>
                      <w:rFonts w:hint="default" w:ascii="Times New Roman" w:hAnsi="Times New Roman" w:cs="Times New Roman"/>
                      <w:i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color w:val="000000" w:themeColor="text1"/>
                      <w:kern w:val="0"/>
                      <w:sz w:val="21"/>
                      <w:szCs w:val="21"/>
                      <w:highlight w:val="none"/>
                      <w:u w:val="none"/>
                      <w:lang w:val="en-US" w:eastAsia="zh-CN" w:bidi="ar"/>
                      <w14:textFill>
                        <w14:solidFill>
                          <w14:schemeClr w14:val="tx1"/>
                        </w14:solidFill>
                      </w14:textFill>
                    </w:rPr>
                    <w:t>/</w:t>
                  </w:r>
                </w:p>
              </w:tc>
            </w:tr>
            <w:tr w14:paraId="60328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658" w:type="pct"/>
                  <w:noWrap w:val="0"/>
                  <w:vAlign w:val="center"/>
                </w:tcPr>
                <w:p w14:paraId="540F46F7">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黄料仓</w:t>
                  </w:r>
                </w:p>
              </w:tc>
              <w:tc>
                <w:tcPr>
                  <w:tcW w:w="503" w:type="pct"/>
                  <w:noWrap w:val="0"/>
                  <w:vAlign w:val="center"/>
                </w:tcPr>
                <w:p w14:paraId="5CE606D1">
                  <w:pPr>
                    <w:kinsoku w:val="0"/>
                    <w:overflowPunct w:val="0"/>
                    <w:snapToGrid w:val="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DA0</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14</w:t>
                  </w:r>
                </w:p>
              </w:tc>
              <w:tc>
                <w:tcPr>
                  <w:tcW w:w="503" w:type="pct"/>
                  <w:noWrap w:val="0"/>
                  <w:vAlign w:val="center"/>
                </w:tcPr>
                <w:p w14:paraId="60A7D02C">
                  <w:pPr>
                    <w:pStyle w:val="85"/>
                    <w:kinsoku w:val="0"/>
                    <w:overflowPunct w:val="0"/>
                    <w:snapToGrid w:val="0"/>
                    <w:ind w:firstLine="0" w:firstLineChars="0"/>
                    <w:jc w:val="both"/>
                    <w:rPr>
                      <w:rFonts w:hint="default" w:ascii="Times New Roman" w:hAnsi="Times New Roman" w:eastAsia="宋体" w:cs="Times New Roman"/>
                      <w:color w:val="000000" w:themeColor="text1"/>
                      <w:kern w:val="0"/>
                      <w:sz w:val="21"/>
                      <w:szCs w:val="21"/>
                      <w:highlight w:val="none"/>
                      <w:lang w:val="en-US" w:eastAsia="en-US"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颗粒物</w:t>
                  </w:r>
                </w:p>
              </w:tc>
              <w:tc>
                <w:tcPr>
                  <w:tcW w:w="658" w:type="pct"/>
                  <w:noWrap w:val="0"/>
                  <w:vAlign w:val="center"/>
                </w:tcPr>
                <w:p w14:paraId="582C69A5">
                  <w:pPr>
                    <w:pStyle w:val="85"/>
                    <w:kinsoku w:val="0"/>
                    <w:overflowPunct w:val="0"/>
                    <w:snapToGrid w:val="0"/>
                    <w:ind w:firstLine="0" w:firstLineChars="0"/>
                    <w:jc w:val="cente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10000</w:t>
                  </w:r>
                </w:p>
              </w:tc>
              <w:tc>
                <w:tcPr>
                  <w:tcW w:w="503" w:type="pct"/>
                  <w:noWrap w:val="0"/>
                  <w:vAlign w:val="center"/>
                </w:tcPr>
                <w:p w14:paraId="67266852">
                  <w:pPr>
                    <w:pStyle w:val="85"/>
                    <w:kinsoku w:val="0"/>
                    <w:overflowPunct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1.26</w:t>
                  </w:r>
                </w:p>
              </w:tc>
              <w:tc>
                <w:tcPr>
                  <w:tcW w:w="353" w:type="pct"/>
                  <w:noWrap w:val="0"/>
                  <w:vAlign w:val="center"/>
                </w:tcPr>
                <w:p w14:paraId="077EADA9">
                  <w:pPr>
                    <w:pStyle w:val="85"/>
                    <w:kinsoku w:val="0"/>
                    <w:overflowPunct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99</w:t>
                  </w:r>
                </w:p>
              </w:tc>
              <w:tc>
                <w:tcPr>
                  <w:tcW w:w="812" w:type="pct"/>
                  <w:noWrap w:val="0"/>
                  <w:vAlign w:val="center"/>
                </w:tcPr>
                <w:p w14:paraId="4A891B3F">
                  <w:pPr>
                    <w:keepNext w:val="0"/>
                    <w:keepLines w:val="0"/>
                    <w:widowControl/>
                    <w:suppressLineNumbers w:val="0"/>
                    <w:jc w:val="center"/>
                    <w:textAlignment w:val="cente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color w:val="000000" w:themeColor="text1"/>
                      <w:kern w:val="0"/>
                      <w:sz w:val="21"/>
                      <w:szCs w:val="21"/>
                      <w:highlight w:val="none"/>
                      <w:u w:val="none"/>
                      <w:lang w:val="en-US" w:eastAsia="zh-CN" w:bidi="ar"/>
                      <w14:textFill>
                        <w14:solidFill>
                          <w14:schemeClr w14:val="tx1"/>
                        </w14:solidFill>
                      </w14:textFill>
                    </w:rPr>
                    <w:t>0.4</w:t>
                  </w:r>
                </w:p>
              </w:tc>
              <w:tc>
                <w:tcPr>
                  <w:tcW w:w="503" w:type="pct"/>
                  <w:noWrap w:val="0"/>
                  <w:vAlign w:val="center"/>
                </w:tcPr>
                <w:p w14:paraId="230B033A">
                  <w:pPr>
                    <w:keepNext w:val="0"/>
                    <w:keepLines w:val="0"/>
                    <w:widowControl/>
                    <w:suppressLineNumbers w:val="0"/>
                    <w:jc w:val="center"/>
                    <w:textAlignment w:val="cente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t>0.</w:t>
                  </w:r>
                  <w:r>
                    <w:rPr>
                      <w:rFonts w:hint="default" w:ascii="Times New Roman" w:hAnsi="Times New Roman" w:cs="Times New Roman"/>
                      <w:i w:val="0"/>
                      <w:color w:val="000000" w:themeColor="text1"/>
                      <w:kern w:val="0"/>
                      <w:sz w:val="21"/>
                      <w:szCs w:val="21"/>
                      <w:highlight w:val="none"/>
                      <w:u w:val="none"/>
                      <w:lang w:val="en-US" w:eastAsia="zh-CN" w:bidi="ar"/>
                      <w14:textFill>
                        <w14:solidFill>
                          <w14:schemeClr w14:val="tx1"/>
                        </w14:solidFill>
                      </w14:textFill>
                    </w:rPr>
                    <w:t>0</w:t>
                  </w:r>
                  <w:r>
                    <w:rPr>
                      <w:rFonts w:hint="eastAsia" w:cs="Times New Roman"/>
                      <w:i w:val="0"/>
                      <w:color w:val="000000" w:themeColor="text1"/>
                      <w:kern w:val="0"/>
                      <w:sz w:val="21"/>
                      <w:szCs w:val="21"/>
                      <w:highlight w:val="none"/>
                      <w:u w:val="none"/>
                      <w:lang w:val="en-US" w:eastAsia="zh-CN" w:bidi="ar"/>
                      <w14:textFill>
                        <w14:solidFill>
                          <w14:schemeClr w14:val="tx1"/>
                        </w14:solidFill>
                      </w14:textFill>
                    </w:rPr>
                    <w:t>1</w:t>
                  </w:r>
                </w:p>
              </w:tc>
              <w:tc>
                <w:tcPr>
                  <w:tcW w:w="504" w:type="pct"/>
                  <w:noWrap w:val="0"/>
                  <w:vAlign w:val="center"/>
                </w:tcPr>
                <w:p w14:paraId="0CBA01C9">
                  <w:pPr>
                    <w:keepNext w:val="0"/>
                    <w:keepLines w:val="0"/>
                    <w:widowControl/>
                    <w:suppressLineNumbers w:val="0"/>
                    <w:jc w:val="center"/>
                    <w:textAlignment w:val="cente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color w:val="000000" w:themeColor="text1"/>
                      <w:kern w:val="0"/>
                      <w:sz w:val="21"/>
                      <w:szCs w:val="21"/>
                      <w:highlight w:val="none"/>
                      <w:u w:val="none"/>
                      <w:lang w:val="en-US" w:eastAsia="zh-CN" w:bidi="ar"/>
                      <w14:textFill>
                        <w14:solidFill>
                          <w14:schemeClr w14:val="tx1"/>
                        </w14:solidFill>
                      </w14:textFill>
                    </w:rPr>
                    <w:t>15</w:t>
                  </w:r>
                </w:p>
              </w:tc>
            </w:tr>
            <w:tr w14:paraId="2442E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3180" w:type="pct"/>
                  <w:gridSpan w:val="6"/>
                  <w:noWrap w:val="0"/>
                  <w:vAlign w:val="center"/>
                </w:tcPr>
                <w:p w14:paraId="3D6D4286">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排放</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限值</w:t>
                  </w:r>
                </w:p>
              </w:tc>
              <w:tc>
                <w:tcPr>
                  <w:tcW w:w="812" w:type="pct"/>
                  <w:noWrap w:val="0"/>
                  <w:vAlign w:val="center"/>
                </w:tcPr>
                <w:p w14:paraId="34368FC7">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20</w:t>
                  </w:r>
                </w:p>
              </w:tc>
              <w:tc>
                <w:tcPr>
                  <w:tcW w:w="503" w:type="pct"/>
                  <w:noWrap w:val="0"/>
                  <w:vAlign w:val="center"/>
                </w:tcPr>
                <w:p w14:paraId="0EE5F2A7">
                  <w:pPr>
                    <w:pStyle w:val="85"/>
                    <w:kinsoku w:val="0"/>
                    <w:overflowPunct w:val="0"/>
                    <w:snapToGrid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504" w:type="pct"/>
                  <w:noWrap w:val="0"/>
                  <w:vAlign w:val="center"/>
                </w:tcPr>
                <w:p w14:paraId="5B83ABC1">
                  <w:pPr>
                    <w:pStyle w:val="85"/>
                    <w:kinsoku w:val="0"/>
                    <w:overflowPunct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p>
              </w:tc>
            </w:tr>
            <w:tr w14:paraId="36552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3180" w:type="pct"/>
                  <w:gridSpan w:val="6"/>
                  <w:noWrap w:val="0"/>
                  <w:vAlign w:val="center"/>
                </w:tcPr>
                <w:p w14:paraId="3F032D89">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达标情况</w:t>
                  </w:r>
                </w:p>
              </w:tc>
              <w:tc>
                <w:tcPr>
                  <w:tcW w:w="812" w:type="pct"/>
                  <w:noWrap w:val="0"/>
                  <w:vAlign w:val="center"/>
                </w:tcPr>
                <w:p w14:paraId="71A5D9F8">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达标</w:t>
                  </w:r>
                </w:p>
              </w:tc>
              <w:tc>
                <w:tcPr>
                  <w:tcW w:w="503" w:type="pct"/>
                  <w:noWrap w:val="0"/>
                  <w:vAlign w:val="center"/>
                </w:tcPr>
                <w:p w14:paraId="5A8D307A">
                  <w:pPr>
                    <w:pStyle w:val="85"/>
                    <w:kinsoku w:val="0"/>
                    <w:overflowPunct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p>
              </w:tc>
              <w:tc>
                <w:tcPr>
                  <w:tcW w:w="504" w:type="pct"/>
                  <w:noWrap w:val="0"/>
                  <w:vAlign w:val="center"/>
                </w:tcPr>
                <w:p w14:paraId="50548F17">
                  <w:pPr>
                    <w:pStyle w:val="85"/>
                    <w:kinsoku w:val="0"/>
                    <w:overflowPunct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p>
              </w:tc>
            </w:tr>
          </w:tbl>
          <w:p w14:paraId="574EE92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pPr>
            <w:r>
              <w:rPr>
                <w:rFonts w:hint="eastAsia" w:cs="Times New Roman"/>
                <w:b w:val="0"/>
                <w:bCs w:val="0"/>
                <w:color w:val="000000" w:themeColor="text1"/>
                <w:sz w:val="24"/>
                <w:highlight w:val="none"/>
                <w:lang w:val="en-US" w:eastAsia="zh-CN"/>
                <w14:textFill>
                  <w14:solidFill>
                    <w14:schemeClr w14:val="tx1"/>
                  </w14:solidFill>
                </w14:textFill>
              </w:rPr>
              <w:t>8</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）包装粉尘（G1-1</w:t>
            </w:r>
            <w:r>
              <w:rPr>
                <w:rFonts w:hint="default" w:ascii="Times New Roman" w:hAnsi="Times New Roman" w:cs="Times New Roman"/>
                <w:b w:val="0"/>
                <w:bCs w:val="0"/>
                <w:color w:val="000000" w:themeColor="text1"/>
                <w:sz w:val="24"/>
                <w:highlight w:val="none"/>
                <w:lang w:val="en-US" w:eastAsia="zh-CN"/>
                <w14:textFill>
                  <w14:solidFill>
                    <w14:schemeClr w14:val="tx1"/>
                  </w14:solidFill>
                </w14:textFill>
              </w:rPr>
              <w:t>3</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、G1-1</w:t>
            </w:r>
            <w:r>
              <w:rPr>
                <w:rFonts w:hint="default" w:ascii="Times New Roman" w:hAnsi="Times New Roman" w:cs="Times New Roman"/>
                <w:b w:val="0"/>
                <w:bCs w:val="0"/>
                <w:color w:val="000000" w:themeColor="text1"/>
                <w:sz w:val="24"/>
                <w:highlight w:val="none"/>
                <w:lang w:val="en-US" w:eastAsia="zh-CN"/>
                <w14:textFill>
                  <w14:solidFill>
                    <w14:schemeClr w14:val="tx1"/>
                  </w14:solidFill>
                </w14:textFill>
              </w:rPr>
              <w:t>4</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w:t>
            </w:r>
          </w:p>
          <w:p w14:paraId="78BB31B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产品高岭土标准化原料包装过程中会产生包装粉尘，产品高岭土标准化原料</w:t>
            </w:r>
            <w:r>
              <w:rPr>
                <w:rFonts w:hint="eastAsia" w:cs="Times New Roman"/>
                <w:color w:val="000000" w:themeColor="text1"/>
                <w:sz w:val="24"/>
                <w:highlight w:val="none"/>
                <w:lang w:val="en-US" w:eastAsia="zh-CN"/>
                <w14:textFill>
                  <w14:solidFill>
                    <w14:schemeClr w14:val="tx1"/>
                  </w14:solidFill>
                </w14:textFill>
              </w:rPr>
              <w:t>及</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包装粉尘经全密封出料口完成（产品高岭土标准化原料直接在出料口用内含塑料膜的吨袋包装），参照《逸散性工业粉尘控制技术》（奥里蒙等编著，中国环境科学出版社，1989）中水泥厂的逸散尘排放因子，转运和输送排放因子为0.1～0.2kg/t（搬运料），水泥装载排放因子为0.118kg/t（装料），水泥装袋排放因子为0.005kg/t（搬运料），本项目输送皮带封闭处理，本次评价袋包装逸散尘排放因子取值0.223kg/t（搬运料）。</w:t>
            </w:r>
          </w:p>
          <w:p w14:paraId="442D9DA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大吨袋包、小袋包装粉尘分别配置1台袋式除尘器，除尘器风量为1000Nm</w:t>
            </w:r>
            <w:r>
              <w:rPr>
                <w:rFonts w:hint="default" w:ascii="Times New Roman" w:hAnsi="Times New Roman" w:eastAsia="宋体" w:cs="Times New Roman"/>
                <w:color w:val="000000" w:themeColor="text1"/>
                <w:sz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/h，除尘效率为99%，年运行时间为</w:t>
            </w:r>
            <w:r>
              <w:rPr>
                <w:rFonts w:hint="default" w:ascii="Times New Roman" w:hAnsi="Times New Roman" w:cs="Times New Roman"/>
                <w:color w:val="000000" w:themeColor="text1"/>
                <w:sz w:val="24"/>
                <w:highlight w:val="none"/>
                <w:lang w:val="en-US" w:eastAsia="zh-CN"/>
                <w14:textFill>
                  <w14:solidFill>
                    <w14:schemeClr w14:val="tx1"/>
                  </w14:solidFill>
                </w14:textFill>
              </w:rPr>
              <w:t>72</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00h。</w:t>
            </w:r>
          </w:p>
          <w:p w14:paraId="1FBF17C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大吨袋包、小袋包装颗粒物产生量为</w:t>
            </w:r>
            <w:r>
              <w:rPr>
                <w:rFonts w:hint="default" w:ascii="Times New Roman" w:hAnsi="Times New Roman" w:cs="Times New Roman"/>
                <w:color w:val="000000" w:themeColor="text1"/>
                <w:sz w:val="24"/>
                <w:highlight w:val="none"/>
                <w:lang w:val="en-US" w:eastAsia="zh-CN"/>
                <w14:textFill>
                  <w14:solidFill>
                    <w14:schemeClr w14:val="tx1"/>
                  </w14:solidFill>
                </w14:textFill>
              </w:rPr>
              <w:t>2.2</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t/a和</w:t>
            </w:r>
            <w:r>
              <w:rPr>
                <w:rFonts w:hint="default" w:ascii="Times New Roman" w:hAnsi="Times New Roman" w:cs="Times New Roman"/>
                <w:color w:val="000000" w:themeColor="text1"/>
                <w:sz w:val="24"/>
                <w:highlight w:val="none"/>
                <w:lang w:val="en-US" w:eastAsia="zh-CN"/>
                <w14:textFill>
                  <w14:solidFill>
                    <w14:schemeClr w14:val="tx1"/>
                  </w14:solidFill>
                </w14:textFill>
              </w:rPr>
              <w:t>2.2</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t/a，袋式除尘器的除尘效率为99%，则排放量为0.</w:t>
            </w:r>
            <w:r>
              <w:rPr>
                <w:rFonts w:hint="default" w:ascii="Times New Roman" w:hAnsi="Times New Roman" w:cs="Times New Roman"/>
                <w:color w:val="000000" w:themeColor="text1"/>
                <w:sz w:val="24"/>
                <w:highlight w:val="none"/>
                <w:lang w:val="en-US" w:eastAsia="zh-CN"/>
                <w14:textFill>
                  <w14:solidFill>
                    <w14:schemeClr w14:val="tx1"/>
                  </w14:solidFill>
                </w14:textFill>
              </w:rPr>
              <w:t>0</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2t/a和0.0</w:t>
            </w:r>
            <w:r>
              <w:rPr>
                <w:rFonts w:hint="default" w:ascii="Times New Roman" w:hAnsi="Times New Roman" w:cs="Times New Roman"/>
                <w:color w:val="000000" w:themeColor="text1"/>
                <w:sz w:val="24"/>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t/a。</w:t>
            </w:r>
          </w:p>
          <w:p w14:paraId="04B21318">
            <w:pPr>
              <w:keepNext w:val="0"/>
              <w:keepLines w:val="0"/>
              <w:pageBreakBefore w:val="0"/>
              <w:widowControl w:val="0"/>
              <w:kinsoku/>
              <w:wordWrap/>
              <w:overflowPunct/>
              <w:topLinePunct w:val="0"/>
              <w:autoSpaceDE/>
              <w:autoSpaceDN/>
              <w:bidi w:val="0"/>
              <w:adjustRightInd/>
              <w:snapToGrid w:val="0"/>
              <w:spacing w:line="240" w:lineRule="auto"/>
              <w:ind w:firstLine="482" w:firstLineChars="200"/>
              <w:jc w:val="center"/>
              <w:textAlignment w:val="auto"/>
              <w:rPr>
                <w:rFonts w:hint="default" w:ascii="Times New Roman" w:hAnsi="Times New Roman" w:eastAsia="仿宋" w:cs="Times New Roman"/>
                <w:color w:val="000000" w:themeColor="text1"/>
                <w:sz w:val="24"/>
                <w:highlight w:val="none"/>
                <w14:textFill>
                  <w14:solidFill>
                    <w14:schemeClr w14:val="tx1"/>
                  </w14:solidFill>
                </w14:textFill>
              </w:rPr>
            </w:pPr>
            <w:r>
              <w:rPr>
                <w:rFonts w:hint="default" w:ascii="Times New Roman" w:hAnsi="Times New Roman" w:eastAsia="宋体" w:cs="Times New Roman"/>
                <w:b/>
                <w:bCs/>
                <w:color w:val="000000" w:themeColor="text1"/>
                <w:kern w:val="2"/>
                <w:sz w:val="24"/>
                <w:szCs w:val="24"/>
                <w:highlight w:val="none"/>
                <w14:textFill>
                  <w14:solidFill>
                    <w14:schemeClr w14:val="tx1"/>
                  </w14:solidFill>
                </w14:textFill>
              </w:rPr>
              <w:t>表</w:t>
            </w:r>
            <w:r>
              <w:rPr>
                <w:rFonts w:hint="default" w:ascii="Times New Roman" w:hAnsi="Times New Roman" w:eastAsia="宋体" w:cs="Times New Roman"/>
                <w:b/>
                <w:bCs/>
                <w:color w:val="000000" w:themeColor="text1"/>
                <w:kern w:val="2"/>
                <w:sz w:val="24"/>
                <w:szCs w:val="24"/>
                <w:highlight w:val="none"/>
                <w:lang w:val="en-US" w:eastAsia="zh-CN"/>
                <w14:textFill>
                  <w14:solidFill>
                    <w14:schemeClr w14:val="tx1"/>
                  </w14:solidFill>
                </w14:textFill>
              </w:rPr>
              <w:t>4-8成品包装</w:t>
            </w:r>
            <w:r>
              <w:rPr>
                <w:rFonts w:hint="default" w:ascii="Times New Roman" w:hAnsi="Times New Roman" w:cs="Times New Roman"/>
                <w:b/>
                <w:bCs/>
                <w:color w:val="000000" w:themeColor="text1"/>
                <w:kern w:val="2"/>
                <w:sz w:val="24"/>
                <w:szCs w:val="24"/>
                <w:highlight w:val="none"/>
                <w:lang w:val="en-US" w:eastAsia="zh-CN"/>
                <w14:textFill>
                  <w14:solidFill>
                    <w14:schemeClr w14:val="tx1"/>
                  </w14:solidFill>
                </w14:textFill>
              </w:rPr>
              <w:t>废气</w:t>
            </w:r>
            <w:r>
              <w:rPr>
                <w:rFonts w:hint="default" w:ascii="Times New Roman" w:hAnsi="Times New Roman" w:cs="Times New Roman"/>
                <w:b/>
                <w:bCs/>
                <w:color w:val="000000" w:themeColor="text1"/>
                <w:kern w:val="2"/>
                <w:sz w:val="24"/>
                <w:szCs w:val="24"/>
                <w:highlight w:val="none"/>
                <w14:textFill>
                  <w14:solidFill>
                    <w14:schemeClr w14:val="tx1"/>
                  </w14:solidFill>
                </w14:textFill>
              </w:rPr>
              <w:t>粉尘产排情况一览表</w:t>
            </w:r>
          </w:p>
          <w:tbl>
            <w:tblPr>
              <w:tblStyle w:val="24"/>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1308"/>
              <w:gridCol w:w="811"/>
              <w:gridCol w:w="812"/>
              <w:gridCol w:w="699"/>
              <w:gridCol w:w="812"/>
              <w:gridCol w:w="565"/>
              <w:gridCol w:w="1309"/>
              <w:gridCol w:w="812"/>
              <w:gridCol w:w="812"/>
            </w:tblGrid>
            <w:tr w14:paraId="61FDA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jc w:val="center"/>
              </w:trPr>
              <w:tc>
                <w:tcPr>
                  <w:tcW w:w="824" w:type="pct"/>
                  <w:vMerge w:val="restart"/>
                  <w:noWrap w:val="0"/>
                  <w:vAlign w:val="center"/>
                </w:tcPr>
                <w:p w14:paraId="3F4592E6">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装置</w:t>
                  </w:r>
                </w:p>
              </w:tc>
              <w:tc>
                <w:tcPr>
                  <w:tcW w:w="511" w:type="pct"/>
                  <w:vMerge w:val="restart"/>
                  <w:noWrap w:val="0"/>
                  <w:vAlign w:val="center"/>
                </w:tcPr>
                <w:p w14:paraId="489C7725">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污染源</w:t>
                  </w:r>
                </w:p>
              </w:tc>
              <w:tc>
                <w:tcPr>
                  <w:tcW w:w="511" w:type="pct"/>
                  <w:vMerge w:val="restart"/>
                  <w:noWrap w:val="0"/>
                  <w:vAlign w:val="center"/>
                </w:tcPr>
                <w:p w14:paraId="1226D500">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污染物</w:t>
                  </w:r>
                </w:p>
              </w:tc>
              <w:tc>
                <w:tcPr>
                  <w:tcW w:w="440" w:type="pct"/>
                  <w:vMerge w:val="restart"/>
                  <w:noWrap w:val="0"/>
                  <w:vAlign w:val="center"/>
                </w:tcPr>
                <w:p w14:paraId="1077970E">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风机</w:t>
                  </w:r>
                </w:p>
                <w:p w14:paraId="48F51B48">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风量</w:t>
                  </w:r>
                </w:p>
                <w:p w14:paraId="67CCD6C2">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eastAsia" w:ascii="Times New Roman" w:hAnsi="Times New Roman" w:cs="Times New Roman"/>
                      <w:b w:val="0"/>
                      <w:bCs w:val="0"/>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m</w:t>
                  </w:r>
                  <w:r>
                    <w:rPr>
                      <w:rFonts w:hint="default" w:ascii="Times New Roman" w:hAnsi="Times New Roman" w:eastAsia="宋体" w:cs="Times New Roman"/>
                      <w:b w:val="0"/>
                      <w:bCs w:val="0"/>
                      <w:color w:val="000000" w:themeColor="text1"/>
                      <w:sz w:val="21"/>
                      <w:szCs w:val="21"/>
                      <w:highlight w:val="none"/>
                      <w:vertAlign w:val="superscript"/>
                      <w:lang w:eastAsia="zh-CN"/>
                      <w14:textFill>
                        <w14:solidFill>
                          <w14:schemeClr w14:val="tx1"/>
                        </w14:solidFill>
                      </w14:textFill>
                    </w:rPr>
                    <w:t>3</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/h</w:t>
                  </w:r>
                  <w:r>
                    <w:rPr>
                      <w:rFonts w:hint="eastAsia" w:ascii="Times New Roman" w:hAnsi="Times New Roman" w:cs="Times New Roman"/>
                      <w:b w:val="0"/>
                      <w:bCs w:val="0"/>
                      <w:color w:val="000000" w:themeColor="text1"/>
                      <w:sz w:val="21"/>
                      <w:szCs w:val="21"/>
                      <w:highlight w:val="none"/>
                      <w:lang w:eastAsia="zh-CN"/>
                      <w14:textFill>
                        <w14:solidFill>
                          <w14:schemeClr w14:val="tx1"/>
                        </w14:solidFill>
                      </w14:textFill>
                    </w:rPr>
                    <w:t>)</w:t>
                  </w:r>
                </w:p>
              </w:tc>
              <w:tc>
                <w:tcPr>
                  <w:tcW w:w="511" w:type="pct"/>
                  <w:vMerge w:val="restart"/>
                  <w:noWrap w:val="0"/>
                  <w:vAlign w:val="center"/>
                </w:tcPr>
                <w:p w14:paraId="0FABE8D9">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污染物</w:t>
                  </w:r>
                </w:p>
                <w:p w14:paraId="1213A5AB">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产生</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量</w:t>
                  </w:r>
                </w:p>
                <w:p w14:paraId="0FBCCC51">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eastAsia" w:ascii="Times New Roman" w:hAnsi="Times New Roman" w:cs="Times New Roman"/>
                      <w:b w:val="0"/>
                      <w:bCs w:val="0"/>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t</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a</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w:t>
                  </w:r>
                </w:p>
              </w:tc>
              <w:tc>
                <w:tcPr>
                  <w:tcW w:w="355" w:type="pct"/>
                  <w:vMerge w:val="restart"/>
                  <w:noWrap w:val="0"/>
                  <w:vAlign w:val="center"/>
                </w:tcPr>
                <w:p w14:paraId="68B376FF">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处理</w:t>
                  </w:r>
                </w:p>
                <w:p w14:paraId="1C5EF820">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效率</w:t>
                  </w:r>
                </w:p>
                <w:p w14:paraId="7806013F">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w:t>
                  </w:r>
                </w:p>
              </w:tc>
              <w:tc>
                <w:tcPr>
                  <w:tcW w:w="1335" w:type="pct"/>
                  <w:gridSpan w:val="2"/>
                  <w:noWrap w:val="0"/>
                  <w:vAlign w:val="center"/>
                </w:tcPr>
                <w:p w14:paraId="3BEA9A0D">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污染物排放</w:t>
                  </w:r>
                </w:p>
              </w:tc>
              <w:tc>
                <w:tcPr>
                  <w:tcW w:w="511" w:type="pct"/>
                  <w:vMerge w:val="restart"/>
                  <w:noWrap w:val="0"/>
                  <w:vAlign w:val="center"/>
                </w:tcPr>
                <w:p w14:paraId="6686BEE6">
                  <w:pPr>
                    <w:pStyle w:val="85"/>
                    <w:kinsoku w:val="0"/>
                    <w:overflowPunct w:val="0"/>
                    <w:snapToGrid w:val="0"/>
                    <w:jc w:val="cente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排气</w:t>
                  </w:r>
                  <w:r>
                    <w:rPr>
                      <w:rFonts w:hint="eastAsia" w:cs="Times New Roman"/>
                      <w:color w:val="000000" w:themeColor="text1"/>
                      <w:sz w:val="24"/>
                      <w:szCs w:val="24"/>
                      <w:highlight w:val="none"/>
                      <w:lang w:val="en-US" w:eastAsia="zh-CN"/>
                      <w14:textFill>
                        <w14:solidFill>
                          <w14:schemeClr w14:val="tx1"/>
                        </w14:solidFill>
                      </w14:textFill>
                    </w:rPr>
                    <w:t>口</w:t>
                  </w:r>
                </w:p>
                <w:p w14:paraId="464F3ABC">
                  <w:pPr>
                    <w:pStyle w:val="85"/>
                    <w:kinsoku w:val="0"/>
                    <w:overflowPunct w:val="0"/>
                    <w:snapToGrid w:val="0"/>
                    <w:jc w:val="cente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高度</w:t>
                  </w:r>
                </w:p>
                <w:p w14:paraId="52C7D342">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(m)</w:t>
                  </w:r>
                </w:p>
              </w:tc>
            </w:tr>
            <w:tr w14:paraId="5310C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824" w:type="pct"/>
                  <w:vMerge w:val="continue"/>
                  <w:noWrap w:val="0"/>
                  <w:vAlign w:val="center"/>
                </w:tcPr>
                <w:p w14:paraId="05453519">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511" w:type="pct"/>
                  <w:vMerge w:val="continue"/>
                  <w:noWrap w:val="0"/>
                  <w:vAlign w:val="center"/>
                </w:tcPr>
                <w:p w14:paraId="1C446DF3">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511" w:type="pct"/>
                  <w:vMerge w:val="continue"/>
                  <w:noWrap w:val="0"/>
                  <w:vAlign w:val="center"/>
                </w:tcPr>
                <w:p w14:paraId="61C47BE0">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440" w:type="pct"/>
                  <w:vMerge w:val="continue"/>
                  <w:noWrap w:val="0"/>
                  <w:vAlign w:val="center"/>
                </w:tcPr>
                <w:p w14:paraId="76231F2A">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511" w:type="pct"/>
                  <w:vMerge w:val="continue"/>
                  <w:noWrap w:val="0"/>
                  <w:vAlign w:val="center"/>
                </w:tcPr>
                <w:p w14:paraId="6C915135">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355" w:type="pct"/>
                  <w:vMerge w:val="continue"/>
                  <w:noWrap w:val="0"/>
                  <w:vAlign w:val="center"/>
                </w:tcPr>
                <w:p w14:paraId="260318E8">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824" w:type="pct"/>
                  <w:noWrap w:val="0"/>
                  <w:vAlign w:val="center"/>
                </w:tcPr>
                <w:p w14:paraId="6D5E77D0">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排放浓度</w:t>
                  </w:r>
                </w:p>
                <w:p w14:paraId="174195A0">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eastAsia" w:ascii="Times New Roman" w:hAnsi="Times New Roman" w:cs="Times New Roman"/>
                      <w:b w:val="0"/>
                      <w:bCs w:val="0"/>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mg/</w:t>
                  </w: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m</w:t>
                  </w:r>
                  <w:r>
                    <w:rPr>
                      <w:rFonts w:hint="default" w:ascii="Times New Roman" w:hAnsi="Times New Roman" w:eastAsia="宋体" w:cs="Times New Roman"/>
                      <w:b w:val="0"/>
                      <w:bCs w:val="0"/>
                      <w:color w:val="000000" w:themeColor="text1"/>
                      <w:sz w:val="21"/>
                      <w:szCs w:val="21"/>
                      <w:highlight w:val="none"/>
                      <w:vertAlign w:val="superscript"/>
                      <w:lang w:eastAsia="zh-CN"/>
                      <w14:textFill>
                        <w14:solidFill>
                          <w14:schemeClr w14:val="tx1"/>
                        </w14:solidFill>
                      </w14:textFill>
                    </w:rPr>
                    <w:t>3</w:t>
                  </w:r>
                  <w:r>
                    <w:rPr>
                      <w:rFonts w:hint="eastAsia" w:ascii="Times New Roman" w:hAnsi="Times New Roman" w:cs="Times New Roman"/>
                      <w:b w:val="0"/>
                      <w:bCs w:val="0"/>
                      <w:color w:val="000000" w:themeColor="text1"/>
                      <w:sz w:val="21"/>
                      <w:szCs w:val="21"/>
                      <w:highlight w:val="none"/>
                      <w:vertAlign w:val="superscript"/>
                      <w:lang w:eastAsia="zh-CN"/>
                      <w14:textFill>
                        <w14:solidFill>
                          <w14:schemeClr w14:val="tx1"/>
                        </w14:solidFill>
                      </w14:textFill>
                    </w:rPr>
                    <w:t>)</w:t>
                  </w:r>
                </w:p>
              </w:tc>
              <w:tc>
                <w:tcPr>
                  <w:tcW w:w="511" w:type="pct"/>
                  <w:noWrap w:val="0"/>
                  <w:vAlign w:val="center"/>
                </w:tcPr>
                <w:p w14:paraId="5CCF92A0">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排放量</w:t>
                  </w:r>
                </w:p>
                <w:p w14:paraId="5DC2BDFB">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eastAsia" w:ascii="Times New Roman" w:hAnsi="Times New Roman" w:cs="Times New Roman"/>
                      <w:b w:val="0"/>
                      <w:bCs w:val="0"/>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t</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a</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w:t>
                  </w:r>
                </w:p>
              </w:tc>
              <w:tc>
                <w:tcPr>
                  <w:tcW w:w="511" w:type="pct"/>
                  <w:vMerge w:val="continue"/>
                  <w:noWrap w:val="0"/>
                  <w:vAlign w:val="center"/>
                </w:tcPr>
                <w:p w14:paraId="4274A2D0">
                  <w:pPr>
                    <w:pStyle w:val="85"/>
                    <w:kinsoku w:val="0"/>
                    <w:overflowPunct w:val="0"/>
                    <w:snapToGrid w:val="0"/>
                    <w:jc w:val="center"/>
                    <w:rPr>
                      <w:rFonts w:hint="eastAsia" w:ascii="Times New Roman" w:hAnsi="Times New Roman" w:cs="Times New Roman"/>
                      <w:b w:val="0"/>
                      <w:bCs w:val="0"/>
                      <w:color w:val="000000" w:themeColor="text1"/>
                      <w:sz w:val="21"/>
                      <w:szCs w:val="21"/>
                      <w:highlight w:val="none"/>
                      <w:lang w:eastAsia="zh-CN"/>
                      <w14:textFill>
                        <w14:solidFill>
                          <w14:schemeClr w14:val="tx1"/>
                        </w14:solidFill>
                      </w14:textFill>
                    </w:rPr>
                  </w:pPr>
                </w:p>
              </w:tc>
            </w:tr>
            <w:tr w14:paraId="6A21D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jc w:val="center"/>
              </w:trPr>
              <w:tc>
                <w:tcPr>
                  <w:tcW w:w="824" w:type="pct"/>
                  <w:noWrap w:val="0"/>
                  <w:vAlign w:val="center"/>
                </w:tcPr>
                <w:p w14:paraId="4D720A08">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大</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成品包装</w:t>
                  </w:r>
                </w:p>
              </w:tc>
              <w:tc>
                <w:tcPr>
                  <w:tcW w:w="511" w:type="pct"/>
                  <w:noWrap w:val="0"/>
                  <w:vAlign w:val="center"/>
                </w:tcPr>
                <w:p w14:paraId="0206EA44">
                  <w:pPr>
                    <w:kinsoku w:val="0"/>
                    <w:overflowPunct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DA01</w:t>
                  </w:r>
                  <w:r>
                    <w:rPr>
                      <w:rFonts w:hint="eastAsia" w:cs="Times New Roman"/>
                      <w:color w:val="000000" w:themeColor="text1"/>
                      <w:sz w:val="21"/>
                      <w:szCs w:val="21"/>
                      <w:highlight w:val="none"/>
                      <w:lang w:val="en-US" w:eastAsia="zh-CN"/>
                      <w14:textFill>
                        <w14:solidFill>
                          <w14:schemeClr w14:val="tx1"/>
                        </w14:solidFill>
                      </w14:textFill>
                    </w:rPr>
                    <w:t>1</w:t>
                  </w:r>
                </w:p>
              </w:tc>
              <w:tc>
                <w:tcPr>
                  <w:tcW w:w="511" w:type="pct"/>
                  <w:noWrap w:val="0"/>
                  <w:vAlign w:val="center"/>
                </w:tcPr>
                <w:p w14:paraId="7E85F8FB">
                  <w:pPr>
                    <w:pStyle w:val="85"/>
                    <w:kinsoku w:val="0"/>
                    <w:overflowPunct w:val="0"/>
                    <w:snapToGrid w:val="0"/>
                    <w:ind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颗粒物</w:t>
                  </w:r>
                </w:p>
              </w:tc>
              <w:tc>
                <w:tcPr>
                  <w:tcW w:w="440" w:type="pct"/>
                  <w:noWrap w:val="0"/>
                  <w:vAlign w:val="center"/>
                </w:tcPr>
                <w:p w14:paraId="663A71D2">
                  <w:pPr>
                    <w:pStyle w:val="85"/>
                    <w:kinsoku w:val="0"/>
                    <w:overflowPunct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100</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0</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0</w:t>
                  </w:r>
                </w:p>
              </w:tc>
              <w:tc>
                <w:tcPr>
                  <w:tcW w:w="511" w:type="pct"/>
                  <w:noWrap w:val="0"/>
                  <w:vAlign w:val="center"/>
                </w:tcPr>
                <w:p w14:paraId="3D5648C1">
                  <w:pPr>
                    <w:pStyle w:val="85"/>
                    <w:kinsoku w:val="0"/>
                    <w:overflowPunct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.2</w:t>
                  </w:r>
                </w:p>
              </w:tc>
              <w:tc>
                <w:tcPr>
                  <w:tcW w:w="355" w:type="pct"/>
                  <w:noWrap w:val="0"/>
                  <w:vAlign w:val="center"/>
                </w:tcPr>
                <w:p w14:paraId="48EE8D36">
                  <w:pPr>
                    <w:pStyle w:val="85"/>
                    <w:kinsoku w:val="0"/>
                    <w:overflowPunct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99</w:t>
                  </w:r>
                </w:p>
              </w:tc>
              <w:tc>
                <w:tcPr>
                  <w:tcW w:w="824" w:type="pct"/>
                  <w:noWrap w:val="0"/>
                  <w:vAlign w:val="center"/>
                </w:tcPr>
                <w:p w14:paraId="3476FF86">
                  <w:pPr>
                    <w:keepNext w:val="0"/>
                    <w:keepLines w:val="0"/>
                    <w:widowControl/>
                    <w:suppressLineNumbers w:val="0"/>
                    <w:jc w:val="center"/>
                    <w:textAlignment w:val="cente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cs="Times New Roman"/>
                      <w:i w:val="0"/>
                      <w:color w:val="000000" w:themeColor="text1"/>
                      <w:kern w:val="0"/>
                      <w:sz w:val="21"/>
                      <w:szCs w:val="21"/>
                      <w:highlight w:val="none"/>
                      <w:u w:val="none"/>
                      <w:lang w:val="en-US" w:eastAsia="zh-CN" w:bidi="ar"/>
                      <w14:textFill>
                        <w14:solidFill>
                          <w14:schemeClr w14:val="tx1"/>
                        </w14:solidFill>
                      </w14:textFill>
                    </w:rPr>
                    <w:t>2</w:t>
                  </w:r>
                </w:p>
              </w:tc>
              <w:tc>
                <w:tcPr>
                  <w:tcW w:w="511" w:type="pct"/>
                  <w:noWrap w:val="0"/>
                  <w:vAlign w:val="center"/>
                </w:tcPr>
                <w:p w14:paraId="53D6CA02">
                  <w:pPr>
                    <w:keepNext w:val="0"/>
                    <w:keepLines w:val="0"/>
                    <w:widowControl/>
                    <w:suppressLineNumbers w:val="0"/>
                    <w:jc w:val="center"/>
                    <w:textAlignment w:val="cente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t>0.</w:t>
                  </w:r>
                  <w:r>
                    <w:rPr>
                      <w:rFonts w:hint="default" w:ascii="Times New Roman" w:hAnsi="Times New Roman" w:cs="Times New Roman"/>
                      <w:i w:val="0"/>
                      <w:color w:val="000000" w:themeColor="text1"/>
                      <w:kern w:val="0"/>
                      <w:sz w:val="21"/>
                      <w:szCs w:val="21"/>
                      <w:highlight w:val="none"/>
                      <w:u w:val="none"/>
                      <w:lang w:val="en-US" w:eastAsia="zh-CN" w:bidi="ar"/>
                      <w14:textFill>
                        <w14:solidFill>
                          <w14:schemeClr w14:val="tx1"/>
                        </w14:solidFill>
                      </w14:textFill>
                    </w:rPr>
                    <w:t>0</w:t>
                  </w:r>
                  <w: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t>2</w:t>
                  </w:r>
                </w:p>
              </w:tc>
              <w:tc>
                <w:tcPr>
                  <w:tcW w:w="511" w:type="pct"/>
                  <w:noWrap w:val="0"/>
                  <w:vAlign w:val="center"/>
                </w:tcPr>
                <w:p w14:paraId="68965F4A">
                  <w:pPr>
                    <w:keepNext w:val="0"/>
                    <w:keepLines w:val="0"/>
                    <w:widowControl/>
                    <w:suppressLineNumbers w:val="0"/>
                    <w:jc w:val="center"/>
                    <w:textAlignment w:val="cente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color w:val="000000" w:themeColor="text1"/>
                      <w:kern w:val="0"/>
                      <w:sz w:val="21"/>
                      <w:szCs w:val="21"/>
                      <w:highlight w:val="none"/>
                      <w:u w:val="none"/>
                      <w:lang w:val="en-US" w:eastAsia="zh-CN" w:bidi="ar"/>
                      <w14:textFill>
                        <w14:solidFill>
                          <w14:schemeClr w14:val="tx1"/>
                        </w14:solidFill>
                      </w14:textFill>
                    </w:rPr>
                    <w:t>30</w:t>
                  </w:r>
                </w:p>
              </w:tc>
            </w:tr>
            <w:tr w14:paraId="4E0A4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824" w:type="pct"/>
                  <w:noWrap w:val="0"/>
                  <w:vAlign w:val="center"/>
                </w:tcPr>
                <w:p w14:paraId="2F6802D7">
                  <w:pPr>
                    <w:pStyle w:val="85"/>
                    <w:kinsoku w:val="0"/>
                    <w:overflowPunct w:val="0"/>
                    <w:snapToGrid w:val="0"/>
                    <w:ind w:firstLine="0" w:firstLineChars="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小成品包装</w:t>
                  </w:r>
                </w:p>
              </w:tc>
              <w:tc>
                <w:tcPr>
                  <w:tcW w:w="511" w:type="pct"/>
                  <w:noWrap w:val="0"/>
                  <w:vAlign w:val="center"/>
                </w:tcPr>
                <w:p w14:paraId="1448C25C">
                  <w:pPr>
                    <w:kinsoku w:val="0"/>
                    <w:overflowPunct w:val="0"/>
                    <w:snapToGrid w:val="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DA01</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3</w:t>
                  </w:r>
                </w:p>
              </w:tc>
              <w:tc>
                <w:tcPr>
                  <w:tcW w:w="511" w:type="pct"/>
                  <w:noWrap w:val="0"/>
                  <w:vAlign w:val="center"/>
                </w:tcPr>
                <w:p w14:paraId="491B6537">
                  <w:pPr>
                    <w:pStyle w:val="85"/>
                    <w:kinsoku w:val="0"/>
                    <w:overflowPunct w:val="0"/>
                    <w:snapToGrid w:val="0"/>
                    <w:ind w:firstLine="0" w:firstLineChars="0"/>
                    <w:jc w:val="center"/>
                    <w:rPr>
                      <w:rFonts w:hint="default" w:ascii="Times New Roman" w:hAnsi="Times New Roman" w:eastAsia="宋体" w:cs="Times New Roman"/>
                      <w:color w:val="000000" w:themeColor="text1"/>
                      <w:kern w:val="0"/>
                      <w:sz w:val="21"/>
                      <w:szCs w:val="21"/>
                      <w:highlight w:val="none"/>
                      <w:lang w:val="en-US" w:eastAsia="en-US"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颗粒物</w:t>
                  </w:r>
                </w:p>
              </w:tc>
              <w:tc>
                <w:tcPr>
                  <w:tcW w:w="440" w:type="pct"/>
                  <w:noWrap w:val="0"/>
                  <w:vAlign w:val="center"/>
                </w:tcPr>
                <w:p w14:paraId="4740DED3">
                  <w:pPr>
                    <w:pStyle w:val="85"/>
                    <w:kinsoku w:val="0"/>
                    <w:overflowPunct w:val="0"/>
                    <w:snapToGrid w:val="0"/>
                    <w:ind w:firstLine="0" w:firstLineChars="0"/>
                    <w:jc w:val="cente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10</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0</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00</w:t>
                  </w:r>
                </w:p>
              </w:tc>
              <w:tc>
                <w:tcPr>
                  <w:tcW w:w="511" w:type="pct"/>
                  <w:noWrap w:val="0"/>
                  <w:vAlign w:val="center"/>
                </w:tcPr>
                <w:p w14:paraId="61E2F64C">
                  <w:pPr>
                    <w:pStyle w:val="85"/>
                    <w:kinsoku w:val="0"/>
                    <w:overflowPunct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.2</w:t>
                  </w:r>
                </w:p>
              </w:tc>
              <w:tc>
                <w:tcPr>
                  <w:tcW w:w="355" w:type="pct"/>
                  <w:noWrap w:val="0"/>
                  <w:vAlign w:val="center"/>
                </w:tcPr>
                <w:p w14:paraId="5AF0C475">
                  <w:pPr>
                    <w:kinsoku w:val="0"/>
                    <w:overflowPunct w:val="0"/>
                    <w:snapToGrid w:val="0"/>
                    <w:jc w:val="cente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99</w:t>
                  </w:r>
                </w:p>
              </w:tc>
              <w:tc>
                <w:tcPr>
                  <w:tcW w:w="824" w:type="pct"/>
                  <w:noWrap w:val="0"/>
                  <w:vAlign w:val="center"/>
                </w:tcPr>
                <w:p w14:paraId="6C965008">
                  <w:pPr>
                    <w:keepNext w:val="0"/>
                    <w:keepLines w:val="0"/>
                    <w:widowControl/>
                    <w:suppressLineNumbers w:val="0"/>
                    <w:jc w:val="center"/>
                    <w:textAlignment w:val="cente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cs="Times New Roman"/>
                      <w:i w:val="0"/>
                      <w:color w:val="000000" w:themeColor="text1"/>
                      <w:kern w:val="0"/>
                      <w:sz w:val="21"/>
                      <w:szCs w:val="21"/>
                      <w:highlight w:val="none"/>
                      <w:u w:val="none"/>
                      <w:lang w:val="en-US" w:eastAsia="zh-CN" w:bidi="ar"/>
                      <w14:textFill>
                        <w14:solidFill>
                          <w14:schemeClr w14:val="tx1"/>
                        </w14:solidFill>
                      </w14:textFill>
                    </w:rPr>
                    <w:t>2</w:t>
                  </w:r>
                </w:p>
              </w:tc>
              <w:tc>
                <w:tcPr>
                  <w:tcW w:w="511" w:type="pct"/>
                  <w:noWrap w:val="0"/>
                  <w:vAlign w:val="center"/>
                </w:tcPr>
                <w:p w14:paraId="569DC001">
                  <w:pPr>
                    <w:keepNext w:val="0"/>
                    <w:keepLines w:val="0"/>
                    <w:widowControl/>
                    <w:suppressLineNumbers w:val="0"/>
                    <w:jc w:val="center"/>
                    <w:textAlignment w:val="cente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t>0.</w:t>
                  </w:r>
                  <w:r>
                    <w:rPr>
                      <w:rFonts w:hint="default" w:ascii="Times New Roman" w:hAnsi="Times New Roman" w:cs="Times New Roman"/>
                      <w:i w:val="0"/>
                      <w:color w:val="000000" w:themeColor="text1"/>
                      <w:kern w:val="0"/>
                      <w:sz w:val="21"/>
                      <w:szCs w:val="21"/>
                      <w:highlight w:val="none"/>
                      <w:u w:val="none"/>
                      <w:lang w:val="en-US" w:eastAsia="zh-CN" w:bidi="ar"/>
                      <w14:textFill>
                        <w14:solidFill>
                          <w14:schemeClr w14:val="tx1"/>
                        </w14:solidFill>
                      </w14:textFill>
                    </w:rPr>
                    <w:t>02</w:t>
                  </w:r>
                </w:p>
              </w:tc>
              <w:tc>
                <w:tcPr>
                  <w:tcW w:w="511" w:type="pct"/>
                  <w:noWrap w:val="0"/>
                  <w:vAlign w:val="center"/>
                </w:tcPr>
                <w:p w14:paraId="4F8D56C2">
                  <w:pPr>
                    <w:keepNext w:val="0"/>
                    <w:keepLines w:val="0"/>
                    <w:widowControl/>
                    <w:suppressLineNumbers w:val="0"/>
                    <w:jc w:val="center"/>
                    <w:textAlignment w:val="cente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color w:val="000000" w:themeColor="text1"/>
                      <w:kern w:val="0"/>
                      <w:sz w:val="21"/>
                      <w:szCs w:val="21"/>
                      <w:highlight w:val="none"/>
                      <w:u w:val="none"/>
                      <w:lang w:val="en-US" w:eastAsia="zh-CN" w:bidi="ar"/>
                      <w14:textFill>
                        <w14:solidFill>
                          <w14:schemeClr w14:val="tx1"/>
                        </w14:solidFill>
                      </w14:textFill>
                    </w:rPr>
                    <w:t>20</w:t>
                  </w:r>
                </w:p>
              </w:tc>
            </w:tr>
            <w:tr w14:paraId="68743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3153" w:type="pct"/>
                  <w:gridSpan w:val="6"/>
                  <w:noWrap w:val="0"/>
                  <w:vAlign w:val="center"/>
                </w:tcPr>
                <w:p w14:paraId="0BCACE7B">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排放</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限值</w:t>
                  </w:r>
                </w:p>
              </w:tc>
              <w:tc>
                <w:tcPr>
                  <w:tcW w:w="824" w:type="pct"/>
                  <w:noWrap w:val="0"/>
                  <w:vAlign w:val="center"/>
                </w:tcPr>
                <w:p w14:paraId="52B14FB1">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20</w:t>
                  </w:r>
                </w:p>
              </w:tc>
              <w:tc>
                <w:tcPr>
                  <w:tcW w:w="511" w:type="pct"/>
                  <w:noWrap w:val="0"/>
                  <w:vAlign w:val="center"/>
                </w:tcPr>
                <w:p w14:paraId="3B709086">
                  <w:pPr>
                    <w:pStyle w:val="85"/>
                    <w:kinsoku w:val="0"/>
                    <w:overflowPunct w:val="0"/>
                    <w:snapToGrid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511" w:type="pct"/>
                  <w:noWrap w:val="0"/>
                  <w:vAlign w:val="center"/>
                </w:tcPr>
                <w:p w14:paraId="3F70D2D9">
                  <w:pPr>
                    <w:pStyle w:val="85"/>
                    <w:kinsoku w:val="0"/>
                    <w:overflowPunct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p>
              </w:tc>
            </w:tr>
            <w:tr w14:paraId="21FE1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3153" w:type="pct"/>
                  <w:gridSpan w:val="6"/>
                  <w:noWrap w:val="0"/>
                  <w:vAlign w:val="center"/>
                </w:tcPr>
                <w:p w14:paraId="36AC91FB">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达标情况</w:t>
                  </w:r>
                </w:p>
              </w:tc>
              <w:tc>
                <w:tcPr>
                  <w:tcW w:w="824" w:type="pct"/>
                  <w:noWrap w:val="0"/>
                  <w:vAlign w:val="center"/>
                </w:tcPr>
                <w:p w14:paraId="22A231E8">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达标</w:t>
                  </w:r>
                </w:p>
              </w:tc>
              <w:tc>
                <w:tcPr>
                  <w:tcW w:w="511" w:type="pct"/>
                  <w:noWrap w:val="0"/>
                  <w:vAlign w:val="center"/>
                </w:tcPr>
                <w:p w14:paraId="617A9B09">
                  <w:pPr>
                    <w:pStyle w:val="85"/>
                    <w:kinsoku w:val="0"/>
                    <w:overflowPunct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p>
              </w:tc>
              <w:tc>
                <w:tcPr>
                  <w:tcW w:w="511" w:type="pct"/>
                  <w:noWrap w:val="0"/>
                  <w:vAlign w:val="center"/>
                </w:tcPr>
                <w:p w14:paraId="648C6D07">
                  <w:pPr>
                    <w:pStyle w:val="85"/>
                    <w:kinsoku w:val="0"/>
                    <w:overflowPunct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p>
              </w:tc>
            </w:tr>
          </w:tbl>
          <w:p w14:paraId="7964DE9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pPr>
            <w:r>
              <w:rPr>
                <w:rFonts w:hint="eastAsia" w:cs="Times New Roman"/>
                <w:b w:val="0"/>
                <w:bCs w:val="0"/>
                <w:color w:val="000000" w:themeColor="text1"/>
                <w:sz w:val="24"/>
                <w:highlight w:val="none"/>
                <w:lang w:val="en-US" w:eastAsia="zh-CN"/>
                <w14:textFill>
                  <w14:solidFill>
                    <w14:schemeClr w14:val="tx1"/>
                  </w14:solidFill>
                </w14:textFill>
              </w:rPr>
              <w:t>9</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w:t>
            </w:r>
            <w:r>
              <w:rPr>
                <w:rFonts w:hint="eastAsia" w:cs="Times New Roman"/>
                <w:b w:val="0"/>
                <w:bCs w:val="0"/>
                <w:color w:val="000000" w:themeColor="text1"/>
                <w:sz w:val="24"/>
                <w:highlight w:val="none"/>
                <w:lang w:val="en-US" w:eastAsia="zh-CN"/>
                <w14:textFill>
                  <w14:solidFill>
                    <w14:schemeClr w14:val="tx1"/>
                  </w14:solidFill>
                </w14:textFill>
              </w:rPr>
              <w:t>石灰石粉仓</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粉尘（G1-1</w:t>
            </w:r>
            <w:r>
              <w:rPr>
                <w:rFonts w:hint="eastAsia" w:cs="Times New Roman"/>
                <w:b w:val="0"/>
                <w:bCs w:val="0"/>
                <w:color w:val="000000" w:themeColor="text1"/>
                <w:sz w:val="24"/>
                <w:highlight w:val="none"/>
                <w:lang w:val="en-US" w:eastAsia="zh-CN"/>
                <w14:textFill>
                  <w14:solidFill>
                    <w14:schemeClr w14:val="tx1"/>
                  </w14:solidFill>
                </w14:textFill>
              </w:rPr>
              <w:t>5</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w:t>
            </w:r>
          </w:p>
          <w:p w14:paraId="18AAC14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eastAsia" w:cs="Times New Roman"/>
                <w:color w:val="000000" w:themeColor="text1"/>
                <w:sz w:val="24"/>
                <w:highlight w:val="none"/>
                <w:lang w:val="en-US" w:eastAsia="zh-CN"/>
                <w14:textFill>
                  <w14:solidFill>
                    <w14:schemeClr w14:val="tx1"/>
                  </w14:solidFill>
                </w14:textFill>
              </w:rPr>
              <w:t>石灰石气力输送至筒仓</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过程中会产生粉尘，参照《逸散性工业粉尘控制技术》（奥里蒙等编著，中国环境科学出版社，1989）中水泥厂的逸散尘排放因子，转运和输送排放因子为0.1～0.2kg/t（搬运料），水泥装载排放因子为0.118kg/t（装料），水泥装袋排放因子为0.005kg/t（搬运料），本项目输送封闭处理，本次评价逸散尘排放因子取值0.2kg/t（搬运料）。</w:t>
            </w:r>
          </w:p>
          <w:p w14:paraId="604C917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eastAsia" w:cs="Times New Roman"/>
                <w:color w:val="000000" w:themeColor="text1"/>
                <w:sz w:val="24"/>
                <w:highlight w:val="none"/>
                <w:lang w:val="en-US" w:eastAsia="zh-CN"/>
                <w14:textFill>
                  <w14:solidFill>
                    <w14:schemeClr w14:val="tx1"/>
                  </w14:solidFill>
                </w14:textFill>
              </w:rPr>
              <w:t>石灰石</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筒仓配备布袋除尘器</w:t>
            </w:r>
            <w:r>
              <w:rPr>
                <w:rFonts w:hint="eastAsia" w:cs="Times New Roman"/>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除尘器风量为10</w:t>
            </w:r>
            <w:r>
              <w:rPr>
                <w:rFonts w:hint="eastAsia" w:cs="Times New Roman"/>
                <w:color w:val="000000" w:themeColor="text1"/>
                <w:sz w:val="24"/>
                <w:highlight w:val="none"/>
                <w:lang w:val="en-US" w:eastAsia="zh-CN"/>
                <w14:textFill>
                  <w14:solidFill>
                    <w14:schemeClr w14:val="tx1"/>
                  </w14:solidFill>
                </w14:textFill>
              </w:rPr>
              <w:t>0</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00Nm</w:t>
            </w:r>
            <w:r>
              <w:rPr>
                <w:rFonts w:hint="default" w:ascii="Times New Roman" w:hAnsi="Times New Roman" w:eastAsia="宋体" w:cs="Times New Roman"/>
                <w:color w:val="000000" w:themeColor="text1"/>
                <w:sz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/h，除尘效率为99%，年运行时间为7200h。</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筒仓</w:t>
            </w:r>
            <w:r>
              <w:rPr>
                <w:rFonts w:hint="eastAsia" w:cs="Times New Roman"/>
                <w:color w:val="000000" w:themeColor="text1"/>
                <w:sz w:val="24"/>
                <w:highlight w:val="none"/>
                <w:lang w:val="en-US" w:eastAsia="zh-CN"/>
                <w14:textFill>
                  <w14:solidFill>
                    <w14:schemeClr w14:val="tx1"/>
                  </w14:solidFill>
                </w14:textFill>
              </w:rPr>
              <w:t>粉尘</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产生量为</w:t>
            </w:r>
            <w:r>
              <w:rPr>
                <w:rFonts w:hint="eastAsia" w:cs="Times New Roman"/>
                <w:color w:val="000000" w:themeColor="text1"/>
                <w:sz w:val="24"/>
                <w:highlight w:val="none"/>
                <w:lang w:val="en-US" w:eastAsia="zh-CN"/>
                <w14:textFill>
                  <w14:solidFill>
                    <w14:schemeClr w14:val="tx1"/>
                  </w14:solidFill>
                </w14:textFill>
              </w:rPr>
              <w:t>0.24t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/a，袋式除尘器的除尘效率为99%，则排放量为0.</w:t>
            </w:r>
            <w:r>
              <w:rPr>
                <w:rFonts w:hint="default" w:ascii="Times New Roman" w:hAnsi="Times New Roman" w:cs="Times New Roman"/>
                <w:color w:val="000000" w:themeColor="text1"/>
                <w:sz w:val="24"/>
                <w:highlight w:val="none"/>
                <w:lang w:val="en-US" w:eastAsia="zh-CN"/>
                <w14:textFill>
                  <w14:solidFill>
                    <w14:schemeClr w14:val="tx1"/>
                  </w14:solidFill>
                </w14:textFill>
              </w:rPr>
              <w:t>0</w:t>
            </w:r>
            <w:r>
              <w:rPr>
                <w:rFonts w:hint="eastAsia" w:cs="Times New Roman"/>
                <w:color w:val="000000" w:themeColor="text1"/>
                <w:sz w:val="24"/>
                <w:highlight w:val="none"/>
                <w:lang w:val="en-US" w:eastAsia="zh-CN"/>
                <w14:textFill>
                  <w14:solidFill>
                    <w14:schemeClr w14:val="tx1"/>
                  </w14:solidFill>
                </w14:textFill>
              </w:rPr>
              <w:t>0</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2t/a。</w:t>
            </w:r>
          </w:p>
          <w:p w14:paraId="39A6D25A">
            <w:pPr>
              <w:keepNext w:val="0"/>
              <w:keepLines w:val="0"/>
              <w:pageBreakBefore w:val="0"/>
              <w:widowControl w:val="0"/>
              <w:kinsoku/>
              <w:wordWrap/>
              <w:overflowPunct/>
              <w:topLinePunct w:val="0"/>
              <w:autoSpaceDE/>
              <w:autoSpaceDN/>
              <w:bidi w:val="0"/>
              <w:adjustRightInd/>
              <w:snapToGrid w:val="0"/>
              <w:spacing w:line="240" w:lineRule="auto"/>
              <w:ind w:firstLine="482" w:firstLineChars="200"/>
              <w:jc w:val="center"/>
              <w:textAlignment w:val="auto"/>
              <w:rPr>
                <w:rFonts w:hint="default" w:ascii="Times New Roman" w:hAnsi="Times New Roman" w:eastAsia="仿宋" w:cs="Times New Roman"/>
                <w:color w:val="000000" w:themeColor="text1"/>
                <w:sz w:val="24"/>
                <w:highlight w:val="none"/>
                <w14:textFill>
                  <w14:solidFill>
                    <w14:schemeClr w14:val="tx1"/>
                  </w14:solidFill>
                </w14:textFill>
              </w:rPr>
            </w:pPr>
            <w:r>
              <w:rPr>
                <w:rFonts w:hint="default" w:ascii="Times New Roman" w:hAnsi="Times New Roman" w:eastAsia="宋体" w:cs="Times New Roman"/>
                <w:b/>
                <w:bCs/>
                <w:color w:val="000000" w:themeColor="text1"/>
                <w:kern w:val="2"/>
                <w:sz w:val="24"/>
                <w:szCs w:val="24"/>
                <w:highlight w:val="none"/>
                <w14:textFill>
                  <w14:solidFill>
                    <w14:schemeClr w14:val="tx1"/>
                  </w14:solidFill>
                </w14:textFill>
              </w:rPr>
              <w:t>表</w:t>
            </w:r>
            <w:r>
              <w:rPr>
                <w:rFonts w:hint="default" w:ascii="Times New Roman" w:hAnsi="Times New Roman" w:eastAsia="宋体" w:cs="Times New Roman"/>
                <w:b/>
                <w:bCs/>
                <w:color w:val="000000" w:themeColor="text1"/>
                <w:kern w:val="2"/>
                <w:sz w:val="24"/>
                <w:szCs w:val="24"/>
                <w:highlight w:val="none"/>
                <w:lang w:val="en-US" w:eastAsia="zh-CN"/>
                <w14:textFill>
                  <w14:solidFill>
                    <w14:schemeClr w14:val="tx1"/>
                  </w14:solidFill>
                </w14:textFill>
              </w:rPr>
              <w:t>4-</w:t>
            </w:r>
            <w:r>
              <w:rPr>
                <w:rFonts w:hint="eastAsia" w:cs="Times New Roman"/>
                <w:b/>
                <w:bCs/>
                <w:color w:val="000000" w:themeColor="text1"/>
                <w:kern w:val="2"/>
                <w:sz w:val="24"/>
                <w:szCs w:val="24"/>
                <w:highlight w:val="none"/>
                <w:lang w:val="en-US" w:eastAsia="zh-CN"/>
                <w14:textFill>
                  <w14:solidFill>
                    <w14:schemeClr w14:val="tx1"/>
                  </w14:solidFill>
                </w14:textFill>
              </w:rPr>
              <w:t>9</w:t>
            </w:r>
            <w:r>
              <w:rPr>
                <w:rFonts w:hint="default" w:ascii="Times New Roman" w:hAnsi="Times New Roman" w:cs="Times New Roman"/>
                <w:b/>
                <w:bCs/>
                <w:color w:val="000000" w:themeColor="text1"/>
                <w:kern w:val="2"/>
                <w:sz w:val="24"/>
                <w:szCs w:val="24"/>
                <w:highlight w:val="none"/>
                <w:lang w:val="en-US" w:eastAsia="zh-CN"/>
                <w14:textFill>
                  <w14:solidFill>
                    <w14:schemeClr w14:val="tx1"/>
                  </w14:solidFill>
                </w14:textFill>
              </w:rPr>
              <w:t>废气</w:t>
            </w:r>
            <w:r>
              <w:rPr>
                <w:rFonts w:hint="default" w:ascii="Times New Roman" w:hAnsi="Times New Roman" w:cs="Times New Roman"/>
                <w:b/>
                <w:bCs/>
                <w:color w:val="000000" w:themeColor="text1"/>
                <w:kern w:val="2"/>
                <w:sz w:val="24"/>
                <w:szCs w:val="24"/>
                <w:highlight w:val="none"/>
                <w14:textFill>
                  <w14:solidFill>
                    <w14:schemeClr w14:val="tx1"/>
                  </w14:solidFill>
                </w14:textFill>
              </w:rPr>
              <w:t>粉尘产排情况一览表</w:t>
            </w:r>
          </w:p>
          <w:tbl>
            <w:tblPr>
              <w:tblStyle w:val="24"/>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594"/>
              <w:gridCol w:w="874"/>
              <w:gridCol w:w="777"/>
              <w:gridCol w:w="966"/>
              <w:gridCol w:w="961"/>
              <w:gridCol w:w="769"/>
              <w:gridCol w:w="1107"/>
              <w:gridCol w:w="893"/>
              <w:gridCol w:w="999"/>
            </w:tblGrid>
            <w:tr w14:paraId="3FB24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2" w:hRule="atLeast"/>
              </w:trPr>
              <w:tc>
                <w:tcPr>
                  <w:tcW w:w="374" w:type="pct"/>
                  <w:vMerge w:val="restart"/>
                  <w:noWrap w:val="0"/>
                  <w:vAlign w:val="center"/>
                </w:tcPr>
                <w:p w14:paraId="063D207F">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装置</w:t>
                  </w:r>
                </w:p>
              </w:tc>
              <w:tc>
                <w:tcPr>
                  <w:tcW w:w="550" w:type="pct"/>
                  <w:vMerge w:val="restart"/>
                  <w:noWrap w:val="0"/>
                  <w:vAlign w:val="center"/>
                </w:tcPr>
                <w:p w14:paraId="42C030DA">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污染源</w:t>
                  </w:r>
                </w:p>
              </w:tc>
              <w:tc>
                <w:tcPr>
                  <w:tcW w:w="489" w:type="pct"/>
                  <w:vMerge w:val="restart"/>
                  <w:noWrap w:val="0"/>
                  <w:vAlign w:val="center"/>
                </w:tcPr>
                <w:p w14:paraId="01FDB18C">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污染物</w:t>
                  </w:r>
                </w:p>
              </w:tc>
              <w:tc>
                <w:tcPr>
                  <w:tcW w:w="608" w:type="pct"/>
                  <w:vMerge w:val="restart"/>
                  <w:noWrap w:val="0"/>
                  <w:vAlign w:val="center"/>
                </w:tcPr>
                <w:p w14:paraId="053CD66D">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风机</w:t>
                  </w:r>
                </w:p>
                <w:p w14:paraId="2DEB149F">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风量</w:t>
                  </w:r>
                </w:p>
                <w:p w14:paraId="282D6DDF">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eastAsia" w:ascii="Times New Roman" w:hAnsi="Times New Roman" w:cs="Times New Roman"/>
                      <w:b w:val="0"/>
                      <w:bCs w:val="0"/>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m</w:t>
                  </w:r>
                  <w:r>
                    <w:rPr>
                      <w:rFonts w:hint="default" w:ascii="Times New Roman" w:hAnsi="Times New Roman" w:eastAsia="宋体" w:cs="Times New Roman"/>
                      <w:b w:val="0"/>
                      <w:bCs w:val="0"/>
                      <w:color w:val="000000" w:themeColor="text1"/>
                      <w:sz w:val="21"/>
                      <w:szCs w:val="21"/>
                      <w:highlight w:val="none"/>
                      <w:vertAlign w:val="superscript"/>
                      <w:lang w:eastAsia="zh-CN"/>
                      <w14:textFill>
                        <w14:solidFill>
                          <w14:schemeClr w14:val="tx1"/>
                        </w14:solidFill>
                      </w14:textFill>
                    </w:rPr>
                    <w:t>3</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/h</w:t>
                  </w:r>
                  <w:r>
                    <w:rPr>
                      <w:rFonts w:hint="eastAsia" w:ascii="Times New Roman" w:hAnsi="Times New Roman" w:cs="Times New Roman"/>
                      <w:b w:val="0"/>
                      <w:bCs w:val="0"/>
                      <w:color w:val="000000" w:themeColor="text1"/>
                      <w:sz w:val="21"/>
                      <w:szCs w:val="21"/>
                      <w:highlight w:val="none"/>
                      <w:lang w:eastAsia="zh-CN"/>
                      <w14:textFill>
                        <w14:solidFill>
                          <w14:schemeClr w14:val="tx1"/>
                        </w14:solidFill>
                      </w14:textFill>
                    </w:rPr>
                    <w:t>)</w:t>
                  </w:r>
                </w:p>
              </w:tc>
              <w:tc>
                <w:tcPr>
                  <w:tcW w:w="605" w:type="pct"/>
                  <w:vMerge w:val="restart"/>
                  <w:noWrap w:val="0"/>
                  <w:vAlign w:val="center"/>
                </w:tcPr>
                <w:p w14:paraId="26832EE9">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污染物</w:t>
                  </w:r>
                </w:p>
                <w:p w14:paraId="1D665F6D">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产生</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量</w:t>
                  </w:r>
                </w:p>
                <w:p w14:paraId="6A6BFBC6">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eastAsia" w:ascii="Times New Roman" w:hAnsi="Times New Roman" w:cs="Times New Roman"/>
                      <w:b w:val="0"/>
                      <w:bCs w:val="0"/>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t</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a</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w:t>
                  </w:r>
                </w:p>
              </w:tc>
              <w:tc>
                <w:tcPr>
                  <w:tcW w:w="482" w:type="pct"/>
                  <w:vMerge w:val="restart"/>
                  <w:noWrap w:val="0"/>
                  <w:vAlign w:val="center"/>
                </w:tcPr>
                <w:p w14:paraId="6189B930">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处理</w:t>
                  </w:r>
                </w:p>
                <w:p w14:paraId="0805E424">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效率</w:t>
                  </w:r>
                </w:p>
                <w:p w14:paraId="42A90BB1">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w:t>
                  </w:r>
                </w:p>
              </w:tc>
              <w:tc>
                <w:tcPr>
                  <w:tcW w:w="1259" w:type="pct"/>
                  <w:gridSpan w:val="2"/>
                  <w:noWrap w:val="0"/>
                  <w:vAlign w:val="center"/>
                </w:tcPr>
                <w:p w14:paraId="4E6F612D">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污染物排放</w:t>
                  </w:r>
                </w:p>
              </w:tc>
              <w:tc>
                <w:tcPr>
                  <w:tcW w:w="629" w:type="pct"/>
                  <w:vMerge w:val="restart"/>
                  <w:noWrap w:val="0"/>
                  <w:vAlign w:val="center"/>
                </w:tcPr>
                <w:p w14:paraId="16F5D5A2">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排气</w:t>
                  </w:r>
                  <w:r>
                    <w:rPr>
                      <w:rFonts w:hint="eastAsia" w:cs="Times New Roman"/>
                      <w:color w:val="000000" w:themeColor="text1"/>
                      <w:sz w:val="24"/>
                      <w:szCs w:val="24"/>
                      <w:highlight w:val="none"/>
                      <w:lang w:val="en-US" w:eastAsia="zh-CN"/>
                      <w14:textFill>
                        <w14:solidFill>
                          <w14:schemeClr w14:val="tx1"/>
                        </w14:solidFill>
                      </w14:textFill>
                    </w:rPr>
                    <w:t>口</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高度（m）</w:t>
                  </w:r>
                </w:p>
              </w:tc>
            </w:tr>
            <w:tr w14:paraId="4B5F9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19" w:hRule="atLeast"/>
              </w:trPr>
              <w:tc>
                <w:tcPr>
                  <w:tcW w:w="374" w:type="pct"/>
                  <w:vMerge w:val="continue"/>
                  <w:noWrap w:val="0"/>
                  <w:vAlign w:val="center"/>
                </w:tcPr>
                <w:p w14:paraId="0FA5DAC4">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550" w:type="pct"/>
                  <w:vMerge w:val="continue"/>
                  <w:noWrap w:val="0"/>
                  <w:vAlign w:val="center"/>
                </w:tcPr>
                <w:p w14:paraId="3B25847B">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489" w:type="pct"/>
                  <w:vMerge w:val="continue"/>
                  <w:noWrap w:val="0"/>
                  <w:vAlign w:val="center"/>
                </w:tcPr>
                <w:p w14:paraId="705708B6">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608" w:type="pct"/>
                  <w:vMerge w:val="continue"/>
                  <w:noWrap w:val="0"/>
                  <w:vAlign w:val="center"/>
                </w:tcPr>
                <w:p w14:paraId="39000551">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605" w:type="pct"/>
                  <w:vMerge w:val="continue"/>
                  <w:noWrap w:val="0"/>
                  <w:vAlign w:val="center"/>
                </w:tcPr>
                <w:p w14:paraId="4CFC97F6">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482" w:type="pct"/>
                  <w:vMerge w:val="continue"/>
                  <w:noWrap w:val="0"/>
                  <w:vAlign w:val="center"/>
                </w:tcPr>
                <w:p w14:paraId="7F16BB82">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697" w:type="pct"/>
                  <w:noWrap w:val="0"/>
                  <w:vAlign w:val="center"/>
                </w:tcPr>
                <w:p w14:paraId="4E3D405C">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排放浓度</w:t>
                  </w:r>
                </w:p>
                <w:p w14:paraId="19B58392">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eastAsia" w:ascii="Times New Roman" w:hAnsi="Times New Roman" w:cs="Times New Roman"/>
                      <w:b w:val="0"/>
                      <w:bCs w:val="0"/>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mg/</w:t>
                  </w: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m</w:t>
                  </w:r>
                  <w:r>
                    <w:rPr>
                      <w:rFonts w:hint="default" w:ascii="Times New Roman" w:hAnsi="Times New Roman" w:eastAsia="宋体" w:cs="Times New Roman"/>
                      <w:b w:val="0"/>
                      <w:bCs w:val="0"/>
                      <w:color w:val="000000" w:themeColor="text1"/>
                      <w:sz w:val="21"/>
                      <w:szCs w:val="21"/>
                      <w:highlight w:val="none"/>
                      <w:vertAlign w:val="superscript"/>
                      <w:lang w:eastAsia="zh-CN"/>
                      <w14:textFill>
                        <w14:solidFill>
                          <w14:schemeClr w14:val="tx1"/>
                        </w14:solidFill>
                      </w14:textFill>
                    </w:rPr>
                    <w:t>3</w:t>
                  </w:r>
                  <w:r>
                    <w:rPr>
                      <w:rFonts w:hint="eastAsia" w:ascii="Times New Roman" w:hAnsi="Times New Roman" w:cs="Times New Roman"/>
                      <w:b w:val="0"/>
                      <w:bCs w:val="0"/>
                      <w:color w:val="000000" w:themeColor="text1"/>
                      <w:sz w:val="21"/>
                      <w:szCs w:val="21"/>
                      <w:highlight w:val="none"/>
                      <w:vertAlign w:val="baseline"/>
                      <w:lang w:eastAsia="zh-CN"/>
                      <w14:textFill>
                        <w14:solidFill>
                          <w14:schemeClr w14:val="tx1"/>
                        </w14:solidFill>
                      </w14:textFill>
                    </w:rPr>
                    <w:t>)</w:t>
                  </w:r>
                </w:p>
              </w:tc>
              <w:tc>
                <w:tcPr>
                  <w:tcW w:w="562" w:type="pct"/>
                  <w:noWrap w:val="0"/>
                  <w:vAlign w:val="center"/>
                </w:tcPr>
                <w:p w14:paraId="5CF69833">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排放量</w:t>
                  </w:r>
                </w:p>
                <w:p w14:paraId="09F4CBDD">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eastAsia" w:ascii="Times New Roman" w:hAnsi="Times New Roman" w:cs="Times New Roman"/>
                      <w:b w:val="0"/>
                      <w:bCs w:val="0"/>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t</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a</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w:t>
                  </w:r>
                </w:p>
              </w:tc>
              <w:tc>
                <w:tcPr>
                  <w:tcW w:w="629" w:type="pct"/>
                  <w:vMerge w:val="continue"/>
                  <w:noWrap w:val="0"/>
                  <w:vAlign w:val="center"/>
                </w:tcPr>
                <w:p w14:paraId="7ACAEA25">
                  <w:pPr>
                    <w:pStyle w:val="85"/>
                    <w:kinsoku w:val="0"/>
                    <w:overflowPunct w:val="0"/>
                    <w:snapToGrid w:val="0"/>
                    <w:jc w:val="center"/>
                    <w:rPr>
                      <w:rFonts w:hint="eastAsia" w:ascii="Times New Roman" w:hAnsi="Times New Roman" w:cs="Times New Roman"/>
                      <w:b w:val="0"/>
                      <w:bCs w:val="0"/>
                      <w:color w:val="000000" w:themeColor="text1"/>
                      <w:sz w:val="21"/>
                      <w:szCs w:val="21"/>
                      <w:highlight w:val="none"/>
                      <w:lang w:eastAsia="zh-CN"/>
                      <w14:textFill>
                        <w14:solidFill>
                          <w14:schemeClr w14:val="tx1"/>
                        </w14:solidFill>
                      </w14:textFill>
                    </w:rPr>
                  </w:pPr>
                </w:p>
              </w:tc>
            </w:tr>
            <w:tr w14:paraId="2EF5D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trPr>
              <w:tc>
                <w:tcPr>
                  <w:tcW w:w="374" w:type="pct"/>
                  <w:noWrap w:val="0"/>
                  <w:vAlign w:val="center"/>
                </w:tcPr>
                <w:p w14:paraId="79B50C1E">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石灰石筒仓</w:t>
                  </w:r>
                </w:p>
              </w:tc>
              <w:tc>
                <w:tcPr>
                  <w:tcW w:w="550" w:type="pct"/>
                  <w:noWrap w:val="0"/>
                  <w:vAlign w:val="center"/>
                </w:tcPr>
                <w:p w14:paraId="2FDF2006">
                  <w:pPr>
                    <w:kinsoku w:val="0"/>
                    <w:overflowPunct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DA0</w:t>
                  </w:r>
                  <w:r>
                    <w:rPr>
                      <w:rFonts w:hint="eastAsia" w:cs="Times New Roman"/>
                      <w:color w:val="000000" w:themeColor="text1"/>
                      <w:sz w:val="21"/>
                      <w:szCs w:val="21"/>
                      <w:highlight w:val="none"/>
                      <w:lang w:val="en-US" w:eastAsia="zh-CN"/>
                      <w14:textFill>
                        <w14:solidFill>
                          <w14:schemeClr w14:val="tx1"/>
                        </w14:solidFill>
                      </w14:textFill>
                    </w:rPr>
                    <w:t>15</w:t>
                  </w:r>
                </w:p>
              </w:tc>
              <w:tc>
                <w:tcPr>
                  <w:tcW w:w="489" w:type="pct"/>
                  <w:noWrap w:val="0"/>
                  <w:vAlign w:val="center"/>
                </w:tcPr>
                <w:p w14:paraId="7D6492D2">
                  <w:pPr>
                    <w:pStyle w:val="85"/>
                    <w:kinsoku w:val="0"/>
                    <w:overflowPunct w:val="0"/>
                    <w:snapToGrid w:val="0"/>
                    <w:ind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颗粒物</w:t>
                  </w:r>
                </w:p>
              </w:tc>
              <w:tc>
                <w:tcPr>
                  <w:tcW w:w="608" w:type="pct"/>
                  <w:noWrap w:val="0"/>
                  <w:vAlign w:val="center"/>
                </w:tcPr>
                <w:p w14:paraId="2B53AAA9">
                  <w:pPr>
                    <w:pStyle w:val="85"/>
                    <w:kinsoku w:val="0"/>
                    <w:overflowPunct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1</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00</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00</w:t>
                  </w:r>
                </w:p>
              </w:tc>
              <w:tc>
                <w:tcPr>
                  <w:tcW w:w="605" w:type="pct"/>
                  <w:noWrap w:val="0"/>
                  <w:vAlign w:val="center"/>
                </w:tcPr>
                <w:p w14:paraId="3C6C584E">
                  <w:pPr>
                    <w:pStyle w:val="85"/>
                    <w:kinsoku w:val="0"/>
                    <w:overflowPunct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0.24</w:t>
                  </w:r>
                </w:p>
              </w:tc>
              <w:tc>
                <w:tcPr>
                  <w:tcW w:w="482" w:type="pct"/>
                  <w:noWrap w:val="0"/>
                  <w:vAlign w:val="center"/>
                </w:tcPr>
                <w:p w14:paraId="32334F5A">
                  <w:pPr>
                    <w:pStyle w:val="85"/>
                    <w:kinsoku w:val="0"/>
                    <w:overflowPunct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99</w:t>
                  </w:r>
                </w:p>
              </w:tc>
              <w:tc>
                <w:tcPr>
                  <w:tcW w:w="697" w:type="pct"/>
                  <w:noWrap w:val="0"/>
                  <w:vAlign w:val="center"/>
                </w:tcPr>
                <w:p w14:paraId="05C0BD8C">
                  <w:pPr>
                    <w:keepNext w:val="0"/>
                    <w:keepLines w:val="0"/>
                    <w:widowControl/>
                    <w:suppressLineNumbers w:val="0"/>
                    <w:jc w:val="center"/>
                    <w:textAlignment w:val="cente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color w:val="000000" w:themeColor="text1"/>
                      <w:kern w:val="0"/>
                      <w:sz w:val="21"/>
                      <w:szCs w:val="21"/>
                      <w:highlight w:val="none"/>
                      <w:u w:val="none"/>
                      <w:lang w:val="en-US" w:eastAsia="zh-CN" w:bidi="ar"/>
                      <w14:textFill>
                        <w14:solidFill>
                          <w14:schemeClr w14:val="tx1"/>
                        </w14:solidFill>
                      </w14:textFill>
                    </w:rPr>
                    <w:t>4.31</w:t>
                  </w:r>
                </w:p>
              </w:tc>
              <w:tc>
                <w:tcPr>
                  <w:tcW w:w="562" w:type="pct"/>
                  <w:noWrap w:val="0"/>
                  <w:vAlign w:val="center"/>
                </w:tcPr>
                <w:p w14:paraId="3EA73186">
                  <w:pPr>
                    <w:keepNext w:val="0"/>
                    <w:keepLines w:val="0"/>
                    <w:widowControl/>
                    <w:suppressLineNumbers w:val="0"/>
                    <w:jc w:val="center"/>
                    <w:textAlignment w:val="cente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color w:val="000000" w:themeColor="text1"/>
                      <w:kern w:val="0"/>
                      <w:sz w:val="21"/>
                      <w:szCs w:val="21"/>
                      <w:highlight w:val="none"/>
                      <w:u w:val="none"/>
                      <w:lang w:val="en-US" w:eastAsia="zh-CN" w:bidi="ar"/>
                      <w14:textFill>
                        <w14:solidFill>
                          <w14:schemeClr w14:val="tx1"/>
                        </w14:solidFill>
                      </w14:textFill>
                    </w:rPr>
                    <w:t>0.002</w:t>
                  </w:r>
                </w:p>
              </w:tc>
              <w:tc>
                <w:tcPr>
                  <w:tcW w:w="629" w:type="pct"/>
                  <w:noWrap w:val="0"/>
                  <w:vAlign w:val="center"/>
                </w:tcPr>
                <w:p w14:paraId="3198F699">
                  <w:pPr>
                    <w:keepNext w:val="0"/>
                    <w:keepLines w:val="0"/>
                    <w:widowControl/>
                    <w:suppressLineNumbers w:val="0"/>
                    <w:jc w:val="center"/>
                    <w:textAlignment w:val="center"/>
                    <w:rPr>
                      <w:rFonts w:hint="default" w:ascii="Times New Roman" w:hAnsi="Times New Roman" w:cs="Times New Roman"/>
                      <w:i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color w:val="000000" w:themeColor="text1"/>
                      <w:kern w:val="0"/>
                      <w:sz w:val="21"/>
                      <w:szCs w:val="21"/>
                      <w:highlight w:val="none"/>
                      <w:u w:val="none"/>
                      <w:lang w:val="en-US" w:eastAsia="zh-CN" w:bidi="ar"/>
                      <w14:textFill>
                        <w14:solidFill>
                          <w14:schemeClr w14:val="tx1"/>
                        </w14:solidFill>
                      </w14:textFill>
                    </w:rPr>
                    <w:t>18</w:t>
                  </w:r>
                </w:p>
              </w:tc>
            </w:tr>
            <w:tr w14:paraId="3839C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5" w:hRule="atLeast"/>
              </w:trPr>
              <w:tc>
                <w:tcPr>
                  <w:tcW w:w="3110" w:type="pct"/>
                  <w:gridSpan w:val="6"/>
                  <w:noWrap w:val="0"/>
                  <w:vAlign w:val="center"/>
                </w:tcPr>
                <w:p w14:paraId="076FC4C1">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排放</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限值</w:t>
                  </w:r>
                </w:p>
              </w:tc>
              <w:tc>
                <w:tcPr>
                  <w:tcW w:w="697" w:type="pct"/>
                  <w:noWrap w:val="0"/>
                  <w:vAlign w:val="center"/>
                </w:tcPr>
                <w:p w14:paraId="28DCFF83">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20</w:t>
                  </w:r>
                </w:p>
              </w:tc>
              <w:tc>
                <w:tcPr>
                  <w:tcW w:w="562" w:type="pct"/>
                  <w:noWrap w:val="0"/>
                  <w:vAlign w:val="center"/>
                </w:tcPr>
                <w:p w14:paraId="67DCFC28">
                  <w:pPr>
                    <w:pStyle w:val="85"/>
                    <w:kinsoku w:val="0"/>
                    <w:overflowPunct w:val="0"/>
                    <w:snapToGrid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629" w:type="pct"/>
                  <w:noWrap w:val="0"/>
                  <w:vAlign w:val="center"/>
                </w:tcPr>
                <w:p w14:paraId="2BB0A857">
                  <w:pPr>
                    <w:pStyle w:val="85"/>
                    <w:kinsoku w:val="0"/>
                    <w:overflowPunct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p>
              </w:tc>
            </w:tr>
            <w:tr w14:paraId="7D8F2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5" w:hRule="atLeast"/>
              </w:trPr>
              <w:tc>
                <w:tcPr>
                  <w:tcW w:w="3110" w:type="pct"/>
                  <w:gridSpan w:val="6"/>
                  <w:noWrap w:val="0"/>
                  <w:vAlign w:val="center"/>
                </w:tcPr>
                <w:p w14:paraId="559F7BA0">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达标情况</w:t>
                  </w:r>
                </w:p>
              </w:tc>
              <w:tc>
                <w:tcPr>
                  <w:tcW w:w="697" w:type="pct"/>
                  <w:noWrap w:val="0"/>
                  <w:vAlign w:val="center"/>
                </w:tcPr>
                <w:p w14:paraId="20C0471E">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达标</w:t>
                  </w:r>
                </w:p>
              </w:tc>
              <w:tc>
                <w:tcPr>
                  <w:tcW w:w="562" w:type="pct"/>
                  <w:noWrap w:val="0"/>
                  <w:vAlign w:val="center"/>
                </w:tcPr>
                <w:p w14:paraId="4BB31FED">
                  <w:pPr>
                    <w:pStyle w:val="85"/>
                    <w:kinsoku w:val="0"/>
                    <w:overflowPunct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629" w:type="pct"/>
                  <w:noWrap w:val="0"/>
                  <w:vAlign w:val="center"/>
                </w:tcPr>
                <w:p w14:paraId="14703CDA">
                  <w:pPr>
                    <w:pStyle w:val="85"/>
                    <w:kinsoku w:val="0"/>
                    <w:overflowPunct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p>
              </w:tc>
            </w:tr>
          </w:tbl>
          <w:p w14:paraId="0FD70A60">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本项目废气排放情况见下表。</w:t>
            </w:r>
          </w:p>
          <w:p w14:paraId="662A8C0D">
            <w:pPr>
              <w:keepNext w:val="0"/>
              <w:keepLines w:val="0"/>
              <w:pageBreakBefore w:val="0"/>
              <w:widowControl w:val="0"/>
              <w:kinsoku/>
              <w:wordWrap/>
              <w:overflowPunct/>
              <w:topLinePunct w:val="0"/>
              <w:autoSpaceDE/>
              <w:autoSpaceDN/>
              <w:bidi w:val="0"/>
              <w:adjustRightInd/>
              <w:snapToGrid w:val="0"/>
              <w:spacing w:line="240" w:lineRule="auto"/>
              <w:ind w:firstLine="482" w:firstLineChars="200"/>
              <w:jc w:val="center"/>
              <w:textAlignment w:val="auto"/>
              <w:rPr>
                <w:rFonts w:hint="default" w:ascii="Times New Roman" w:hAnsi="Times New Roman" w:eastAsia="仿宋" w:cs="Times New Roman"/>
                <w:color w:val="000000" w:themeColor="text1"/>
                <w:sz w:val="24"/>
                <w:highlight w:val="none"/>
                <w14:textFill>
                  <w14:solidFill>
                    <w14:schemeClr w14:val="tx1"/>
                  </w14:solidFill>
                </w14:textFill>
              </w:rPr>
            </w:pPr>
            <w:r>
              <w:rPr>
                <w:rFonts w:hint="default" w:ascii="Times New Roman" w:hAnsi="Times New Roman" w:eastAsia="宋体" w:cs="Times New Roman"/>
                <w:b/>
                <w:bCs/>
                <w:color w:val="000000" w:themeColor="text1"/>
                <w:kern w:val="2"/>
                <w:sz w:val="24"/>
                <w:szCs w:val="24"/>
                <w:highlight w:val="none"/>
                <w:lang w:eastAsia="zh-CN"/>
                <w14:textFill>
                  <w14:solidFill>
                    <w14:schemeClr w14:val="tx1"/>
                  </w14:solidFill>
                </w14:textFill>
              </w:rPr>
              <w:t>表</w:t>
            </w:r>
            <w:r>
              <w:rPr>
                <w:rFonts w:hint="default" w:ascii="Times New Roman" w:hAnsi="Times New Roman" w:eastAsia="宋体" w:cs="Times New Roman"/>
                <w:b/>
                <w:bCs/>
                <w:color w:val="000000" w:themeColor="text1"/>
                <w:kern w:val="2"/>
                <w:sz w:val="24"/>
                <w:szCs w:val="24"/>
                <w:highlight w:val="none"/>
                <w:lang w:val="en-US" w:eastAsia="zh-CN"/>
                <w14:textFill>
                  <w14:solidFill>
                    <w14:schemeClr w14:val="tx1"/>
                  </w14:solidFill>
                </w14:textFill>
              </w:rPr>
              <w:t>4-</w:t>
            </w:r>
            <w:r>
              <w:rPr>
                <w:rFonts w:hint="eastAsia" w:cs="Times New Roman"/>
                <w:b/>
                <w:bCs/>
                <w:color w:val="000000" w:themeColor="text1"/>
                <w:kern w:val="2"/>
                <w:sz w:val="24"/>
                <w:szCs w:val="24"/>
                <w:highlight w:val="none"/>
                <w:lang w:val="en-US" w:eastAsia="zh-CN"/>
                <w14:textFill>
                  <w14:solidFill>
                    <w14:schemeClr w14:val="tx1"/>
                  </w14:solidFill>
                </w14:textFill>
              </w:rPr>
              <w:t>10</w:t>
            </w:r>
            <w:r>
              <w:rPr>
                <w:rFonts w:hint="default" w:ascii="Times New Roman" w:hAnsi="Times New Roman" w:eastAsia="宋体" w:cs="Times New Roman"/>
                <w:b/>
                <w:bCs/>
                <w:color w:val="000000" w:themeColor="text1"/>
                <w:kern w:val="2"/>
                <w:sz w:val="24"/>
                <w:szCs w:val="24"/>
                <w:highlight w:val="none"/>
                <w:lang w:eastAsia="zh-CN"/>
                <w14:textFill>
                  <w14:solidFill>
                    <w14:schemeClr w14:val="tx1"/>
                  </w14:solidFill>
                </w14:textFill>
              </w:rPr>
              <w:t>本项</w:t>
            </w:r>
            <w:r>
              <w:rPr>
                <w:rFonts w:hint="default" w:ascii="Times New Roman" w:hAnsi="Times New Roman" w:cs="Times New Roman"/>
                <w:b/>
                <w:bCs/>
                <w:color w:val="000000" w:themeColor="text1"/>
                <w:kern w:val="2"/>
                <w:sz w:val="24"/>
                <w:szCs w:val="24"/>
                <w:highlight w:val="none"/>
                <w:lang w:eastAsia="zh-CN"/>
                <w14:textFill>
                  <w14:solidFill>
                    <w14:schemeClr w14:val="tx1"/>
                  </w14:solidFill>
                </w14:textFill>
              </w:rPr>
              <w:t>目废气</w:t>
            </w:r>
            <w:r>
              <w:rPr>
                <w:rFonts w:hint="default" w:ascii="Times New Roman" w:hAnsi="Times New Roman" w:cs="Times New Roman"/>
                <w:b/>
                <w:bCs/>
                <w:color w:val="000000" w:themeColor="text1"/>
                <w:kern w:val="2"/>
                <w:sz w:val="24"/>
                <w:szCs w:val="24"/>
                <w:highlight w:val="none"/>
                <w14:textFill>
                  <w14:solidFill>
                    <w14:schemeClr w14:val="tx1"/>
                  </w14:solidFill>
                </w14:textFill>
              </w:rPr>
              <w:t>产排情况一览表</w:t>
            </w:r>
          </w:p>
          <w:tbl>
            <w:tblPr>
              <w:tblStyle w:val="2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1237"/>
              <w:gridCol w:w="1300"/>
              <w:gridCol w:w="1346"/>
              <w:gridCol w:w="1273"/>
              <w:gridCol w:w="1301"/>
              <w:gridCol w:w="1486"/>
            </w:tblGrid>
            <w:tr w14:paraId="2CA37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jc w:val="center"/>
              </w:trPr>
              <w:tc>
                <w:tcPr>
                  <w:tcW w:w="779" w:type="pct"/>
                  <w:vMerge w:val="restart"/>
                  <w:noWrap w:val="0"/>
                  <w:vAlign w:val="center"/>
                </w:tcPr>
                <w:p w14:paraId="68CB3298">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污染源</w:t>
                  </w:r>
                </w:p>
              </w:tc>
              <w:tc>
                <w:tcPr>
                  <w:tcW w:w="818" w:type="pct"/>
                  <w:vMerge w:val="restart"/>
                  <w:noWrap w:val="0"/>
                  <w:vAlign w:val="center"/>
                </w:tcPr>
                <w:p w14:paraId="3514B652">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污染物</w:t>
                  </w:r>
                </w:p>
              </w:tc>
              <w:tc>
                <w:tcPr>
                  <w:tcW w:w="847" w:type="pct"/>
                  <w:vMerge w:val="restart"/>
                  <w:noWrap w:val="0"/>
                  <w:vAlign w:val="center"/>
                </w:tcPr>
                <w:p w14:paraId="7DF45FBD">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污染物</w:t>
                  </w:r>
                </w:p>
                <w:p w14:paraId="1E30F080">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产生</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量</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t</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a</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w:t>
                  </w:r>
                </w:p>
              </w:tc>
              <w:tc>
                <w:tcPr>
                  <w:tcW w:w="801" w:type="pct"/>
                  <w:vMerge w:val="restart"/>
                  <w:noWrap w:val="0"/>
                  <w:vAlign w:val="center"/>
                </w:tcPr>
                <w:p w14:paraId="4F3F82E7">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处理</w:t>
                  </w:r>
                </w:p>
                <w:p w14:paraId="286A0CA9">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效率</w:t>
                  </w:r>
                  <w:r>
                    <w:rPr>
                      <w:rFonts w:hint="default" w:ascii="Times New Roman" w:hAnsi="Times New Roman" w:cs="Times New Roman"/>
                      <w:b w:val="0"/>
                      <w:bCs w:val="0"/>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w:t>
                  </w:r>
                  <w:r>
                    <w:rPr>
                      <w:rFonts w:hint="default" w:ascii="Times New Roman" w:hAnsi="Times New Roman" w:cs="Times New Roman"/>
                      <w:b w:val="0"/>
                      <w:bCs w:val="0"/>
                      <w:color w:val="000000" w:themeColor="text1"/>
                      <w:sz w:val="21"/>
                      <w:szCs w:val="21"/>
                      <w:highlight w:val="none"/>
                      <w:lang w:eastAsia="zh-CN"/>
                      <w14:textFill>
                        <w14:solidFill>
                          <w14:schemeClr w14:val="tx1"/>
                        </w14:solidFill>
                      </w14:textFill>
                    </w:rPr>
                    <w:t>）</w:t>
                  </w:r>
                </w:p>
              </w:tc>
              <w:tc>
                <w:tcPr>
                  <w:tcW w:w="1754" w:type="pct"/>
                  <w:gridSpan w:val="2"/>
                  <w:noWrap w:val="0"/>
                  <w:vAlign w:val="center"/>
                </w:tcPr>
                <w:p w14:paraId="2BE1B025">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污染物排放</w:t>
                  </w:r>
                </w:p>
              </w:tc>
            </w:tr>
            <w:tr w14:paraId="2C750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779" w:type="pct"/>
                  <w:vMerge w:val="continue"/>
                  <w:noWrap w:val="0"/>
                  <w:vAlign w:val="center"/>
                </w:tcPr>
                <w:p w14:paraId="35F03A0E">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818" w:type="pct"/>
                  <w:vMerge w:val="continue"/>
                  <w:noWrap w:val="0"/>
                  <w:vAlign w:val="center"/>
                </w:tcPr>
                <w:p w14:paraId="53D8B745">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847" w:type="pct"/>
                  <w:vMerge w:val="continue"/>
                  <w:noWrap w:val="0"/>
                  <w:vAlign w:val="center"/>
                </w:tcPr>
                <w:p w14:paraId="06BE1091">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801" w:type="pct"/>
                  <w:vMerge w:val="continue"/>
                  <w:noWrap w:val="0"/>
                  <w:vAlign w:val="center"/>
                </w:tcPr>
                <w:p w14:paraId="27849BB0">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819" w:type="pct"/>
                  <w:noWrap w:val="0"/>
                  <w:vAlign w:val="center"/>
                </w:tcPr>
                <w:p w14:paraId="15CFFD70">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排放浓度</w:t>
                  </w:r>
                </w:p>
                <w:p w14:paraId="17B4501D">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eastAsia" w:ascii="Times New Roman" w:hAnsi="Times New Roman" w:cs="Times New Roman"/>
                      <w:b w:val="0"/>
                      <w:bCs w:val="0"/>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mg/</w:t>
                  </w: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m</w:t>
                  </w:r>
                  <w:r>
                    <w:rPr>
                      <w:rFonts w:hint="default" w:ascii="Times New Roman" w:hAnsi="Times New Roman" w:eastAsia="宋体" w:cs="Times New Roman"/>
                      <w:b w:val="0"/>
                      <w:bCs w:val="0"/>
                      <w:color w:val="000000" w:themeColor="text1"/>
                      <w:sz w:val="21"/>
                      <w:szCs w:val="21"/>
                      <w:highlight w:val="none"/>
                      <w:vertAlign w:val="superscript"/>
                      <w:lang w:eastAsia="zh-CN"/>
                      <w14:textFill>
                        <w14:solidFill>
                          <w14:schemeClr w14:val="tx1"/>
                        </w14:solidFill>
                      </w14:textFill>
                    </w:rPr>
                    <w:t>3</w:t>
                  </w:r>
                  <w:r>
                    <w:rPr>
                      <w:rFonts w:hint="eastAsia" w:ascii="Times New Roman" w:hAnsi="Times New Roman" w:cs="Times New Roman"/>
                      <w:b w:val="0"/>
                      <w:bCs w:val="0"/>
                      <w:color w:val="000000" w:themeColor="text1"/>
                      <w:sz w:val="21"/>
                      <w:szCs w:val="21"/>
                      <w:highlight w:val="none"/>
                      <w:vertAlign w:val="baseline"/>
                      <w:lang w:eastAsia="zh-CN"/>
                      <w14:textFill>
                        <w14:solidFill>
                          <w14:schemeClr w14:val="tx1"/>
                        </w14:solidFill>
                      </w14:textFill>
                    </w:rPr>
                    <w:t>)</w:t>
                  </w:r>
                </w:p>
              </w:tc>
              <w:tc>
                <w:tcPr>
                  <w:tcW w:w="934" w:type="pct"/>
                  <w:noWrap w:val="0"/>
                  <w:vAlign w:val="center"/>
                </w:tcPr>
                <w:p w14:paraId="1E7847B5">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排放量</w:t>
                  </w:r>
                </w:p>
                <w:p w14:paraId="584B26EC">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eastAsia" w:ascii="Times New Roman" w:hAnsi="Times New Roman" w:cs="Times New Roman"/>
                      <w:b w:val="0"/>
                      <w:bCs w:val="0"/>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t</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a</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w:t>
                  </w:r>
                </w:p>
              </w:tc>
            </w:tr>
            <w:tr w14:paraId="3AE5E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779" w:type="pct"/>
                  <w:noWrap w:val="0"/>
                  <w:vAlign w:val="center"/>
                </w:tcPr>
                <w:p w14:paraId="13B1971D">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DA001</w:t>
                  </w:r>
                </w:p>
              </w:tc>
              <w:tc>
                <w:tcPr>
                  <w:tcW w:w="818" w:type="pct"/>
                  <w:noWrap w:val="0"/>
                  <w:vAlign w:val="center"/>
                </w:tcPr>
                <w:p w14:paraId="60B41B63">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颗粒物</w:t>
                  </w:r>
                </w:p>
              </w:tc>
              <w:tc>
                <w:tcPr>
                  <w:tcW w:w="847" w:type="pct"/>
                  <w:noWrap w:val="0"/>
                  <w:vAlign w:val="center"/>
                </w:tcPr>
                <w:p w14:paraId="22040B16">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12</w:t>
                  </w:r>
                </w:p>
              </w:tc>
              <w:tc>
                <w:tcPr>
                  <w:tcW w:w="801" w:type="pct"/>
                  <w:noWrap w:val="0"/>
                  <w:vAlign w:val="center"/>
                </w:tcPr>
                <w:p w14:paraId="4E26BFC2">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99</w:t>
                  </w:r>
                </w:p>
              </w:tc>
              <w:tc>
                <w:tcPr>
                  <w:tcW w:w="819" w:type="pct"/>
                  <w:noWrap w:val="0"/>
                  <w:vAlign w:val="center"/>
                </w:tcPr>
                <w:p w14:paraId="29FF669E">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5</w:t>
                  </w:r>
                </w:p>
              </w:tc>
              <w:tc>
                <w:tcPr>
                  <w:tcW w:w="934" w:type="pct"/>
                  <w:noWrap w:val="0"/>
                  <w:vAlign w:val="center"/>
                </w:tcPr>
                <w:p w14:paraId="008339D2">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0.12</w:t>
                  </w:r>
                </w:p>
              </w:tc>
            </w:tr>
            <w:tr w14:paraId="4DDB3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779" w:type="pct"/>
                  <w:noWrap w:val="0"/>
                  <w:vAlign w:val="center"/>
                </w:tcPr>
                <w:p w14:paraId="3BB2349A">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DA002</w:t>
                  </w:r>
                </w:p>
              </w:tc>
              <w:tc>
                <w:tcPr>
                  <w:tcW w:w="818" w:type="pct"/>
                  <w:noWrap w:val="0"/>
                  <w:vAlign w:val="center"/>
                </w:tcPr>
                <w:p w14:paraId="550E2BD7">
                  <w:pPr>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颗粒物</w:t>
                  </w:r>
                </w:p>
              </w:tc>
              <w:tc>
                <w:tcPr>
                  <w:tcW w:w="847" w:type="pct"/>
                  <w:noWrap w:val="0"/>
                  <w:vAlign w:val="center"/>
                </w:tcPr>
                <w:p w14:paraId="2583FFD5">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12</w:t>
                  </w:r>
                </w:p>
              </w:tc>
              <w:tc>
                <w:tcPr>
                  <w:tcW w:w="801" w:type="pct"/>
                  <w:noWrap w:val="0"/>
                  <w:vAlign w:val="center"/>
                </w:tcPr>
                <w:p w14:paraId="581C56EA">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99</w:t>
                  </w:r>
                </w:p>
              </w:tc>
              <w:tc>
                <w:tcPr>
                  <w:tcW w:w="819" w:type="pct"/>
                  <w:noWrap w:val="0"/>
                  <w:vAlign w:val="center"/>
                </w:tcPr>
                <w:p w14:paraId="43383BF0">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5</w:t>
                  </w:r>
                </w:p>
              </w:tc>
              <w:tc>
                <w:tcPr>
                  <w:tcW w:w="934" w:type="pct"/>
                  <w:noWrap w:val="0"/>
                  <w:vAlign w:val="center"/>
                </w:tcPr>
                <w:p w14:paraId="0743B09E">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0.12</w:t>
                  </w:r>
                </w:p>
              </w:tc>
            </w:tr>
            <w:tr w14:paraId="549DF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779" w:type="pct"/>
                  <w:noWrap w:val="0"/>
                  <w:vAlign w:val="center"/>
                </w:tcPr>
                <w:p w14:paraId="3DA1B468">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lang w:val="en-US"/>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DA003</w:t>
                  </w:r>
                </w:p>
              </w:tc>
              <w:tc>
                <w:tcPr>
                  <w:tcW w:w="818" w:type="pct"/>
                  <w:noWrap w:val="0"/>
                  <w:vAlign w:val="center"/>
                </w:tcPr>
                <w:p w14:paraId="5B367B18">
                  <w:pPr>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颗粒物</w:t>
                  </w:r>
                </w:p>
              </w:tc>
              <w:tc>
                <w:tcPr>
                  <w:tcW w:w="847" w:type="pct"/>
                  <w:noWrap w:val="0"/>
                  <w:vAlign w:val="center"/>
                </w:tcPr>
                <w:p w14:paraId="3FAFC5CD">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i w:val="0"/>
                      <w:iCs w:val="0"/>
                      <w:color w:val="000000" w:themeColor="text1"/>
                      <w:kern w:val="0"/>
                      <w:sz w:val="21"/>
                      <w:szCs w:val="21"/>
                      <w:highlight w:val="none"/>
                      <w:u w:val="none"/>
                      <w:lang w:val="en-US" w:eastAsia="zh-CN" w:bidi="ar"/>
                      <w14:textFill>
                        <w14:solidFill>
                          <w14:schemeClr w14:val="tx1"/>
                        </w14:solidFill>
                      </w14:textFill>
                    </w:rPr>
                    <w:t>24</w:t>
                  </w:r>
                </w:p>
              </w:tc>
              <w:tc>
                <w:tcPr>
                  <w:tcW w:w="801" w:type="pct"/>
                  <w:noWrap w:val="0"/>
                  <w:vAlign w:val="center"/>
                </w:tcPr>
                <w:p w14:paraId="4ED1CFEA">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99</w:t>
                  </w:r>
                </w:p>
              </w:tc>
              <w:tc>
                <w:tcPr>
                  <w:tcW w:w="819" w:type="pct"/>
                  <w:noWrap w:val="0"/>
                  <w:vAlign w:val="center"/>
                </w:tcPr>
                <w:p w14:paraId="1EF885C1">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24</w:t>
                  </w:r>
                </w:p>
              </w:tc>
              <w:tc>
                <w:tcPr>
                  <w:tcW w:w="934" w:type="pct"/>
                  <w:noWrap w:val="0"/>
                  <w:vAlign w:val="center"/>
                </w:tcPr>
                <w:p w14:paraId="6F251ED7">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0.</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24</w:t>
                  </w:r>
                </w:p>
              </w:tc>
            </w:tr>
            <w:tr w14:paraId="34157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779" w:type="pct"/>
                  <w:noWrap w:val="0"/>
                  <w:vAlign w:val="center"/>
                </w:tcPr>
                <w:p w14:paraId="4936588B">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DA004</w:t>
                  </w:r>
                </w:p>
              </w:tc>
              <w:tc>
                <w:tcPr>
                  <w:tcW w:w="818" w:type="pct"/>
                  <w:noWrap w:val="0"/>
                  <w:vAlign w:val="center"/>
                </w:tcPr>
                <w:p w14:paraId="7F039FB0">
                  <w:pPr>
                    <w:kinsoku w:val="0"/>
                    <w:overflowPunct w:val="0"/>
                    <w:snapToGrid w:val="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颗粒物</w:t>
                  </w:r>
                </w:p>
              </w:tc>
              <w:tc>
                <w:tcPr>
                  <w:tcW w:w="847" w:type="pct"/>
                  <w:noWrap w:val="0"/>
                  <w:vAlign w:val="center"/>
                </w:tcPr>
                <w:p w14:paraId="552B3D8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w:t>
                  </w:r>
                  <w:r>
                    <w:rPr>
                      <w:rFonts w:hint="default" w:ascii="Times New Roman" w:hAnsi="Times New Roman" w:cs="Times New Roman"/>
                      <w:i w:val="0"/>
                      <w:iCs w:val="0"/>
                      <w:color w:val="000000" w:themeColor="text1"/>
                      <w:kern w:val="0"/>
                      <w:sz w:val="21"/>
                      <w:szCs w:val="21"/>
                      <w:highlight w:val="none"/>
                      <w:u w:val="none"/>
                      <w:lang w:val="en-US" w:eastAsia="zh-CN" w:bidi="ar"/>
                      <w14:textFill>
                        <w14:solidFill>
                          <w14:schemeClr w14:val="tx1"/>
                        </w14:solidFill>
                      </w14:textFill>
                    </w:rPr>
                    <w:t>4</w:t>
                  </w:r>
                </w:p>
              </w:tc>
              <w:tc>
                <w:tcPr>
                  <w:tcW w:w="801" w:type="pct"/>
                  <w:noWrap w:val="0"/>
                  <w:vAlign w:val="center"/>
                </w:tcPr>
                <w:p w14:paraId="28D9E02F">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99</w:t>
                  </w:r>
                </w:p>
              </w:tc>
              <w:tc>
                <w:tcPr>
                  <w:tcW w:w="819" w:type="pct"/>
                  <w:noWrap w:val="0"/>
                  <w:vAlign w:val="center"/>
                </w:tcPr>
                <w:p w14:paraId="322E3CE2">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24</w:t>
                  </w:r>
                </w:p>
              </w:tc>
              <w:tc>
                <w:tcPr>
                  <w:tcW w:w="934" w:type="pct"/>
                  <w:noWrap w:val="0"/>
                  <w:vAlign w:val="center"/>
                </w:tcPr>
                <w:p w14:paraId="5D0106C8">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0.2</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4</w:t>
                  </w:r>
                </w:p>
              </w:tc>
            </w:tr>
            <w:tr w14:paraId="71736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779" w:type="pct"/>
                  <w:noWrap w:val="0"/>
                  <w:vAlign w:val="center"/>
                </w:tcPr>
                <w:p w14:paraId="70EF3FD4">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DA00</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5</w:t>
                  </w:r>
                </w:p>
              </w:tc>
              <w:tc>
                <w:tcPr>
                  <w:tcW w:w="818" w:type="pct"/>
                  <w:shd w:val="clear" w:color="auto" w:fill="auto"/>
                  <w:noWrap w:val="0"/>
                  <w:vAlign w:val="center"/>
                </w:tcPr>
                <w:p w14:paraId="1C564649">
                  <w:pPr>
                    <w:pStyle w:val="85"/>
                    <w:kinsoku w:val="0"/>
                    <w:overflowPunct w:val="0"/>
                    <w:snapToGrid w:val="0"/>
                    <w:ind w:firstLine="0" w:firstLineChars="0"/>
                    <w:jc w:val="center"/>
                    <w:rPr>
                      <w:rFonts w:hint="default" w:ascii="Times New Roman" w:hAnsi="Times New Roman" w:eastAsia="宋体" w:cs="Times New Roman"/>
                      <w:b w:val="0"/>
                      <w:bCs w:val="0"/>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颗粒物</w:t>
                  </w:r>
                </w:p>
              </w:tc>
              <w:tc>
                <w:tcPr>
                  <w:tcW w:w="847" w:type="pct"/>
                  <w:shd w:val="clear" w:color="auto" w:fill="auto"/>
                  <w:noWrap w:val="0"/>
                  <w:vAlign w:val="center"/>
                </w:tcPr>
                <w:p w14:paraId="74055CD6">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i w:val="0"/>
                      <w:iCs w:val="0"/>
                      <w:color w:val="000000" w:themeColor="text1"/>
                      <w:kern w:val="0"/>
                      <w:sz w:val="21"/>
                      <w:szCs w:val="21"/>
                      <w:highlight w:val="none"/>
                      <w:u w:val="none"/>
                      <w:lang w:val="en-US" w:eastAsia="zh-CN" w:bidi="ar"/>
                      <w14:textFill>
                        <w14:solidFill>
                          <w14:schemeClr w14:val="tx1"/>
                        </w14:solidFill>
                      </w14:textFill>
                    </w:rPr>
                    <w:t>20</w:t>
                  </w:r>
                </w:p>
              </w:tc>
              <w:tc>
                <w:tcPr>
                  <w:tcW w:w="801" w:type="pct"/>
                  <w:shd w:val="clear" w:color="auto" w:fill="auto"/>
                  <w:noWrap w:val="0"/>
                  <w:vAlign w:val="center"/>
                </w:tcPr>
                <w:p w14:paraId="6E1FF3A3">
                  <w:pPr>
                    <w:kinsoku w:val="0"/>
                    <w:overflowPunct w:val="0"/>
                    <w:snapToGrid w:val="0"/>
                    <w:jc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99</w:t>
                  </w:r>
                </w:p>
              </w:tc>
              <w:tc>
                <w:tcPr>
                  <w:tcW w:w="819" w:type="pct"/>
                  <w:shd w:val="clear" w:color="auto" w:fill="auto"/>
                  <w:noWrap w:val="0"/>
                  <w:vAlign w:val="center"/>
                </w:tcPr>
                <w:p w14:paraId="40F13223">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8.33</w:t>
                  </w:r>
                </w:p>
              </w:tc>
              <w:tc>
                <w:tcPr>
                  <w:tcW w:w="934" w:type="pct"/>
                  <w:shd w:val="clear" w:color="auto" w:fill="auto"/>
                  <w:noWrap w:val="0"/>
                  <w:vAlign w:val="center"/>
                </w:tcPr>
                <w:p w14:paraId="0F613D43">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0.</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2</w:t>
                  </w:r>
                </w:p>
              </w:tc>
            </w:tr>
            <w:tr w14:paraId="07019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779" w:type="pct"/>
                  <w:vMerge w:val="restart"/>
                  <w:noWrap w:val="0"/>
                  <w:vAlign w:val="center"/>
                </w:tcPr>
                <w:p w14:paraId="3226EE9D">
                  <w:pPr>
                    <w:kinsoku w:val="0"/>
                    <w:overflowPunct w:val="0"/>
                    <w:snapToGrid w:val="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DA00</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6</w:t>
                  </w:r>
                </w:p>
              </w:tc>
              <w:tc>
                <w:tcPr>
                  <w:tcW w:w="818" w:type="pct"/>
                  <w:noWrap w:val="0"/>
                  <w:vAlign w:val="center"/>
                </w:tcPr>
                <w:p w14:paraId="5C0D34EA">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颗粒物</w:t>
                  </w:r>
                </w:p>
              </w:tc>
              <w:tc>
                <w:tcPr>
                  <w:tcW w:w="847" w:type="pct"/>
                  <w:noWrap w:val="0"/>
                  <w:vAlign w:val="center"/>
                </w:tcPr>
                <w:p w14:paraId="309F7523">
                  <w:pPr>
                    <w:pStyle w:val="85"/>
                    <w:kinsoku w:val="0"/>
                    <w:overflowPunct w:val="0"/>
                    <w:snapToGrid w:val="0"/>
                    <w:ind w:firstLine="0" w:firstLineChars="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720</w:t>
                  </w:r>
                </w:p>
              </w:tc>
              <w:tc>
                <w:tcPr>
                  <w:tcW w:w="801" w:type="pct"/>
                  <w:noWrap w:val="0"/>
                  <w:vAlign w:val="center"/>
                </w:tcPr>
                <w:p w14:paraId="12C2CD6D">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99</w:t>
                  </w:r>
                </w:p>
              </w:tc>
              <w:tc>
                <w:tcPr>
                  <w:tcW w:w="819" w:type="pct"/>
                  <w:noWrap w:val="0"/>
                  <w:vAlign w:val="center"/>
                </w:tcPr>
                <w:p w14:paraId="624B4DC9">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b w:val="0"/>
                      <w:bCs w:val="0"/>
                      <w:i w:val="0"/>
                      <w:color w:val="000000" w:themeColor="text1"/>
                      <w:kern w:val="0"/>
                      <w:sz w:val="21"/>
                      <w:szCs w:val="21"/>
                      <w:highlight w:val="none"/>
                      <w:u w:val="none"/>
                      <w:lang w:val="en-US" w:eastAsia="zh-CN" w:bidi="ar"/>
                      <w14:textFill>
                        <w14:solidFill>
                          <w14:schemeClr w14:val="tx1"/>
                        </w14:solidFill>
                      </w14:textFill>
                    </w:rPr>
                    <w:t>7.01</w:t>
                  </w:r>
                </w:p>
              </w:tc>
              <w:tc>
                <w:tcPr>
                  <w:tcW w:w="934" w:type="pct"/>
                  <w:noWrap w:val="0"/>
                  <w:vAlign w:val="center"/>
                </w:tcPr>
                <w:p w14:paraId="35C9DCE3">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cs="Times New Roman"/>
                      <w:b w:val="0"/>
                      <w:bCs w:val="0"/>
                      <w:i w:val="0"/>
                      <w:color w:val="000000" w:themeColor="text1"/>
                      <w:kern w:val="0"/>
                      <w:sz w:val="21"/>
                      <w:szCs w:val="21"/>
                      <w:highlight w:val="none"/>
                      <w:u w:val="none"/>
                      <w:lang w:val="en-US" w:eastAsia="zh-CN" w:bidi="ar"/>
                      <w14:textFill>
                        <w14:solidFill>
                          <w14:schemeClr w14:val="tx1"/>
                        </w14:solidFill>
                      </w14:textFill>
                    </w:rPr>
                    <w:t>7.2</w:t>
                  </w:r>
                </w:p>
              </w:tc>
            </w:tr>
            <w:tr w14:paraId="4F2C8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779" w:type="pct"/>
                  <w:vMerge w:val="continue"/>
                  <w:noWrap w:val="0"/>
                  <w:vAlign w:val="center"/>
                </w:tcPr>
                <w:p w14:paraId="0F05E4D6">
                  <w:pPr>
                    <w:kinsoku w:val="0"/>
                    <w:overflowPunct w:val="0"/>
                    <w:snapToGrid w:val="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p>
              </w:tc>
              <w:tc>
                <w:tcPr>
                  <w:tcW w:w="818" w:type="pct"/>
                  <w:noWrap w:val="0"/>
                  <w:vAlign w:val="center"/>
                </w:tcPr>
                <w:p w14:paraId="354D2BD9">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二氧化硫</w:t>
                  </w:r>
                </w:p>
              </w:tc>
              <w:tc>
                <w:tcPr>
                  <w:tcW w:w="847" w:type="pct"/>
                  <w:noWrap w:val="0"/>
                  <w:vAlign w:val="center"/>
                </w:tcPr>
                <w:p w14:paraId="41C6687F">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b w:val="0"/>
                      <w:bCs w:val="0"/>
                      <w:color w:val="000000" w:themeColor="text1"/>
                      <w:kern w:val="2"/>
                      <w:sz w:val="21"/>
                      <w:szCs w:val="21"/>
                      <w:highlight w:val="none"/>
                      <w:lang w:val="en-US" w:eastAsia="zh-CN" w:bidi="ar-SA"/>
                      <w14:textFill>
                        <w14:solidFill>
                          <w14:schemeClr w14:val="tx1"/>
                        </w14:solidFill>
                      </w14:textFill>
                    </w:rPr>
                    <w:t>394.4</w:t>
                  </w:r>
                </w:p>
              </w:tc>
              <w:tc>
                <w:tcPr>
                  <w:tcW w:w="801" w:type="pct"/>
                  <w:noWrap w:val="0"/>
                  <w:vAlign w:val="center"/>
                </w:tcPr>
                <w:p w14:paraId="1E2F798D">
                  <w:pPr>
                    <w:pStyle w:val="85"/>
                    <w:kinsoku w:val="0"/>
                    <w:overflowPunct w:val="0"/>
                    <w:snapToGrid w:val="0"/>
                    <w:ind w:firstLine="0" w:firstLineChars="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90</w:t>
                  </w:r>
                </w:p>
              </w:tc>
              <w:tc>
                <w:tcPr>
                  <w:tcW w:w="819" w:type="pct"/>
                  <w:noWrap w:val="0"/>
                  <w:vAlign w:val="center"/>
                </w:tcPr>
                <w:p w14:paraId="42C35E12">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b w:val="0"/>
                      <w:bCs w:val="0"/>
                      <w:color w:val="000000" w:themeColor="text1"/>
                      <w:kern w:val="2"/>
                      <w:sz w:val="21"/>
                      <w:szCs w:val="21"/>
                      <w:highlight w:val="none"/>
                      <w:lang w:val="en-US" w:eastAsia="zh-CN" w:bidi="ar-SA"/>
                      <w14:textFill>
                        <w14:solidFill>
                          <w14:schemeClr w14:val="tx1"/>
                        </w14:solidFill>
                      </w14:textFill>
                    </w:rPr>
                    <w:t>38.41</w:t>
                  </w:r>
                </w:p>
              </w:tc>
              <w:tc>
                <w:tcPr>
                  <w:tcW w:w="934" w:type="pct"/>
                  <w:noWrap w:val="0"/>
                  <w:vAlign w:val="center"/>
                </w:tcPr>
                <w:p w14:paraId="74189E36">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cs="Times New Roman"/>
                      <w:b w:val="0"/>
                      <w:bCs w:val="0"/>
                      <w:color w:val="000000" w:themeColor="text1"/>
                      <w:kern w:val="2"/>
                      <w:sz w:val="21"/>
                      <w:szCs w:val="21"/>
                      <w:highlight w:val="none"/>
                      <w:lang w:val="en-US" w:eastAsia="zh-CN" w:bidi="ar-SA"/>
                      <w14:textFill>
                        <w14:solidFill>
                          <w14:schemeClr w14:val="tx1"/>
                        </w14:solidFill>
                      </w14:textFill>
                    </w:rPr>
                    <w:t>39.44</w:t>
                  </w:r>
                </w:p>
              </w:tc>
            </w:tr>
            <w:tr w14:paraId="5E4A3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779" w:type="pct"/>
                  <w:vMerge w:val="continue"/>
                  <w:noWrap w:val="0"/>
                  <w:vAlign w:val="center"/>
                </w:tcPr>
                <w:p w14:paraId="2625A7AD">
                  <w:pPr>
                    <w:kinsoku w:val="0"/>
                    <w:overflowPunct w:val="0"/>
                    <w:snapToGrid w:val="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p>
              </w:tc>
              <w:tc>
                <w:tcPr>
                  <w:tcW w:w="818" w:type="pct"/>
                  <w:noWrap w:val="0"/>
                  <w:vAlign w:val="center"/>
                </w:tcPr>
                <w:p w14:paraId="7284D341">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氮氧化物</w:t>
                  </w:r>
                </w:p>
              </w:tc>
              <w:tc>
                <w:tcPr>
                  <w:tcW w:w="847" w:type="pct"/>
                  <w:noWrap w:val="0"/>
                  <w:vAlign w:val="center"/>
                </w:tcPr>
                <w:p w14:paraId="0994D0B8">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188</w:t>
                  </w:r>
                </w:p>
              </w:tc>
              <w:tc>
                <w:tcPr>
                  <w:tcW w:w="801" w:type="pct"/>
                  <w:noWrap w:val="0"/>
                  <w:vAlign w:val="center"/>
                </w:tcPr>
                <w:p w14:paraId="19AFAF9F">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b w:val="0"/>
                      <w:bCs w:val="0"/>
                      <w:i w:val="0"/>
                      <w:color w:val="000000" w:themeColor="text1"/>
                      <w:kern w:val="0"/>
                      <w:sz w:val="21"/>
                      <w:szCs w:val="21"/>
                      <w:highlight w:val="none"/>
                      <w:u w:val="none"/>
                      <w:lang w:val="en-US" w:eastAsia="zh-CN" w:bidi="ar"/>
                      <w14:textFill>
                        <w14:solidFill>
                          <w14:schemeClr w14:val="tx1"/>
                        </w14:solidFill>
                      </w14:textFill>
                    </w:rPr>
                    <w:t>50</w:t>
                  </w:r>
                </w:p>
              </w:tc>
              <w:tc>
                <w:tcPr>
                  <w:tcW w:w="819" w:type="pct"/>
                  <w:noWrap w:val="0"/>
                  <w:vAlign w:val="center"/>
                </w:tcPr>
                <w:p w14:paraId="4FA14BE5">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b w:val="0"/>
                      <w:bCs w:val="0"/>
                      <w:i w:val="0"/>
                      <w:color w:val="000000" w:themeColor="text1"/>
                      <w:kern w:val="0"/>
                      <w:sz w:val="21"/>
                      <w:szCs w:val="21"/>
                      <w:highlight w:val="none"/>
                      <w:u w:val="none"/>
                      <w:lang w:val="en-US" w:eastAsia="zh-CN" w:bidi="ar"/>
                      <w14:textFill>
                        <w14:solidFill>
                          <w14:schemeClr w14:val="tx1"/>
                        </w14:solidFill>
                      </w14:textFill>
                    </w:rPr>
                    <w:t>91.55</w:t>
                  </w:r>
                </w:p>
              </w:tc>
              <w:tc>
                <w:tcPr>
                  <w:tcW w:w="934" w:type="pct"/>
                  <w:noWrap w:val="0"/>
                  <w:vAlign w:val="center"/>
                </w:tcPr>
                <w:p w14:paraId="4AB35992">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cs="Times New Roman"/>
                      <w:b w:val="0"/>
                      <w:bCs w:val="0"/>
                      <w:i w:val="0"/>
                      <w:color w:val="000000" w:themeColor="text1"/>
                      <w:kern w:val="0"/>
                      <w:sz w:val="21"/>
                      <w:szCs w:val="21"/>
                      <w:highlight w:val="none"/>
                      <w:u w:val="none"/>
                      <w:lang w:val="en-US" w:eastAsia="zh-CN" w:bidi="ar"/>
                      <w14:textFill>
                        <w14:solidFill>
                          <w14:schemeClr w14:val="tx1"/>
                        </w14:solidFill>
                      </w14:textFill>
                    </w:rPr>
                    <w:t>94</w:t>
                  </w:r>
                </w:p>
              </w:tc>
            </w:tr>
            <w:tr w14:paraId="66A63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779" w:type="pct"/>
                  <w:vMerge w:val="continue"/>
                  <w:noWrap w:val="0"/>
                  <w:vAlign w:val="center"/>
                </w:tcPr>
                <w:p w14:paraId="3E1506EB">
                  <w:pPr>
                    <w:kinsoku w:val="0"/>
                    <w:overflowPunct w:val="0"/>
                    <w:snapToGrid w:val="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p>
              </w:tc>
              <w:tc>
                <w:tcPr>
                  <w:tcW w:w="818" w:type="pct"/>
                  <w:noWrap w:val="0"/>
                  <w:vAlign w:val="center"/>
                </w:tcPr>
                <w:p w14:paraId="77C50CDE">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氨</w:t>
                  </w:r>
                </w:p>
              </w:tc>
              <w:tc>
                <w:tcPr>
                  <w:tcW w:w="847" w:type="pct"/>
                  <w:noWrap w:val="0"/>
                  <w:vAlign w:val="center"/>
                </w:tcPr>
                <w:p w14:paraId="3DC31AA1">
                  <w:pPr>
                    <w:keepNext w:val="0"/>
                    <w:keepLines w:val="0"/>
                    <w:widowControl/>
                    <w:suppressLineNumbers w:val="0"/>
                    <w:jc w:val="center"/>
                    <w:textAlignment w:val="center"/>
                    <w:rPr>
                      <w:rFonts w:hint="default"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7.19</w:t>
                  </w:r>
                </w:p>
              </w:tc>
              <w:tc>
                <w:tcPr>
                  <w:tcW w:w="801" w:type="pct"/>
                  <w:noWrap w:val="0"/>
                  <w:vAlign w:val="center"/>
                </w:tcPr>
                <w:p w14:paraId="0E56B431">
                  <w:pPr>
                    <w:pStyle w:val="85"/>
                    <w:kinsoku w:val="0"/>
                    <w:overflowPunct w:val="0"/>
                    <w:snapToGrid w:val="0"/>
                    <w:jc w:val="cente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50</w:t>
                  </w:r>
                </w:p>
              </w:tc>
              <w:tc>
                <w:tcPr>
                  <w:tcW w:w="819" w:type="pct"/>
                  <w:noWrap w:val="0"/>
                  <w:vAlign w:val="center"/>
                </w:tcPr>
                <w:p w14:paraId="135F8363">
                  <w:pPr>
                    <w:keepNext w:val="0"/>
                    <w:keepLines w:val="0"/>
                    <w:widowControl/>
                    <w:suppressLineNumbers w:val="0"/>
                    <w:jc w:val="center"/>
                    <w:textAlignment w:val="center"/>
                    <w:rPr>
                      <w:rFonts w:hint="default"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3.5</w:t>
                  </w:r>
                </w:p>
              </w:tc>
              <w:tc>
                <w:tcPr>
                  <w:tcW w:w="934" w:type="pct"/>
                  <w:noWrap w:val="0"/>
                  <w:vAlign w:val="center"/>
                </w:tcPr>
                <w:p w14:paraId="22587A9A">
                  <w:pPr>
                    <w:keepNext w:val="0"/>
                    <w:keepLines w:val="0"/>
                    <w:widowControl/>
                    <w:suppressLineNumbers w:val="0"/>
                    <w:jc w:val="center"/>
                    <w:textAlignment w:val="center"/>
                    <w:rPr>
                      <w:rFonts w:hint="default"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3.6</w:t>
                  </w:r>
                </w:p>
              </w:tc>
            </w:tr>
            <w:tr w14:paraId="4A2BF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779" w:type="pct"/>
                  <w:noWrap w:val="0"/>
                  <w:vAlign w:val="center"/>
                </w:tcPr>
                <w:p w14:paraId="61C0FF99">
                  <w:pPr>
                    <w:kinsoku w:val="0"/>
                    <w:overflowPunct w:val="0"/>
                    <w:snapToGrid w:val="0"/>
                    <w:jc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DA007</w:t>
                  </w:r>
                </w:p>
              </w:tc>
              <w:tc>
                <w:tcPr>
                  <w:tcW w:w="818" w:type="pct"/>
                  <w:noWrap w:val="0"/>
                  <w:vAlign w:val="center"/>
                </w:tcPr>
                <w:p w14:paraId="3F54A016">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颗粒物</w:t>
                  </w:r>
                </w:p>
              </w:tc>
              <w:tc>
                <w:tcPr>
                  <w:tcW w:w="847" w:type="pct"/>
                  <w:noWrap w:val="0"/>
                  <w:vAlign w:val="center"/>
                </w:tcPr>
                <w:p w14:paraId="10CFBF25">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w:t>
                  </w:r>
                  <w:r>
                    <w:rPr>
                      <w:rFonts w:hint="default" w:ascii="Times New Roman" w:hAnsi="Times New Roman" w:cs="Times New Roman"/>
                      <w:i w:val="0"/>
                      <w:iCs w:val="0"/>
                      <w:color w:val="000000" w:themeColor="text1"/>
                      <w:kern w:val="0"/>
                      <w:sz w:val="21"/>
                      <w:szCs w:val="21"/>
                      <w:highlight w:val="none"/>
                      <w:u w:val="none"/>
                      <w:lang w:val="en-US" w:eastAsia="zh-CN" w:bidi="ar"/>
                      <w14:textFill>
                        <w14:solidFill>
                          <w14:schemeClr w14:val="tx1"/>
                        </w14:solidFill>
                      </w14:textFill>
                    </w:rPr>
                    <w:t>6</w:t>
                  </w:r>
                </w:p>
              </w:tc>
              <w:tc>
                <w:tcPr>
                  <w:tcW w:w="801" w:type="pct"/>
                  <w:noWrap w:val="0"/>
                  <w:vAlign w:val="center"/>
                </w:tcPr>
                <w:p w14:paraId="2FE64EC6">
                  <w:pPr>
                    <w:kinsoku w:val="0"/>
                    <w:overflowPunct w:val="0"/>
                    <w:snapToGrid w:val="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99</w:t>
                  </w:r>
                </w:p>
              </w:tc>
              <w:tc>
                <w:tcPr>
                  <w:tcW w:w="819" w:type="pct"/>
                  <w:noWrap w:val="0"/>
                  <w:vAlign w:val="center"/>
                </w:tcPr>
                <w:p w14:paraId="79265E26">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8.33</w:t>
                  </w:r>
                </w:p>
              </w:tc>
              <w:tc>
                <w:tcPr>
                  <w:tcW w:w="934" w:type="pct"/>
                  <w:noWrap w:val="0"/>
                  <w:vAlign w:val="center"/>
                </w:tcPr>
                <w:p w14:paraId="11BE94FE">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0.2</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6</w:t>
                  </w:r>
                </w:p>
              </w:tc>
            </w:tr>
            <w:tr w14:paraId="74950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779" w:type="pct"/>
                  <w:noWrap w:val="0"/>
                  <w:vAlign w:val="center"/>
                </w:tcPr>
                <w:p w14:paraId="2BC56CF3">
                  <w:pPr>
                    <w:kinsoku w:val="0"/>
                    <w:overflowPunct w:val="0"/>
                    <w:snapToGrid w:val="0"/>
                    <w:jc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DA008</w:t>
                  </w:r>
                </w:p>
              </w:tc>
              <w:tc>
                <w:tcPr>
                  <w:tcW w:w="818" w:type="pct"/>
                  <w:noWrap w:val="0"/>
                  <w:vAlign w:val="center"/>
                </w:tcPr>
                <w:p w14:paraId="0AB067F8">
                  <w:pPr>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颗粒物</w:t>
                  </w:r>
                </w:p>
              </w:tc>
              <w:tc>
                <w:tcPr>
                  <w:tcW w:w="847" w:type="pct"/>
                  <w:noWrap w:val="0"/>
                  <w:vAlign w:val="center"/>
                </w:tcPr>
                <w:p w14:paraId="7A93D1B1">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w:t>
                  </w:r>
                  <w:r>
                    <w:rPr>
                      <w:rFonts w:hint="default" w:ascii="Times New Roman" w:hAnsi="Times New Roman" w:cs="Times New Roman"/>
                      <w:i w:val="0"/>
                      <w:iCs w:val="0"/>
                      <w:color w:val="000000" w:themeColor="text1"/>
                      <w:kern w:val="0"/>
                      <w:sz w:val="21"/>
                      <w:szCs w:val="21"/>
                      <w:highlight w:val="none"/>
                      <w:u w:val="none"/>
                      <w:lang w:val="en-US" w:eastAsia="zh-CN" w:bidi="ar"/>
                      <w14:textFill>
                        <w14:solidFill>
                          <w14:schemeClr w14:val="tx1"/>
                        </w14:solidFill>
                      </w14:textFill>
                    </w:rPr>
                    <w:t>38</w:t>
                  </w:r>
                </w:p>
              </w:tc>
              <w:tc>
                <w:tcPr>
                  <w:tcW w:w="801" w:type="pct"/>
                  <w:noWrap w:val="0"/>
                  <w:vAlign w:val="center"/>
                </w:tcPr>
                <w:p w14:paraId="3E7FA9E6">
                  <w:pPr>
                    <w:kinsoku w:val="0"/>
                    <w:overflowPunct w:val="0"/>
                    <w:snapToGrid w:val="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99</w:t>
                  </w:r>
                </w:p>
              </w:tc>
              <w:tc>
                <w:tcPr>
                  <w:tcW w:w="819" w:type="pct"/>
                  <w:noWrap w:val="0"/>
                  <w:vAlign w:val="center"/>
                </w:tcPr>
                <w:p w14:paraId="2D1DC0B4">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86.22</w:t>
                  </w:r>
                </w:p>
              </w:tc>
              <w:tc>
                <w:tcPr>
                  <w:tcW w:w="934" w:type="pct"/>
                  <w:noWrap w:val="0"/>
                  <w:vAlign w:val="center"/>
                </w:tcPr>
                <w:p w14:paraId="792FD378">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2.38</w:t>
                  </w:r>
                </w:p>
              </w:tc>
            </w:tr>
            <w:tr w14:paraId="60342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779" w:type="pct"/>
                  <w:noWrap w:val="0"/>
                  <w:vAlign w:val="center"/>
                </w:tcPr>
                <w:p w14:paraId="0A12FD55">
                  <w:pPr>
                    <w:kinsoku w:val="0"/>
                    <w:overflowPunct w:val="0"/>
                    <w:snapToGrid w:val="0"/>
                    <w:jc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DA009</w:t>
                  </w:r>
                </w:p>
              </w:tc>
              <w:tc>
                <w:tcPr>
                  <w:tcW w:w="818" w:type="pct"/>
                  <w:noWrap w:val="0"/>
                  <w:vAlign w:val="center"/>
                </w:tcPr>
                <w:p w14:paraId="5CE9F774">
                  <w:pPr>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颗粒物</w:t>
                  </w:r>
                </w:p>
              </w:tc>
              <w:tc>
                <w:tcPr>
                  <w:tcW w:w="847" w:type="pct"/>
                  <w:noWrap w:val="0"/>
                  <w:vAlign w:val="center"/>
                </w:tcPr>
                <w:p w14:paraId="4B57D45C">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i w:val="0"/>
                      <w:iCs w:val="0"/>
                      <w:color w:val="000000" w:themeColor="text1"/>
                      <w:kern w:val="0"/>
                      <w:sz w:val="21"/>
                      <w:szCs w:val="21"/>
                      <w:highlight w:val="none"/>
                      <w:u w:val="none"/>
                      <w:lang w:val="en-US" w:eastAsia="zh-CN" w:bidi="ar"/>
                      <w14:textFill>
                        <w14:solidFill>
                          <w14:schemeClr w14:val="tx1"/>
                        </w14:solidFill>
                      </w14:textFill>
                    </w:rPr>
                    <w:t>9.6</w:t>
                  </w:r>
                </w:p>
              </w:tc>
              <w:tc>
                <w:tcPr>
                  <w:tcW w:w="801" w:type="pct"/>
                  <w:noWrap w:val="0"/>
                  <w:vAlign w:val="center"/>
                </w:tcPr>
                <w:p w14:paraId="07A69048">
                  <w:pPr>
                    <w:kinsoku w:val="0"/>
                    <w:overflowPunct w:val="0"/>
                    <w:snapToGrid w:val="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99</w:t>
                  </w:r>
                </w:p>
              </w:tc>
              <w:tc>
                <w:tcPr>
                  <w:tcW w:w="819" w:type="pct"/>
                  <w:noWrap w:val="0"/>
                  <w:vAlign w:val="center"/>
                </w:tcPr>
                <w:p w14:paraId="1DAD30AE">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t>8.33</w:t>
                  </w:r>
                </w:p>
              </w:tc>
              <w:tc>
                <w:tcPr>
                  <w:tcW w:w="934" w:type="pct"/>
                  <w:noWrap w:val="0"/>
                  <w:vAlign w:val="center"/>
                </w:tcPr>
                <w:p w14:paraId="4C877232">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t>0.</w:t>
                  </w:r>
                  <w:r>
                    <w:rPr>
                      <w:rFonts w:hint="default" w:ascii="Times New Roman" w:hAnsi="Times New Roman" w:cs="Times New Roman"/>
                      <w:i w:val="0"/>
                      <w:color w:val="000000" w:themeColor="text1"/>
                      <w:kern w:val="0"/>
                      <w:sz w:val="21"/>
                      <w:szCs w:val="21"/>
                      <w:highlight w:val="none"/>
                      <w:u w:val="none"/>
                      <w:lang w:val="en-US" w:eastAsia="zh-CN" w:bidi="ar"/>
                      <w14:textFill>
                        <w14:solidFill>
                          <w14:schemeClr w14:val="tx1"/>
                        </w14:solidFill>
                      </w14:textFill>
                    </w:rPr>
                    <w:t>096</w:t>
                  </w:r>
                </w:p>
              </w:tc>
            </w:tr>
            <w:tr w14:paraId="39E66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779" w:type="pct"/>
                  <w:noWrap w:val="0"/>
                  <w:vAlign w:val="center"/>
                </w:tcPr>
                <w:p w14:paraId="5495FF89">
                  <w:pPr>
                    <w:kinsoku w:val="0"/>
                    <w:overflowPunct w:val="0"/>
                    <w:snapToGrid w:val="0"/>
                    <w:jc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DA010</w:t>
                  </w:r>
                </w:p>
              </w:tc>
              <w:tc>
                <w:tcPr>
                  <w:tcW w:w="818" w:type="pct"/>
                  <w:noWrap w:val="0"/>
                  <w:vAlign w:val="center"/>
                </w:tcPr>
                <w:p w14:paraId="4892E916">
                  <w:pPr>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颗粒物</w:t>
                  </w:r>
                </w:p>
              </w:tc>
              <w:tc>
                <w:tcPr>
                  <w:tcW w:w="847" w:type="pct"/>
                  <w:noWrap w:val="0"/>
                  <w:vAlign w:val="center"/>
                </w:tcPr>
                <w:p w14:paraId="2489CE23">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b w:val="0"/>
                      <w:bCs w:val="0"/>
                      <w:color w:val="000000" w:themeColor="text1"/>
                      <w:kern w:val="2"/>
                      <w:sz w:val="21"/>
                      <w:szCs w:val="21"/>
                      <w:highlight w:val="none"/>
                      <w:lang w:val="en-US" w:eastAsia="zh-CN" w:bidi="ar-SA"/>
                      <w14:textFill>
                        <w14:solidFill>
                          <w14:schemeClr w14:val="tx1"/>
                        </w14:solidFill>
                      </w14:textFill>
                    </w:rPr>
                    <w:t>9.6</w:t>
                  </w:r>
                </w:p>
              </w:tc>
              <w:tc>
                <w:tcPr>
                  <w:tcW w:w="801" w:type="pct"/>
                  <w:noWrap w:val="0"/>
                  <w:vAlign w:val="center"/>
                </w:tcPr>
                <w:p w14:paraId="112EA2DE">
                  <w:pPr>
                    <w:kinsoku w:val="0"/>
                    <w:overflowPunct w:val="0"/>
                    <w:snapToGrid w:val="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99</w:t>
                  </w:r>
                </w:p>
              </w:tc>
              <w:tc>
                <w:tcPr>
                  <w:tcW w:w="819" w:type="pct"/>
                  <w:noWrap w:val="0"/>
                  <w:vAlign w:val="center"/>
                </w:tcPr>
                <w:p w14:paraId="65875542">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t>8.33</w:t>
                  </w:r>
                </w:p>
              </w:tc>
              <w:tc>
                <w:tcPr>
                  <w:tcW w:w="934" w:type="pct"/>
                  <w:noWrap w:val="0"/>
                  <w:vAlign w:val="center"/>
                </w:tcPr>
                <w:p w14:paraId="3EB7D71D">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t>0.</w:t>
                  </w:r>
                  <w:r>
                    <w:rPr>
                      <w:rFonts w:hint="default" w:ascii="Times New Roman" w:hAnsi="Times New Roman" w:cs="Times New Roman"/>
                      <w:i w:val="0"/>
                      <w:color w:val="000000" w:themeColor="text1"/>
                      <w:kern w:val="0"/>
                      <w:sz w:val="21"/>
                      <w:szCs w:val="21"/>
                      <w:highlight w:val="none"/>
                      <w:u w:val="none"/>
                      <w:lang w:val="en-US" w:eastAsia="zh-CN" w:bidi="ar"/>
                      <w14:textFill>
                        <w14:solidFill>
                          <w14:schemeClr w14:val="tx1"/>
                        </w14:solidFill>
                      </w14:textFill>
                    </w:rPr>
                    <w:t>096</w:t>
                  </w:r>
                </w:p>
              </w:tc>
            </w:tr>
            <w:tr w14:paraId="2F74B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779" w:type="pct"/>
                  <w:shd w:val="clear" w:color="auto" w:fill="auto"/>
                  <w:noWrap w:val="0"/>
                  <w:vAlign w:val="center"/>
                </w:tcPr>
                <w:p w14:paraId="007F9099">
                  <w:pPr>
                    <w:kinsoku w:val="0"/>
                    <w:overflowPunct w:val="0"/>
                    <w:snapToGrid w:val="0"/>
                    <w:jc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DA01</w:t>
                  </w:r>
                  <w:r>
                    <w:rPr>
                      <w:rFonts w:hint="eastAsia" w:cs="Times New Roman"/>
                      <w:b w:val="0"/>
                      <w:bCs w:val="0"/>
                      <w:color w:val="000000" w:themeColor="text1"/>
                      <w:sz w:val="21"/>
                      <w:szCs w:val="21"/>
                      <w:highlight w:val="none"/>
                      <w:lang w:val="en-US" w:eastAsia="zh-CN"/>
                      <w14:textFill>
                        <w14:solidFill>
                          <w14:schemeClr w14:val="tx1"/>
                        </w14:solidFill>
                      </w14:textFill>
                    </w:rPr>
                    <w:t>2</w:t>
                  </w:r>
                </w:p>
              </w:tc>
              <w:tc>
                <w:tcPr>
                  <w:tcW w:w="818" w:type="pct"/>
                  <w:noWrap w:val="0"/>
                  <w:vAlign w:val="center"/>
                </w:tcPr>
                <w:p w14:paraId="1A9CE174">
                  <w:pPr>
                    <w:kinsoku w:val="0"/>
                    <w:overflowPunct w:val="0"/>
                    <w:snapToGrid w:val="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颗粒物</w:t>
                  </w:r>
                </w:p>
              </w:tc>
              <w:tc>
                <w:tcPr>
                  <w:tcW w:w="847" w:type="pct"/>
                  <w:noWrap w:val="0"/>
                  <w:vAlign w:val="center"/>
                </w:tcPr>
                <w:p w14:paraId="1E09E91B">
                  <w:pPr>
                    <w:keepNext w:val="0"/>
                    <w:keepLines w:val="0"/>
                    <w:widowControl/>
                    <w:suppressLineNumbers w:val="0"/>
                    <w:jc w:val="center"/>
                    <w:textAlignment w:val="center"/>
                    <w:rPr>
                      <w:rFonts w:hint="default" w:ascii="Times New Roman" w:hAnsi="Times New Roman"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b w:val="0"/>
                      <w:bCs w:val="0"/>
                      <w:color w:val="000000" w:themeColor="text1"/>
                      <w:kern w:val="2"/>
                      <w:sz w:val="21"/>
                      <w:szCs w:val="21"/>
                      <w:highlight w:val="none"/>
                      <w:lang w:val="en-US" w:eastAsia="zh-CN" w:bidi="ar-SA"/>
                      <w14:textFill>
                        <w14:solidFill>
                          <w14:schemeClr w14:val="tx1"/>
                        </w14:solidFill>
                      </w14:textFill>
                    </w:rPr>
                    <w:t>4.8</w:t>
                  </w:r>
                </w:p>
              </w:tc>
              <w:tc>
                <w:tcPr>
                  <w:tcW w:w="801" w:type="pct"/>
                  <w:noWrap w:val="0"/>
                  <w:vAlign w:val="center"/>
                </w:tcPr>
                <w:p w14:paraId="3D5BDB2B">
                  <w:pPr>
                    <w:pStyle w:val="85"/>
                    <w:kinsoku w:val="0"/>
                    <w:overflowPunct w:val="0"/>
                    <w:snapToGrid w:val="0"/>
                    <w:ind w:firstLine="0" w:firstLineChars="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99</w:t>
                  </w:r>
                </w:p>
              </w:tc>
              <w:tc>
                <w:tcPr>
                  <w:tcW w:w="819" w:type="pct"/>
                  <w:noWrap w:val="0"/>
                  <w:vAlign w:val="center"/>
                </w:tcPr>
                <w:p w14:paraId="51C0C666">
                  <w:pPr>
                    <w:keepNext w:val="0"/>
                    <w:keepLines w:val="0"/>
                    <w:widowControl/>
                    <w:suppressLineNumbers w:val="0"/>
                    <w:jc w:val="center"/>
                    <w:textAlignment w:val="cente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cs="Times New Roman"/>
                      <w:i w:val="0"/>
                      <w:color w:val="000000" w:themeColor="text1"/>
                      <w:kern w:val="0"/>
                      <w:sz w:val="21"/>
                      <w:szCs w:val="21"/>
                      <w:highlight w:val="none"/>
                      <w:u w:val="none"/>
                      <w:lang w:val="en-US" w:eastAsia="zh-CN" w:bidi="ar"/>
                      <w14:textFill>
                        <w14:solidFill>
                          <w14:schemeClr w14:val="tx1"/>
                        </w14:solidFill>
                      </w14:textFill>
                    </w:rPr>
                    <w:t>4.16</w:t>
                  </w:r>
                </w:p>
              </w:tc>
              <w:tc>
                <w:tcPr>
                  <w:tcW w:w="934" w:type="pct"/>
                  <w:noWrap w:val="0"/>
                  <w:vAlign w:val="center"/>
                </w:tcPr>
                <w:p w14:paraId="749A9AF7">
                  <w:pPr>
                    <w:keepNext w:val="0"/>
                    <w:keepLines w:val="0"/>
                    <w:widowControl/>
                    <w:suppressLineNumbers w:val="0"/>
                    <w:jc w:val="center"/>
                    <w:textAlignment w:val="cente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cs="Times New Roman"/>
                      <w:i w:val="0"/>
                      <w:color w:val="000000" w:themeColor="text1"/>
                      <w:kern w:val="0"/>
                      <w:sz w:val="21"/>
                      <w:szCs w:val="21"/>
                      <w:highlight w:val="none"/>
                      <w:u w:val="none"/>
                      <w:lang w:val="en-US" w:eastAsia="zh-CN" w:bidi="ar"/>
                      <w14:textFill>
                        <w14:solidFill>
                          <w14:schemeClr w14:val="tx1"/>
                        </w14:solidFill>
                      </w14:textFill>
                    </w:rPr>
                    <w:t>0.048</w:t>
                  </w:r>
                </w:p>
              </w:tc>
            </w:tr>
            <w:tr w14:paraId="30C72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779" w:type="pct"/>
                  <w:shd w:val="clear" w:color="auto" w:fill="auto"/>
                  <w:noWrap w:val="0"/>
                  <w:vAlign w:val="center"/>
                </w:tcPr>
                <w:p w14:paraId="2586DF92">
                  <w:pPr>
                    <w:kinsoku w:val="0"/>
                    <w:overflowPunct w:val="0"/>
                    <w:snapToGrid w:val="0"/>
                    <w:jc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DA01</w:t>
                  </w:r>
                  <w:r>
                    <w:rPr>
                      <w:rFonts w:hint="eastAsia" w:cs="Times New Roman"/>
                      <w:b w:val="0"/>
                      <w:bCs w:val="0"/>
                      <w:color w:val="000000" w:themeColor="text1"/>
                      <w:sz w:val="21"/>
                      <w:szCs w:val="21"/>
                      <w:highlight w:val="none"/>
                      <w:lang w:val="en-US" w:eastAsia="zh-CN"/>
                      <w14:textFill>
                        <w14:solidFill>
                          <w14:schemeClr w14:val="tx1"/>
                        </w14:solidFill>
                      </w14:textFill>
                    </w:rPr>
                    <w:t>1</w:t>
                  </w:r>
                </w:p>
              </w:tc>
              <w:tc>
                <w:tcPr>
                  <w:tcW w:w="818" w:type="pct"/>
                  <w:noWrap w:val="0"/>
                  <w:vAlign w:val="center"/>
                </w:tcPr>
                <w:p w14:paraId="652DA386">
                  <w:pPr>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颗粒物</w:t>
                  </w:r>
                </w:p>
              </w:tc>
              <w:tc>
                <w:tcPr>
                  <w:tcW w:w="847" w:type="pct"/>
                  <w:noWrap w:val="0"/>
                  <w:vAlign w:val="center"/>
                </w:tcPr>
                <w:p w14:paraId="6480171B">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i w:val="0"/>
                      <w:iCs w:val="0"/>
                      <w:color w:val="000000" w:themeColor="text1"/>
                      <w:kern w:val="0"/>
                      <w:sz w:val="21"/>
                      <w:szCs w:val="21"/>
                      <w:highlight w:val="none"/>
                      <w:u w:val="none"/>
                      <w:lang w:val="en-US" w:eastAsia="zh-CN" w:bidi="ar"/>
                      <w14:textFill>
                        <w14:solidFill>
                          <w14:schemeClr w14:val="tx1"/>
                        </w14:solidFill>
                      </w14:textFill>
                    </w:rPr>
                    <w:t>2.2</w:t>
                  </w:r>
                </w:p>
              </w:tc>
              <w:tc>
                <w:tcPr>
                  <w:tcW w:w="801" w:type="pct"/>
                  <w:noWrap w:val="0"/>
                  <w:vAlign w:val="center"/>
                </w:tcPr>
                <w:p w14:paraId="0657FE26">
                  <w:pPr>
                    <w:kinsoku w:val="0"/>
                    <w:overflowPunct w:val="0"/>
                    <w:snapToGrid w:val="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99</w:t>
                  </w:r>
                </w:p>
              </w:tc>
              <w:tc>
                <w:tcPr>
                  <w:tcW w:w="819" w:type="pct"/>
                  <w:noWrap w:val="0"/>
                  <w:vAlign w:val="center"/>
                </w:tcPr>
                <w:p w14:paraId="7BBBC630">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20</w:t>
                  </w:r>
                </w:p>
              </w:tc>
              <w:tc>
                <w:tcPr>
                  <w:tcW w:w="934" w:type="pct"/>
                  <w:noWrap w:val="0"/>
                  <w:vAlign w:val="center"/>
                </w:tcPr>
                <w:p w14:paraId="0635E755">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0.</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02</w:t>
                  </w:r>
                </w:p>
              </w:tc>
            </w:tr>
            <w:tr w14:paraId="52D76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779" w:type="pct"/>
                  <w:noWrap w:val="0"/>
                  <w:vAlign w:val="center"/>
                </w:tcPr>
                <w:p w14:paraId="440DA7DC">
                  <w:pPr>
                    <w:kinsoku w:val="0"/>
                    <w:overflowPunct w:val="0"/>
                    <w:snapToGrid w:val="0"/>
                    <w:jc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DA01</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w:t>
                  </w:r>
                </w:p>
              </w:tc>
              <w:tc>
                <w:tcPr>
                  <w:tcW w:w="818" w:type="pct"/>
                  <w:noWrap w:val="0"/>
                  <w:vAlign w:val="center"/>
                </w:tcPr>
                <w:p w14:paraId="35D69A61">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颗粒物</w:t>
                  </w:r>
                </w:p>
              </w:tc>
              <w:tc>
                <w:tcPr>
                  <w:tcW w:w="847" w:type="pct"/>
                  <w:noWrap w:val="0"/>
                  <w:vAlign w:val="center"/>
                </w:tcPr>
                <w:p w14:paraId="418FE658">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w:t>
                  </w:r>
                  <w:r>
                    <w:rPr>
                      <w:rFonts w:hint="default" w:ascii="Times New Roman" w:hAnsi="Times New Roman" w:cs="Times New Roman"/>
                      <w:i w:val="0"/>
                      <w:iCs w:val="0"/>
                      <w:color w:val="000000" w:themeColor="text1"/>
                      <w:kern w:val="0"/>
                      <w:sz w:val="21"/>
                      <w:szCs w:val="21"/>
                      <w:highlight w:val="none"/>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w:t>
                  </w:r>
                </w:p>
              </w:tc>
              <w:tc>
                <w:tcPr>
                  <w:tcW w:w="801" w:type="pct"/>
                  <w:noWrap w:val="0"/>
                  <w:vAlign w:val="center"/>
                </w:tcPr>
                <w:p w14:paraId="75D82EAD">
                  <w:pPr>
                    <w:kinsoku w:val="0"/>
                    <w:overflowPunct w:val="0"/>
                    <w:snapToGrid w:val="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99</w:t>
                  </w:r>
                </w:p>
              </w:tc>
              <w:tc>
                <w:tcPr>
                  <w:tcW w:w="819" w:type="pct"/>
                  <w:noWrap w:val="0"/>
                  <w:vAlign w:val="center"/>
                </w:tcPr>
                <w:p w14:paraId="4C7F1564">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20</w:t>
                  </w:r>
                </w:p>
              </w:tc>
              <w:tc>
                <w:tcPr>
                  <w:tcW w:w="934" w:type="pct"/>
                  <w:noWrap w:val="0"/>
                  <w:vAlign w:val="center"/>
                </w:tcPr>
                <w:p w14:paraId="43403227">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0.</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2</w:t>
                  </w:r>
                </w:p>
              </w:tc>
            </w:tr>
            <w:tr w14:paraId="2492F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779" w:type="pct"/>
                  <w:noWrap w:val="0"/>
                  <w:vAlign w:val="center"/>
                </w:tcPr>
                <w:p w14:paraId="00D9B6CC">
                  <w:pPr>
                    <w:kinsoku w:val="0"/>
                    <w:overflowPunct w:val="0"/>
                    <w:snapToGrid w:val="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DA01</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4</w:t>
                  </w:r>
                </w:p>
              </w:tc>
              <w:tc>
                <w:tcPr>
                  <w:tcW w:w="818" w:type="pct"/>
                  <w:noWrap w:val="0"/>
                  <w:vAlign w:val="center"/>
                </w:tcPr>
                <w:p w14:paraId="68A07CC5">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颗粒物</w:t>
                  </w:r>
                </w:p>
              </w:tc>
              <w:tc>
                <w:tcPr>
                  <w:tcW w:w="847" w:type="pct"/>
                  <w:noWrap w:val="0"/>
                  <w:vAlign w:val="center"/>
                </w:tcPr>
                <w:p w14:paraId="54B0724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1.26</w:t>
                  </w:r>
                </w:p>
              </w:tc>
              <w:tc>
                <w:tcPr>
                  <w:tcW w:w="801" w:type="pct"/>
                  <w:noWrap w:val="0"/>
                  <w:vAlign w:val="center"/>
                </w:tcPr>
                <w:p w14:paraId="265971A6">
                  <w:pPr>
                    <w:kinsoku w:val="0"/>
                    <w:overflowPunct w:val="0"/>
                    <w:snapToGrid w:val="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99</w:t>
                  </w:r>
                </w:p>
              </w:tc>
              <w:tc>
                <w:tcPr>
                  <w:tcW w:w="819" w:type="pct"/>
                  <w:noWrap w:val="0"/>
                  <w:vAlign w:val="center"/>
                </w:tcPr>
                <w:p w14:paraId="54648BAF">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i w:val="0"/>
                      <w:color w:val="000000" w:themeColor="text1"/>
                      <w:kern w:val="0"/>
                      <w:sz w:val="21"/>
                      <w:szCs w:val="21"/>
                      <w:highlight w:val="none"/>
                      <w:u w:val="none"/>
                      <w:lang w:val="en-US" w:eastAsia="zh-CN" w:bidi="ar"/>
                      <w14:textFill>
                        <w14:solidFill>
                          <w14:schemeClr w14:val="tx1"/>
                        </w14:solidFill>
                      </w14:textFill>
                    </w:rPr>
                    <w:t>0.4</w:t>
                  </w:r>
                </w:p>
              </w:tc>
              <w:tc>
                <w:tcPr>
                  <w:tcW w:w="934" w:type="pct"/>
                  <w:noWrap w:val="0"/>
                  <w:vAlign w:val="center"/>
                </w:tcPr>
                <w:p w14:paraId="2D5C9907">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t>0.</w:t>
                  </w:r>
                  <w:r>
                    <w:rPr>
                      <w:rFonts w:hint="default" w:ascii="Times New Roman" w:hAnsi="Times New Roman" w:cs="Times New Roman"/>
                      <w:i w:val="0"/>
                      <w:color w:val="000000" w:themeColor="text1"/>
                      <w:kern w:val="0"/>
                      <w:sz w:val="21"/>
                      <w:szCs w:val="21"/>
                      <w:highlight w:val="none"/>
                      <w:u w:val="none"/>
                      <w:lang w:val="en-US" w:eastAsia="zh-CN" w:bidi="ar"/>
                      <w14:textFill>
                        <w14:solidFill>
                          <w14:schemeClr w14:val="tx1"/>
                        </w14:solidFill>
                      </w14:textFill>
                    </w:rPr>
                    <w:t>0</w:t>
                  </w:r>
                  <w:r>
                    <w:rPr>
                      <w:rFonts w:hint="eastAsia" w:cs="Times New Roman"/>
                      <w:i w:val="0"/>
                      <w:color w:val="000000" w:themeColor="text1"/>
                      <w:kern w:val="0"/>
                      <w:sz w:val="21"/>
                      <w:szCs w:val="21"/>
                      <w:highlight w:val="none"/>
                      <w:u w:val="none"/>
                      <w:lang w:val="en-US" w:eastAsia="zh-CN" w:bidi="ar"/>
                      <w14:textFill>
                        <w14:solidFill>
                          <w14:schemeClr w14:val="tx1"/>
                        </w14:solidFill>
                      </w14:textFill>
                    </w:rPr>
                    <w:t>1</w:t>
                  </w:r>
                </w:p>
              </w:tc>
            </w:tr>
            <w:tr w14:paraId="6A52A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779" w:type="pct"/>
                  <w:shd w:val="clear" w:color="auto" w:fill="auto"/>
                  <w:noWrap w:val="0"/>
                  <w:vAlign w:val="center"/>
                </w:tcPr>
                <w:p w14:paraId="5F3BBFC1">
                  <w:pPr>
                    <w:kinsoku w:val="0"/>
                    <w:overflowPunct w:val="0"/>
                    <w:snapToGrid w:val="0"/>
                    <w:jc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DA01</w:t>
                  </w:r>
                  <w:r>
                    <w:rPr>
                      <w:rFonts w:hint="eastAsia" w:cs="Times New Roman"/>
                      <w:b w:val="0"/>
                      <w:bCs w:val="0"/>
                      <w:color w:val="000000" w:themeColor="text1"/>
                      <w:sz w:val="21"/>
                      <w:szCs w:val="21"/>
                      <w:highlight w:val="none"/>
                      <w:lang w:val="en-US" w:eastAsia="zh-CN"/>
                      <w14:textFill>
                        <w14:solidFill>
                          <w14:schemeClr w14:val="tx1"/>
                        </w14:solidFill>
                      </w14:textFill>
                    </w:rPr>
                    <w:t>5</w:t>
                  </w:r>
                </w:p>
              </w:tc>
              <w:tc>
                <w:tcPr>
                  <w:tcW w:w="818" w:type="pct"/>
                  <w:shd w:val="clear" w:color="auto" w:fill="auto"/>
                  <w:noWrap w:val="0"/>
                  <w:vAlign w:val="center"/>
                </w:tcPr>
                <w:p w14:paraId="3BB17A5A">
                  <w:pPr>
                    <w:pStyle w:val="85"/>
                    <w:kinsoku w:val="0"/>
                    <w:overflowPunct w:val="0"/>
                    <w:snapToGrid w:val="0"/>
                    <w:ind w:firstLine="0" w:firstLineChars="0"/>
                    <w:jc w:val="center"/>
                    <w:rPr>
                      <w:rFonts w:hint="default" w:ascii="Times New Roman" w:hAnsi="Times New Roman" w:eastAsia="宋体" w:cs="Times New Roman"/>
                      <w:b w:val="0"/>
                      <w:bCs w:val="0"/>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颗粒物</w:t>
                  </w:r>
                </w:p>
              </w:tc>
              <w:tc>
                <w:tcPr>
                  <w:tcW w:w="847" w:type="pct"/>
                  <w:shd w:val="clear" w:color="auto" w:fill="auto"/>
                  <w:noWrap w:val="0"/>
                  <w:vAlign w:val="center"/>
                </w:tcPr>
                <w:p w14:paraId="44E7AD7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0.24</w:t>
                  </w:r>
                </w:p>
              </w:tc>
              <w:tc>
                <w:tcPr>
                  <w:tcW w:w="801" w:type="pct"/>
                  <w:shd w:val="clear" w:color="auto" w:fill="auto"/>
                  <w:noWrap w:val="0"/>
                  <w:vAlign w:val="center"/>
                </w:tcPr>
                <w:p w14:paraId="6D78720E">
                  <w:pPr>
                    <w:kinsoku w:val="0"/>
                    <w:overflowPunct w:val="0"/>
                    <w:snapToGrid w:val="0"/>
                    <w:jc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99</w:t>
                  </w:r>
                </w:p>
              </w:tc>
              <w:tc>
                <w:tcPr>
                  <w:tcW w:w="819" w:type="pct"/>
                  <w:shd w:val="clear" w:color="auto" w:fill="auto"/>
                  <w:noWrap w:val="0"/>
                  <w:vAlign w:val="center"/>
                </w:tcPr>
                <w:p w14:paraId="4A461469">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cs="Times New Roman"/>
                      <w:b w:val="0"/>
                      <w:bCs w:val="0"/>
                      <w:color w:val="000000" w:themeColor="text1"/>
                      <w:kern w:val="2"/>
                      <w:sz w:val="21"/>
                      <w:szCs w:val="21"/>
                      <w:highlight w:val="none"/>
                      <w:lang w:val="en-US" w:eastAsia="zh-CN" w:bidi="ar-SA"/>
                      <w14:textFill>
                        <w14:solidFill>
                          <w14:schemeClr w14:val="tx1"/>
                        </w14:solidFill>
                      </w14:textFill>
                    </w:rPr>
                    <w:t>/</w:t>
                  </w:r>
                </w:p>
              </w:tc>
              <w:tc>
                <w:tcPr>
                  <w:tcW w:w="934" w:type="pct"/>
                  <w:shd w:val="clear" w:color="auto" w:fill="auto"/>
                  <w:noWrap w:val="0"/>
                  <w:vAlign w:val="center"/>
                </w:tcPr>
                <w:p w14:paraId="67C2186C">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t>0.</w:t>
                  </w:r>
                  <w:r>
                    <w:rPr>
                      <w:rFonts w:hint="default" w:ascii="Times New Roman" w:hAnsi="Times New Roman" w:cs="Times New Roman"/>
                      <w:i w:val="0"/>
                      <w:color w:val="000000" w:themeColor="text1"/>
                      <w:kern w:val="0"/>
                      <w:sz w:val="21"/>
                      <w:szCs w:val="21"/>
                      <w:highlight w:val="none"/>
                      <w:u w:val="none"/>
                      <w:lang w:val="en-US" w:eastAsia="zh-CN" w:bidi="ar"/>
                      <w14:textFill>
                        <w14:solidFill>
                          <w14:schemeClr w14:val="tx1"/>
                        </w14:solidFill>
                      </w14:textFill>
                    </w:rPr>
                    <w:t>0</w:t>
                  </w:r>
                  <w:r>
                    <w:rPr>
                      <w:rFonts w:hint="eastAsia" w:cs="Times New Roman"/>
                      <w:i w:val="0"/>
                      <w:color w:val="000000" w:themeColor="text1"/>
                      <w:kern w:val="0"/>
                      <w:sz w:val="21"/>
                      <w:szCs w:val="21"/>
                      <w:highlight w:val="none"/>
                      <w:u w:val="none"/>
                      <w:lang w:val="en-US" w:eastAsia="zh-CN" w:bidi="ar"/>
                      <w14:textFill>
                        <w14:solidFill>
                          <w14:schemeClr w14:val="tx1"/>
                        </w14:solidFill>
                      </w14:textFill>
                    </w:rPr>
                    <w:t>02</w:t>
                  </w:r>
                </w:p>
              </w:tc>
            </w:tr>
            <w:tr w14:paraId="29523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779" w:type="pct"/>
                  <w:vMerge w:val="restart"/>
                  <w:noWrap w:val="0"/>
                  <w:vAlign w:val="center"/>
                </w:tcPr>
                <w:p w14:paraId="2E0166BC">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合计</w:t>
                  </w:r>
                </w:p>
              </w:tc>
              <w:tc>
                <w:tcPr>
                  <w:tcW w:w="818" w:type="pct"/>
                  <w:noWrap w:val="0"/>
                  <w:vAlign w:val="center"/>
                </w:tcPr>
                <w:p w14:paraId="20B582F0">
                  <w:pPr>
                    <w:pStyle w:val="85"/>
                    <w:kinsoku w:val="0"/>
                    <w:overflowPunct w:val="0"/>
                    <w:snapToGrid w:val="0"/>
                    <w:ind w:firstLine="0" w:firstLineChars="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颗粒物</w:t>
                  </w:r>
                </w:p>
              </w:tc>
              <w:tc>
                <w:tcPr>
                  <w:tcW w:w="847" w:type="pct"/>
                  <w:noWrap w:val="0"/>
                  <w:vAlign w:val="center"/>
                </w:tcPr>
                <w:p w14:paraId="28DE3B8D">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1105.9</w:t>
                  </w:r>
                </w:p>
              </w:tc>
              <w:tc>
                <w:tcPr>
                  <w:tcW w:w="801" w:type="pct"/>
                  <w:noWrap w:val="0"/>
                  <w:vAlign w:val="center"/>
                </w:tcPr>
                <w:p w14:paraId="334A9DF9">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99</w:t>
                  </w:r>
                </w:p>
              </w:tc>
              <w:tc>
                <w:tcPr>
                  <w:tcW w:w="819" w:type="pct"/>
                  <w:noWrap w:val="0"/>
                  <w:vAlign w:val="center"/>
                </w:tcPr>
                <w:p w14:paraId="654B32AC">
                  <w:pPr>
                    <w:keepNext w:val="0"/>
                    <w:keepLines w:val="0"/>
                    <w:widowControl/>
                    <w:suppressLineNumbers w:val="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b w:val="0"/>
                      <w:bCs w:val="0"/>
                      <w:i w:val="0"/>
                      <w:color w:val="000000" w:themeColor="text1"/>
                      <w:kern w:val="0"/>
                      <w:sz w:val="21"/>
                      <w:szCs w:val="21"/>
                      <w:highlight w:val="none"/>
                      <w:u w:val="none"/>
                      <w:lang w:val="en-US" w:eastAsia="zh-CN" w:bidi="ar"/>
                      <w14:textFill>
                        <w14:solidFill>
                          <w14:schemeClr w14:val="tx1"/>
                        </w14:solidFill>
                      </w14:textFill>
                    </w:rPr>
                    <w:t>/</w:t>
                  </w:r>
                </w:p>
              </w:tc>
              <w:tc>
                <w:tcPr>
                  <w:tcW w:w="934" w:type="pct"/>
                  <w:noWrap w:val="0"/>
                  <w:vAlign w:val="center"/>
                </w:tcPr>
                <w:p w14:paraId="59D243E4">
                  <w:pPr>
                    <w:keepNext w:val="0"/>
                    <w:keepLines w:val="0"/>
                    <w:widowControl/>
                    <w:suppressLineNumbers w:val="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b w:val="0"/>
                      <w:bCs w:val="0"/>
                      <w:i w:val="0"/>
                      <w:color w:val="000000" w:themeColor="text1"/>
                      <w:kern w:val="0"/>
                      <w:sz w:val="21"/>
                      <w:szCs w:val="21"/>
                      <w:highlight w:val="none"/>
                      <w:u w:val="none"/>
                      <w:lang w:val="en-US" w:eastAsia="zh-CN" w:bidi="ar"/>
                      <w14:textFill>
                        <w14:solidFill>
                          <w14:schemeClr w14:val="tx1"/>
                        </w14:solidFill>
                      </w14:textFill>
                    </w:rPr>
                    <w:t>11.052</w:t>
                  </w:r>
                </w:p>
              </w:tc>
            </w:tr>
            <w:tr w14:paraId="25B95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3" w:hRule="atLeast"/>
                <w:jc w:val="center"/>
              </w:trPr>
              <w:tc>
                <w:tcPr>
                  <w:tcW w:w="779" w:type="pct"/>
                  <w:vMerge w:val="continue"/>
                  <w:noWrap w:val="0"/>
                  <w:vAlign w:val="center"/>
                </w:tcPr>
                <w:p w14:paraId="6999005B">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p>
              </w:tc>
              <w:tc>
                <w:tcPr>
                  <w:tcW w:w="818" w:type="pct"/>
                  <w:noWrap w:val="0"/>
                  <w:vAlign w:val="center"/>
                </w:tcPr>
                <w:p w14:paraId="7250A925">
                  <w:pPr>
                    <w:pStyle w:val="85"/>
                    <w:kinsoku w:val="0"/>
                    <w:overflowPunct w:val="0"/>
                    <w:snapToGrid w:val="0"/>
                    <w:ind w:firstLine="0" w:firstLineChars="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二氧化硫</w:t>
                  </w:r>
                </w:p>
              </w:tc>
              <w:tc>
                <w:tcPr>
                  <w:tcW w:w="1346" w:type="dxa"/>
                  <w:shd w:val="clear" w:color="auto" w:fill="auto"/>
                  <w:noWrap w:val="0"/>
                  <w:vAlign w:val="center"/>
                </w:tcPr>
                <w:p w14:paraId="390344B2">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cs="Times New Roman"/>
                      <w:b w:val="0"/>
                      <w:bCs w:val="0"/>
                      <w:color w:val="000000" w:themeColor="text1"/>
                      <w:kern w:val="2"/>
                      <w:sz w:val="21"/>
                      <w:szCs w:val="21"/>
                      <w:highlight w:val="none"/>
                      <w:lang w:val="en-US" w:eastAsia="zh-CN" w:bidi="ar-SA"/>
                      <w14:textFill>
                        <w14:solidFill>
                          <w14:schemeClr w14:val="tx1"/>
                        </w14:solidFill>
                      </w14:textFill>
                    </w:rPr>
                    <w:t>394.4</w:t>
                  </w:r>
                </w:p>
              </w:tc>
              <w:tc>
                <w:tcPr>
                  <w:tcW w:w="1273" w:type="dxa"/>
                  <w:shd w:val="clear" w:color="auto" w:fill="auto"/>
                  <w:noWrap w:val="0"/>
                  <w:vAlign w:val="center"/>
                </w:tcPr>
                <w:p w14:paraId="75DADB93">
                  <w:pPr>
                    <w:pStyle w:val="85"/>
                    <w:kinsoku w:val="0"/>
                    <w:overflowPunct w:val="0"/>
                    <w:snapToGrid w:val="0"/>
                    <w:ind w:firstLine="0" w:firstLineChars="0"/>
                    <w:jc w:val="center"/>
                    <w:rPr>
                      <w:rFonts w:hint="default" w:ascii="Times New Roman" w:hAnsi="Times New Roman" w:eastAsia="宋体" w:cs="Times New Roman"/>
                      <w:b w:val="0"/>
                      <w:bCs w:val="0"/>
                      <w:color w:val="000000" w:themeColor="text1"/>
                      <w:kern w:val="0"/>
                      <w:sz w:val="21"/>
                      <w:szCs w:val="21"/>
                      <w:highlight w:val="none"/>
                      <w:lang w:val="en-US" w:eastAsia="zh-CN" w:bidi="ar-SA"/>
                      <w14:textFill>
                        <w14:solidFill>
                          <w14:schemeClr w14:val="tx1"/>
                        </w14:solidFill>
                      </w14:textFill>
                    </w:rPr>
                  </w:pP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90</w:t>
                  </w:r>
                </w:p>
              </w:tc>
              <w:tc>
                <w:tcPr>
                  <w:tcW w:w="1301" w:type="dxa"/>
                  <w:shd w:val="clear" w:color="auto" w:fill="auto"/>
                  <w:noWrap w:val="0"/>
                  <w:vAlign w:val="center"/>
                </w:tcPr>
                <w:p w14:paraId="547211ED">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cs="Times New Roman"/>
                      <w:b w:val="0"/>
                      <w:bCs w:val="0"/>
                      <w:color w:val="000000" w:themeColor="text1"/>
                      <w:kern w:val="2"/>
                      <w:sz w:val="21"/>
                      <w:szCs w:val="21"/>
                      <w:highlight w:val="none"/>
                      <w:lang w:val="en-US" w:eastAsia="zh-CN" w:bidi="ar-SA"/>
                      <w14:textFill>
                        <w14:solidFill>
                          <w14:schemeClr w14:val="tx1"/>
                        </w14:solidFill>
                      </w14:textFill>
                    </w:rPr>
                    <w:t>38.41</w:t>
                  </w:r>
                </w:p>
              </w:tc>
              <w:tc>
                <w:tcPr>
                  <w:tcW w:w="1486" w:type="dxa"/>
                  <w:shd w:val="clear" w:color="auto" w:fill="auto"/>
                  <w:noWrap w:val="0"/>
                  <w:vAlign w:val="center"/>
                </w:tcPr>
                <w:p w14:paraId="211DE7A5">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cs="Times New Roman"/>
                      <w:b w:val="0"/>
                      <w:bCs w:val="0"/>
                      <w:color w:val="000000" w:themeColor="text1"/>
                      <w:kern w:val="2"/>
                      <w:sz w:val="21"/>
                      <w:szCs w:val="21"/>
                      <w:highlight w:val="none"/>
                      <w:lang w:val="en-US" w:eastAsia="zh-CN" w:bidi="ar-SA"/>
                      <w14:textFill>
                        <w14:solidFill>
                          <w14:schemeClr w14:val="tx1"/>
                        </w14:solidFill>
                      </w14:textFill>
                    </w:rPr>
                    <w:t>39.44</w:t>
                  </w:r>
                </w:p>
              </w:tc>
            </w:tr>
            <w:tr w14:paraId="63F1C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779" w:type="pct"/>
                  <w:vMerge w:val="continue"/>
                  <w:noWrap w:val="0"/>
                  <w:vAlign w:val="center"/>
                </w:tcPr>
                <w:p w14:paraId="34413E2A">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p>
              </w:tc>
              <w:tc>
                <w:tcPr>
                  <w:tcW w:w="818" w:type="pct"/>
                  <w:noWrap w:val="0"/>
                  <w:vAlign w:val="center"/>
                </w:tcPr>
                <w:p w14:paraId="071C2432">
                  <w:pPr>
                    <w:pStyle w:val="85"/>
                    <w:kinsoku w:val="0"/>
                    <w:overflowPunct w:val="0"/>
                    <w:snapToGrid w:val="0"/>
                    <w:ind w:firstLine="0" w:firstLineChars="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氮氧化物</w:t>
                  </w:r>
                </w:p>
              </w:tc>
              <w:tc>
                <w:tcPr>
                  <w:tcW w:w="1346" w:type="dxa"/>
                  <w:shd w:val="clear" w:color="auto" w:fill="auto"/>
                  <w:noWrap w:val="0"/>
                  <w:vAlign w:val="center"/>
                </w:tcPr>
                <w:p w14:paraId="7EA808B8">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188</w:t>
                  </w:r>
                </w:p>
              </w:tc>
              <w:tc>
                <w:tcPr>
                  <w:tcW w:w="1273" w:type="dxa"/>
                  <w:shd w:val="clear" w:color="auto" w:fill="auto"/>
                  <w:noWrap w:val="0"/>
                  <w:vAlign w:val="center"/>
                </w:tcPr>
                <w:p w14:paraId="79F4AD0A">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kern w:val="0"/>
                      <w:sz w:val="21"/>
                      <w:szCs w:val="21"/>
                      <w:highlight w:val="none"/>
                      <w:lang w:val="en-US" w:eastAsia="zh-CN" w:bidi="ar-SA"/>
                      <w14:textFill>
                        <w14:solidFill>
                          <w14:schemeClr w14:val="tx1"/>
                        </w14:solidFill>
                      </w14:textFill>
                    </w:rPr>
                  </w:pPr>
                  <w:r>
                    <w:rPr>
                      <w:rFonts w:hint="eastAsia" w:cs="Times New Roman"/>
                      <w:b w:val="0"/>
                      <w:bCs w:val="0"/>
                      <w:i w:val="0"/>
                      <w:color w:val="000000" w:themeColor="text1"/>
                      <w:kern w:val="0"/>
                      <w:sz w:val="21"/>
                      <w:szCs w:val="21"/>
                      <w:highlight w:val="none"/>
                      <w:u w:val="none"/>
                      <w:lang w:val="en-US" w:eastAsia="zh-CN" w:bidi="ar"/>
                      <w14:textFill>
                        <w14:solidFill>
                          <w14:schemeClr w14:val="tx1"/>
                        </w14:solidFill>
                      </w14:textFill>
                    </w:rPr>
                    <w:t>50</w:t>
                  </w:r>
                </w:p>
              </w:tc>
              <w:tc>
                <w:tcPr>
                  <w:tcW w:w="1301" w:type="dxa"/>
                  <w:shd w:val="clear" w:color="auto" w:fill="auto"/>
                  <w:noWrap w:val="0"/>
                  <w:vAlign w:val="center"/>
                </w:tcPr>
                <w:p w14:paraId="6D35D160">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cs="Times New Roman"/>
                      <w:b w:val="0"/>
                      <w:bCs w:val="0"/>
                      <w:i w:val="0"/>
                      <w:color w:val="000000" w:themeColor="text1"/>
                      <w:kern w:val="0"/>
                      <w:sz w:val="21"/>
                      <w:szCs w:val="21"/>
                      <w:highlight w:val="none"/>
                      <w:u w:val="none"/>
                      <w:lang w:val="en-US" w:eastAsia="zh-CN" w:bidi="ar"/>
                      <w14:textFill>
                        <w14:solidFill>
                          <w14:schemeClr w14:val="tx1"/>
                        </w14:solidFill>
                      </w14:textFill>
                    </w:rPr>
                    <w:t>91.55</w:t>
                  </w:r>
                </w:p>
              </w:tc>
              <w:tc>
                <w:tcPr>
                  <w:tcW w:w="1486" w:type="dxa"/>
                  <w:shd w:val="clear" w:color="auto" w:fill="auto"/>
                  <w:noWrap w:val="0"/>
                  <w:vAlign w:val="center"/>
                </w:tcPr>
                <w:p w14:paraId="0B671225">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cs="Times New Roman"/>
                      <w:b w:val="0"/>
                      <w:bCs w:val="0"/>
                      <w:i w:val="0"/>
                      <w:color w:val="000000" w:themeColor="text1"/>
                      <w:kern w:val="0"/>
                      <w:sz w:val="21"/>
                      <w:szCs w:val="21"/>
                      <w:highlight w:val="none"/>
                      <w:u w:val="none"/>
                      <w:lang w:val="en-US" w:eastAsia="zh-CN" w:bidi="ar"/>
                      <w14:textFill>
                        <w14:solidFill>
                          <w14:schemeClr w14:val="tx1"/>
                        </w14:solidFill>
                      </w14:textFill>
                    </w:rPr>
                    <w:t>94</w:t>
                  </w:r>
                </w:p>
              </w:tc>
            </w:tr>
            <w:tr w14:paraId="216F4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779" w:type="pct"/>
                  <w:vMerge w:val="continue"/>
                  <w:noWrap w:val="0"/>
                  <w:vAlign w:val="center"/>
                </w:tcPr>
                <w:p w14:paraId="0705009B">
                  <w:pPr>
                    <w:pStyle w:val="85"/>
                    <w:kinsoku w:val="0"/>
                    <w:overflowPunct w:val="0"/>
                    <w:snapToGrid w:val="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p>
              </w:tc>
              <w:tc>
                <w:tcPr>
                  <w:tcW w:w="818" w:type="pct"/>
                  <w:noWrap w:val="0"/>
                  <w:vAlign w:val="center"/>
                </w:tcPr>
                <w:p w14:paraId="30243F73">
                  <w:pPr>
                    <w:pStyle w:val="85"/>
                    <w:kinsoku w:val="0"/>
                    <w:overflowPunct w:val="0"/>
                    <w:snapToGrid w:val="0"/>
                    <w:ind w:firstLine="0" w:firstLineChars="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氨气</w:t>
                  </w:r>
                </w:p>
              </w:tc>
              <w:tc>
                <w:tcPr>
                  <w:tcW w:w="847" w:type="pct"/>
                  <w:shd w:val="clear" w:color="auto" w:fill="auto"/>
                  <w:noWrap w:val="0"/>
                  <w:vAlign w:val="center"/>
                </w:tcPr>
                <w:p w14:paraId="45667E66">
                  <w:pPr>
                    <w:keepNext w:val="0"/>
                    <w:keepLines w:val="0"/>
                    <w:widowControl/>
                    <w:suppressLineNumbers w:val="0"/>
                    <w:jc w:val="center"/>
                    <w:textAlignment w:val="cente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7.19</w:t>
                  </w:r>
                </w:p>
              </w:tc>
              <w:tc>
                <w:tcPr>
                  <w:tcW w:w="801" w:type="pct"/>
                  <w:shd w:val="clear" w:color="auto" w:fill="auto"/>
                  <w:noWrap w:val="0"/>
                  <w:vAlign w:val="center"/>
                </w:tcPr>
                <w:p w14:paraId="4956AB82">
                  <w:pPr>
                    <w:pStyle w:val="85"/>
                    <w:kinsoku w:val="0"/>
                    <w:overflowPunct w:val="0"/>
                    <w:snapToGrid w:val="0"/>
                    <w:ind w:firstLine="0" w:firstLineChars="0"/>
                    <w:jc w:val="center"/>
                    <w:rPr>
                      <w:rFonts w:hint="eastAsia" w:ascii="Times New Roman" w:hAnsi="Times New Roman" w:eastAsia="宋体" w:cs="Times New Roman"/>
                      <w:b w:val="0"/>
                      <w:bCs w:val="0"/>
                      <w:color w:val="000000" w:themeColor="text1"/>
                      <w:kern w:val="0"/>
                      <w:sz w:val="21"/>
                      <w:szCs w:val="21"/>
                      <w:highlight w:val="none"/>
                      <w:lang w:val="en-US" w:eastAsia="zh-CN" w:bidi="ar-SA"/>
                      <w14:textFill>
                        <w14:solidFill>
                          <w14:schemeClr w14:val="tx1"/>
                        </w14:solidFill>
                      </w14:textFill>
                    </w:rPr>
                  </w:pP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50</w:t>
                  </w:r>
                </w:p>
              </w:tc>
              <w:tc>
                <w:tcPr>
                  <w:tcW w:w="819" w:type="pct"/>
                  <w:shd w:val="clear" w:color="auto" w:fill="auto"/>
                  <w:noWrap w:val="0"/>
                  <w:vAlign w:val="center"/>
                </w:tcPr>
                <w:p w14:paraId="6B117569">
                  <w:pPr>
                    <w:keepNext w:val="0"/>
                    <w:keepLines w:val="0"/>
                    <w:widowControl/>
                    <w:suppressLineNumbers w:val="0"/>
                    <w:jc w:val="center"/>
                    <w:textAlignment w:val="center"/>
                    <w:rPr>
                      <w:rFonts w:hint="eastAsia"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3.5</w:t>
                  </w:r>
                </w:p>
              </w:tc>
              <w:tc>
                <w:tcPr>
                  <w:tcW w:w="934" w:type="pct"/>
                  <w:shd w:val="clear" w:color="auto" w:fill="auto"/>
                  <w:noWrap w:val="0"/>
                  <w:vAlign w:val="center"/>
                </w:tcPr>
                <w:p w14:paraId="2332F9A0">
                  <w:pPr>
                    <w:keepNext w:val="0"/>
                    <w:keepLines w:val="0"/>
                    <w:widowControl/>
                    <w:suppressLineNumbers w:val="0"/>
                    <w:jc w:val="center"/>
                    <w:textAlignment w:val="center"/>
                    <w:rPr>
                      <w:rFonts w:hint="eastAsia"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3.6</w:t>
                  </w:r>
                </w:p>
              </w:tc>
            </w:tr>
          </w:tbl>
          <w:p w14:paraId="762928D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w:t>
            </w:r>
            <w:r>
              <w:rPr>
                <w:rFonts w:hint="eastAsia" w:cs="Times New Roman"/>
                <w:b w:val="0"/>
                <w:bCs w:val="0"/>
                <w:color w:val="000000" w:themeColor="text1"/>
                <w:sz w:val="24"/>
                <w:highlight w:val="none"/>
                <w:lang w:val="en-US" w:eastAsia="zh-CN"/>
                <w14:textFill>
                  <w14:solidFill>
                    <w14:schemeClr w14:val="tx1"/>
                  </w14:solidFill>
                </w14:textFill>
              </w:rPr>
              <w:t>2</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）废气达标性分析</w:t>
            </w:r>
          </w:p>
          <w:p w14:paraId="1163540D">
            <w:pPr>
              <w:pStyle w:val="119"/>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cente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根据上述源强分析，本项目运营期</w:t>
            </w:r>
            <w:r>
              <w:rPr>
                <w:rFonts w:hint="eastAsia" w:cs="Times New Roman"/>
                <w:color w:val="000000" w:themeColor="text1"/>
                <w:sz w:val="24"/>
                <w:highlight w:val="none"/>
                <w:lang w:val="en-US" w:eastAsia="zh-CN"/>
                <w14:textFill>
                  <w14:solidFill>
                    <w14:schemeClr w14:val="tx1"/>
                  </w14:solidFill>
                </w14:textFill>
              </w:rPr>
              <w:t>原料粉</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筒仓装卸呼吸废气（粉尘G1-1、G1-2）、物料转运仓储仓顶粉尘（G1-3）、</w:t>
            </w:r>
            <w:r>
              <w:rPr>
                <w:rFonts w:hint="eastAsia" w:cs="Times New Roman"/>
                <w:color w:val="000000" w:themeColor="text1"/>
                <w:sz w:val="24"/>
                <w:highlight w:val="none"/>
                <w:lang w:val="en-US" w:eastAsia="zh-CN"/>
                <w14:textFill>
                  <w14:solidFill>
                    <w14:schemeClr w14:val="tx1"/>
                  </w14:solidFill>
                </w14:textFill>
              </w:rPr>
              <w:t>窑尾喂料仓卸料</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粉尘（G1-4）和</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产品窑尾提升机卸料</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废气（G1-</w:t>
            </w:r>
            <w:r>
              <w:rPr>
                <w:rFonts w:hint="default" w:ascii="Times New Roman" w:hAnsi="Times New Roman" w:cs="Times New Roman"/>
                <w:color w:val="000000" w:themeColor="text1"/>
                <w:sz w:val="24"/>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）、回转窑</w:t>
            </w:r>
            <w:r>
              <w:rPr>
                <w:rFonts w:hint="default" w:ascii="Times New Roman" w:hAnsi="Times New Roman" w:cs="Times New Roman"/>
                <w:color w:val="000000" w:themeColor="text1"/>
                <w:sz w:val="24"/>
                <w:highlight w:val="none"/>
                <w:lang w:val="en-US" w:eastAsia="zh-CN"/>
                <w14:textFill>
                  <w14:solidFill>
                    <w14:schemeClr w14:val="tx1"/>
                  </w14:solidFill>
                </w14:textFill>
              </w:rPr>
              <w:t>及</w:t>
            </w:r>
            <w:r>
              <w:rPr>
                <w:rFonts w:hint="eastAsia" w:cs="Times New Roman"/>
                <w:color w:val="000000" w:themeColor="text1"/>
                <w:sz w:val="24"/>
                <w:highlight w:val="none"/>
                <w:lang w:val="en-US" w:eastAsia="zh-CN"/>
                <w14:textFill>
                  <w14:solidFill>
                    <w14:schemeClr w14:val="tx1"/>
                  </w14:solidFill>
                </w14:textFill>
              </w:rPr>
              <w:t>悬浮炉</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烟气（G1-</w:t>
            </w:r>
            <w:r>
              <w:rPr>
                <w:rFonts w:hint="default" w:ascii="Times New Roman" w:hAnsi="Times New Roman" w:cs="Times New Roman"/>
                <w:color w:val="000000" w:themeColor="text1"/>
                <w:sz w:val="24"/>
                <w:highlight w:val="none"/>
                <w:lang w:val="en-US" w:eastAsia="zh-CN"/>
                <w14:textFill>
                  <w14:solidFill>
                    <w14:schemeClr w14:val="tx1"/>
                  </w14:solidFill>
                </w14:textFill>
              </w:rPr>
              <w:t>6</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分选</w:t>
            </w:r>
            <w:r>
              <w:rPr>
                <w:rFonts w:hint="default" w:ascii="Times New Roman" w:hAnsi="Times New Roman" w:cs="Times New Roman"/>
                <w:color w:val="000000" w:themeColor="text1"/>
                <w:sz w:val="24"/>
                <w:highlight w:val="none"/>
                <w:lang w:val="en-US" w:eastAsia="zh-CN"/>
                <w14:textFill>
                  <w14:solidFill>
                    <w14:schemeClr w14:val="tx1"/>
                  </w14:solidFill>
                </w14:textFill>
              </w:rPr>
              <w:t>打散</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粉尘（G1-</w:t>
            </w:r>
            <w:r>
              <w:rPr>
                <w:rFonts w:hint="default" w:ascii="Times New Roman" w:hAnsi="Times New Roman" w:cs="Times New Roman"/>
                <w:color w:val="000000" w:themeColor="text1"/>
                <w:sz w:val="24"/>
                <w:highlight w:val="none"/>
                <w:lang w:val="en-US" w:eastAsia="zh-CN"/>
                <w14:textFill>
                  <w14:solidFill>
                    <w14:schemeClr w14:val="tx1"/>
                  </w14:solidFill>
                </w14:textFill>
              </w:rPr>
              <w:t>7</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w:t>
            </w:r>
            <w:r>
              <w:rPr>
                <w:rFonts w:hint="default" w:ascii="Times New Roman" w:hAnsi="Times New Roman" w:cs="Times New Roman"/>
                <w:color w:val="000000" w:themeColor="text1"/>
                <w:sz w:val="24"/>
                <w:highlight w:val="none"/>
                <w:lang w:val="en-US" w:eastAsia="zh-CN"/>
                <w14:textFill>
                  <w14:solidFill>
                    <w14:schemeClr w14:val="tx1"/>
                  </w14:solidFill>
                </w14:textFill>
              </w:rPr>
              <w:t>分选粉磨粉尘</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（G1-</w:t>
            </w:r>
            <w:r>
              <w:rPr>
                <w:rFonts w:hint="default" w:ascii="Times New Roman" w:hAnsi="Times New Roman" w:cs="Times New Roman"/>
                <w:color w:val="000000" w:themeColor="text1"/>
                <w:sz w:val="24"/>
                <w:highlight w:val="none"/>
                <w:lang w:val="en-US" w:eastAsia="zh-CN"/>
                <w14:textFill>
                  <w14:solidFill>
                    <w14:schemeClr w14:val="tx1"/>
                  </w14:solidFill>
                </w14:textFill>
              </w:rPr>
              <w:t>8</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）、成品输送存储粉尘（G1-</w:t>
            </w:r>
            <w:r>
              <w:rPr>
                <w:rFonts w:hint="default" w:ascii="Times New Roman" w:hAnsi="Times New Roman" w:cs="Times New Roman"/>
                <w:color w:val="000000" w:themeColor="text1"/>
                <w:sz w:val="24"/>
                <w:highlight w:val="none"/>
                <w:lang w:val="en-US" w:eastAsia="zh-CN"/>
                <w14:textFill>
                  <w14:solidFill>
                    <w14:schemeClr w14:val="tx1"/>
                  </w14:solidFill>
                </w14:textFill>
              </w:rPr>
              <w:t>10</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、G1-</w:t>
            </w:r>
            <w:r>
              <w:rPr>
                <w:rFonts w:hint="default" w:ascii="Times New Roman" w:hAnsi="Times New Roman" w:cs="Times New Roman"/>
                <w:color w:val="000000" w:themeColor="text1"/>
                <w:sz w:val="24"/>
                <w:highlight w:val="none"/>
                <w:lang w:val="en-US" w:eastAsia="zh-CN"/>
                <w14:textFill>
                  <w14:solidFill>
                    <w14:schemeClr w14:val="tx1"/>
                  </w14:solidFill>
                </w14:textFill>
              </w:rPr>
              <w:t>11</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、G1-1</w:t>
            </w:r>
            <w:r>
              <w:rPr>
                <w:rFonts w:hint="default" w:ascii="Times New Roman" w:hAnsi="Times New Roman" w:cs="Times New Roman"/>
                <w:color w:val="000000" w:themeColor="text1"/>
                <w:sz w:val="24"/>
                <w:highlight w:val="none"/>
                <w:lang w:val="en-US" w:eastAsia="zh-CN"/>
                <w14:textFill>
                  <w14:solidFill>
                    <w14:schemeClr w14:val="tx1"/>
                  </w14:solidFill>
                </w14:textFill>
              </w:rPr>
              <w:t>3</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）以及黄料仓储粉尘（G1-</w:t>
            </w:r>
            <w:r>
              <w:rPr>
                <w:rFonts w:hint="default" w:ascii="Times New Roman" w:hAnsi="Times New Roman" w:cs="Times New Roman"/>
                <w:color w:val="000000" w:themeColor="text1"/>
                <w:sz w:val="24"/>
                <w:highlight w:val="none"/>
                <w:lang w:val="en-US" w:eastAsia="zh-CN"/>
                <w14:textFill>
                  <w14:solidFill>
                    <w14:schemeClr w14:val="tx1"/>
                  </w14:solidFill>
                </w14:textFill>
              </w:rPr>
              <w:t>9</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）、大包装和小包装废气（G1-1</w:t>
            </w:r>
            <w:r>
              <w:rPr>
                <w:rFonts w:hint="default" w:ascii="Times New Roman" w:hAnsi="Times New Roman" w:cs="Times New Roman"/>
                <w:color w:val="000000" w:themeColor="text1"/>
                <w:sz w:val="24"/>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、G1-1</w:t>
            </w:r>
            <w:r>
              <w:rPr>
                <w:rFonts w:hint="default" w:ascii="Times New Roman" w:hAnsi="Times New Roman" w:cs="Times New Roman"/>
                <w:color w:val="000000" w:themeColor="text1"/>
                <w:sz w:val="24"/>
                <w:highlight w:val="none"/>
                <w:lang w:val="en-US" w:eastAsia="zh-CN"/>
                <w14:textFill>
                  <w14:solidFill>
                    <w14:schemeClr w14:val="tx1"/>
                  </w14:solidFill>
                </w14:textFill>
              </w:rPr>
              <w:t>4</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w:t>
            </w:r>
            <w:r>
              <w:rPr>
                <w:rFonts w:hint="eastAsia" w:cs="Times New Roman"/>
                <w:color w:val="000000" w:themeColor="text1"/>
                <w:sz w:val="24"/>
                <w:highlight w:val="none"/>
                <w:lang w:val="en-US" w:eastAsia="zh-CN"/>
                <w14:textFill>
                  <w14:solidFill>
                    <w14:schemeClr w14:val="tx1"/>
                  </w14:solidFill>
                </w14:textFill>
              </w:rPr>
              <w:t>、石灰石粉仓粉尘</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（G1-1</w:t>
            </w:r>
            <w:r>
              <w:rPr>
                <w:rFonts w:hint="eastAsia" w:cs="Times New Roman"/>
                <w:color w:val="000000" w:themeColor="text1"/>
                <w:sz w:val="24"/>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），在采取相应措施后排放</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浓度满足《耐火材料工业大气污染物排放标准》（GB46790—2025）</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表1</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大气污染物排放限值</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；厂界颗粒物排放浓度满足《大气污染物综合排放标准》（GB16297-1996）表2无组织排放监控浓度限值</w:t>
            </w:r>
            <w:r>
              <w:rPr>
                <w:rFonts w:hint="eastAsia" w:cs="Times New Roman"/>
                <w:color w:val="000000" w:themeColor="text1"/>
                <w:sz w:val="24"/>
                <w:szCs w:val="24"/>
                <w:highlight w:val="none"/>
                <w:lang w:val="en-US" w:eastAsia="zh-CN"/>
                <w14:textFill>
                  <w14:solidFill>
                    <w14:schemeClr w14:val="tx1"/>
                  </w14:solidFill>
                </w14:textFill>
              </w:rPr>
              <w:t>；厂区内</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无组织粉尘</w:t>
            </w:r>
            <w:r>
              <w:rPr>
                <w:rFonts w:hint="eastAsia" w:cs="Times New Roman"/>
                <w:color w:val="000000" w:themeColor="text1"/>
                <w:sz w:val="24"/>
                <w:highlight w:val="none"/>
                <w:lang w:val="en-US" w:eastAsia="zh-CN"/>
                <w14:textFill>
                  <w14:solidFill>
                    <w14:schemeClr w14:val="tx1"/>
                  </w14:solidFill>
                </w14:textFill>
              </w:rPr>
              <w:t>浓度</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执行</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《耐火材料工业大气污染物排放标准》（GB46790-2025）表4厂区内</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无组织排放标准。厂界氨满足《恶臭污染物排放标准》(GB14554-93)表1无组织排放限值</w:t>
            </w:r>
            <w:r>
              <w:rPr>
                <w:rFonts w:hint="eastAsia" w:cs="Times New Roman"/>
                <w:color w:val="000000" w:themeColor="text1"/>
                <w:sz w:val="24"/>
                <w:highlight w:val="none"/>
                <w:lang w:val="en-US" w:eastAsia="zh-CN"/>
                <w14:textFill>
                  <w14:solidFill>
                    <w14:schemeClr w14:val="tx1"/>
                  </w14:solidFill>
                </w14:textFill>
              </w:rPr>
              <w:t>。</w:t>
            </w:r>
          </w:p>
          <w:p w14:paraId="0CE3A810">
            <w:pPr>
              <w:pStyle w:val="119"/>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center"/>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本项目窑</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尾</w:t>
            </w:r>
            <w:r>
              <w:rPr>
                <w:rFonts w:hint="eastAsia" w:cs="Times New Roman"/>
                <w:color w:val="000000" w:themeColor="text1"/>
                <w:sz w:val="24"/>
                <w:highlight w:val="none"/>
                <w:lang w:val="en-US" w:eastAsia="zh-CN"/>
                <w14:textFill>
                  <w14:solidFill>
                    <w14:schemeClr w14:val="tx1"/>
                  </w14:solidFill>
                </w14:textFill>
              </w:rPr>
              <w:t>采用“</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分级燃烧+缺氧燃烧+烟气再循环（FGR）”组合</w:t>
            </w:r>
            <w:r>
              <w:rPr>
                <w:rFonts w:hint="eastAsia" w:cs="Times New Roman"/>
                <w:color w:val="000000" w:themeColor="text1"/>
                <w:sz w:val="24"/>
                <w:highlight w:val="none"/>
                <w:lang w:val="en-US" w:eastAsia="zh-CN"/>
                <w14:textFill>
                  <w14:solidFill>
                    <w14:schemeClr w14:val="tx1"/>
                  </w14:solidFill>
                </w14:textFill>
              </w:rPr>
              <w:t>低氮燃烧</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焙烧</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烟气经余热锅炉+脱硝（SNCR）装置</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脱硝效率</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50</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布袋除</w:t>
            </w:r>
            <w:r>
              <w:rPr>
                <w:rFonts w:hint="eastAsia"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尘器（覆膜袋式）</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除尘</w:t>
            </w:r>
            <w:r>
              <w:rPr>
                <w:rFonts w:hint="eastAsia"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除尘效率99%</w:t>
            </w:r>
            <w:r>
              <w:rPr>
                <w:rFonts w:hint="eastAsia"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+石灰石－石膏法装置脱硫后</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脱硫效率</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90</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、除氨</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效率</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50%</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r>
              <w:rPr>
                <w:rFonts w:hint="eastAsia" w:cs="Times New Roman"/>
                <w:color w:val="000000" w:themeColor="text1"/>
                <w:sz w:val="24"/>
                <w:szCs w:val="24"/>
                <w:highlight w:val="none"/>
                <w:lang w:eastAsia="zh-CN"/>
                <w14:textFill>
                  <w14:solidFill>
                    <w14:schemeClr w14:val="tx1"/>
                  </w14:solidFill>
                </w14:textFill>
              </w:rPr>
              <w:t>，</w:t>
            </w:r>
            <w:r>
              <w:rPr>
                <w:rFonts w:hint="eastAsia" w:cs="Times New Roman"/>
                <w:color w:val="000000" w:themeColor="text1"/>
                <w:sz w:val="24"/>
                <w:szCs w:val="24"/>
                <w:highlight w:val="none"/>
                <w:lang w:val="en-US" w:eastAsia="zh-CN"/>
                <w14:textFill>
                  <w14:solidFill>
                    <w14:schemeClr w14:val="tx1"/>
                  </w14:solidFill>
                </w14:textFill>
              </w:rPr>
              <w:t>污染物</w:t>
            </w:r>
            <w:r>
              <w:rPr>
                <w:rFonts w:hint="eastAsia" w:cs="Times New Roman"/>
                <w:color w:val="000000" w:themeColor="text1"/>
                <w:sz w:val="24"/>
                <w:szCs w:val="24"/>
                <w:highlight w:val="none"/>
                <w:vertAlign w:val="baseli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颗粒物</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SO</w:t>
            </w:r>
            <w:r>
              <w:rPr>
                <w:rFonts w:hint="default" w:ascii="Times New Roman" w:hAnsi="Times New Roman" w:eastAsia="宋体" w:cs="Times New Roman"/>
                <w:color w:val="000000" w:themeColor="text1"/>
                <w:sz w:val="24"/>
                <w:szCs w:val="24"/>
                <w:highlight w:val="none"/>
                <w:vertAlign w:val="subscript"/>
                <w:lang w:val="en-US" w:eastAsia="zh-CN"/>
                <w14:textFill>
                  <w14:solidFill>
                    <w14:schemeClr w14:val="tx1"/>
                  </w14:solidFill>
                </w14:textFill>
              </w:rPr>
              <w:t>2</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、NO</w:t>
            </w:r>
            <w:r>
              <w:rPr>
                <w:rFonts w:hint="default" w:ascii="Times New Roman" w:hAnsi="Times New Roman" w:eastAsia="宋体" w:cs="Times New Roman"/>
                <w:color w:val="000000" w:themeColor="text1"/>
                <w:sz w:val="24"/>
                <w:szCs w:val="24"/>
                <w:highlight w:val="none"/>
                <w:vertAlign w:val="subscript"/>
                <w:lang w:val="en-US" w:eastAsia="zh-CN"/>
                <w14:textFill>
                  <w14:solidFill>
                    <w14:schemeClr w14:val="tx1"/>
                  </w14:solidFill>
                </w14:textFill>
              </w:rPr>
              <w:t>X</w:t>
            </w:r>
            <w:r>
              <w:rPr>
                <w:rFonts w:hint="eastAsia" w:cs="Times New Roman"/>
                <w:color w:val="000000" w:themeColor="text1"/>
                <w:sz w:val="24"/>
                <w:szCs w:val="24"/>
                <w:highlight w:val="none"/>
                <w:vertAlign w:val="baseline"/>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highlight w:val="none"/>
                <w:vertAlign w:val="baseline"/>
                <w:lang w:val="en-US" w:eastAsia="zh-CN"/>
                <w14:textFill>
                  <w14:solidFill>
                    <w14:schemeClr w14:val="tx1"/>
                  </w14:solidFill>
                </w14:textFill>
              </w:rPr>
              <w:t>氨气</w:t>
            </w:r>
            <w:r>
              <w:rPr>
                <w:rFonts w:hint="eastAsia" w:cs="Times New Roman"/>
                <w:color w:val="000000" w:themeColor="text1"/>
                <w:sz w:val="24"/>
                <w:szCs w:val="24"/>
                <w:highlight w:val="none"/>
                <w:vertAlign w:val="baseli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排放浓度</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执行《耐火材料工业大气污染物排放标准》（GB46790-2025）表1大气污染物排放限值（</w:t>
            </w:r>
            <w:r>
              <w:rPr>
                <w:rFonts w:hint="default" w:ascii="Times New Roman" w:hAnsi="Times New Roman" w:eastAsia="宋体" w:cs="Times New Roman"/>
                <w:color w:val="000000" w:themeColor="text1"/>
                <w:sz w:val="24"/>
                <w:szCs w:val="24"/>
                <w:highlight w:val="none"/>
                <w14:textFill>
                  <w14:solidFill>
                    <w14:schemeClr w14:val="tx1"/>
                  </w14:solidFill>
                </w14:textFill>
              </w:rPr>
              <w:t>粉尘</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sz w:val="24"/>
                <w:szCs w:val="24"/>
                <w:highlight w:val="none"/>
                <w14:textFill>
                  <w14:solidFill>
                    <w14:schemeClr w14:val="tx1"/>
                  </w14:solidFill>
                </w14:textFill>
              </w:rPr>
              <w:t>0mg/m</w:t>
            </w:r>
            <w:r>
              <w:rPr>
                <w:rFonts w:hint="default" w:ascii="Times New Roman" w:hAnsi="Times New Roman" w:eastAsia="宋体" w:cs="Times New Roman"/>
                <w:color w:val="000000" w:themeColor="text1"/>
                <w:sz w:val="24"/>
                <w:szCs w:val="24"/>
                <w:highlight w:val="none"/>
                <w:vertAlign w:val="superscript"/>
                <w14:textFill>
                  <w14:solidFill>
                    <w14:schemeClr w14:val="tx1"/>
                  </w14:solidFill>
                </w14:textFill>
              </w:rPr>
              <w:t>3</w:t>
            </w:r>
            <w:r>
              <w:rPr>
                <w:rFonts w:hint="eastAsia" w:ascii="Times New Roman" w:hAnsi="Times New Roman" w:eastAsia="宋体" w:cs="Times New Roman"/>
                <w:color w:val="000000" w:themeColor="text1"/>
                <w:sz w:val="24"/>
                <w:szCs w:val="24"/>
                <w:highlight w:val="none"/>
                <w:vertAlign w:val="baseli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vertAlign w:val="baseline"/>
                <w:lang w:val="en-US" w:eastAsia="zh-CN"/>
                <w14:textFill>
                  <w14:solidFill>
                    <w14:schemeClr w14:val="tx1"/>
                  </w14:solidFill>
                </w14:textFill>
              </w:rPr>
              <w:t>氮氧化物</w:t>
            </w:r>
            <w:r>
              <w:rPr>
                <w:rFonts w:hint="eastAsia" w:ascii="Times New Roman" w:hAnsi="Times New Roman" w:eastAsia="宋体" w:cs="Times New Roman"/>
                <w:color w:val="000000" w:themeColor="text1"/>
                <w:sz w:val="24"/>
                <w:szCs w:val="24"/>
                <w:highlight w:val="none"/>
                <w:vertAlign w:val="baseline"/>
                <w:lang w:val="en-US" w:eastAsia="zh-CN"/>
                <w14:textFill>
                  <w14:solidFill>
                    <w14:schemeClr w14:val="tx1"/>
                  </w14:solidFill>
                </w14:textFill>
              </w:rPr>
              <w:t>100</w:t>
            </w:r>
            <w:r>
              <w:rPr>
                <w:rFonts w:hint="default" w:ascii="Times New Roman" w:hAnsi="Times New Roman" w:eastAsia="宋体" w:cs="Times New Roman"/>
                <w:color w:val="000000" w:themeColor="text1"/>
                <w:sz w:val="24"/>
                <w:szCs w:val="24"/>
                <w:highlight w:val="none"/>
                <w14:textFill>
                  <w14:solidFill>
                    <w14:schemeClr w14:val="tx1"/>
                  </w14:solidFill>
                </w14:textFill>
              </w:rPr>
              <w:t>mg/m</w:t>
            </w:r>
            <w:r>
              <w:rPr>
                <w:rFonts w:hint="default" w:ascii="Times New Roman" w:hAnsi="Times New Roman" w:eastAsia="宋体" w:cs="Times New Roman"/>
                <w:color w:val="000000" w:themeColor="text1"/>
                <w:sz w:val="24"/>
                <w:szCs w:val="24"/>
                <w:highlight w:val="none"/>
                <w:vertAlign w:val="superscript"/>
                <w14:textFill>
                  <w14:solidFill>
                    <w14:schemeClr w14:val="tx1"/>
                  </w14:solidFill>
                </w14:textFill>
              </w:rPr>
              <w:t>3</w:t>
            </w:r>
            <w:r>
              <w:rPr>
                <w:rFonts w:hint="eastAsia" w:ascii="Times New Roman" w:hAnsi="Times New Roman" w:eastAsia="宋体" w:cs="Times New Roman"/>
                <w:color w:val="000000" w:themeColor="text1"/>
                <w:sz w:val="24"/>
                <w:szCs w:val="24"/>
                <w:highlight w:val="none"/>
                <w:vertAlign w:val="baseli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vertAlign w:val="baseline"/>
                <w:lang w:val="en-US" w:eastAsia="zh-CN"/>
                <w14:textFill>
                  <w14:solidFill>
                    <w14:schemeClr w14:val="tx1"/>
                  </w14:solidFill>
                </w14:textFill>
              </w:rPr>
              <w:t>二氧化硫</w:t>
            </w:r>
            <w:r>
              <w:rPr>
                <w:rFonts w:hint="eastAsia" w:ascii="Times New Roman" w:hAnsi="Times New Roman" w:eastAsia="宋体" w:cs="Times New Roman"/>
                <w:color w:val="000000" w:themeColor="text1"/>
                <w:sz w:val="24"/>
                <w:szCs w:val="24"/>
                <w:highlight w:val="none"/>
                <w:vertAlign w:val="baseline"/>
                <w:lang w:val="en-US" w:eastAsia="zh-CN"/>
                <w14:textFill>
                  <w14:solidFill>
                    <w14:schemeClr w14:val="tx1"/>
                  </w14:solidFill>
                </w14:textFill>
              </w:rPr>
              <w:t>5</w:t>
            </w:r>
            <w:r>
              <w:rPr>
                <w:rFonts w:hint="default" w:ascii="Times New Roman" w:hAnsi="Times New Roman" w:eastAsia="宋体" w:cs="Times New Roman"/>
                <w:color w:val="000000" w:themeColor="text1"/>
                <w:sz w:val="24"/>
                <w:szCs w:val="24"/>
                <w:highlight w:val="none"/>
                <w14:textFill>
                  <w14:solidFill>
                    <w14:schemeClr w14:val="tx1"/>
                  </w14:solidFill>
                </w14:textFill>
              </w:rPr>
              <w:t>0mg/m</w:t>
            </w:r>
            <w:r>
              <w:rPr>
                <w:rFonts w:hint="default" w:ascii="Times New Roman" w:hAnsi="Times New Roman" w:eastAsia="宋体" w:cs="Times New Roman"/>
                <w:color w:val="000000" w:themeColor="text1"/>
                <w:sz w:val="24"/>
                <w:szCs w:val="24"/>
                <w:highlight w:val="none"/>
                <w:vertAlign w:val="superscript"/>
                <w14:textFill>
                  <w14:solidFill>
                    <w14:schemeClr w14:val="tx1"/>
                  </w14:solidFill>
                </w14:textFill>
              </w:rPr>
              <w:t>3</w:t>
            </w:r>
            <w:r>
              <w:rPr>
                <w:rFonts w:hint="eastAsia" w:ascii="Times New Roman" w:hAnsi="Times New Roman" w:eastAsia="宋体" w:cs="Times New Roman"/>
                <w:color w:val="000000" w:themeColor="text1"/>
                <w:sz w:val="24"/>
                <w:szCs w:val="24"/>
                <w:highlight w:val="none"/>
                <w:vertAlign w:val="baseline"/>
                <w:lang w:val="en-US" w:eastAsia="zh-CN"/>
                <w14:textFill>
                  <w14:solidFill>
                    <w14:schemeClr w14:val="tx1"/>
                  </w14:solidFill>
                </w14:textFill>
              </w:rPr>
              <w:t>；氨气8</w:t>
            </w:r>
            <w:r>
              <w:rPr>
                <w:rFonts w:hint="default" w:ascii="Times New Roman" w:hAnsi="Times New Roman" w:eastAsia="宋体" w:cs="Times New Roman"/>
                <w:color w:val="000000" w:themeColor="text1"/>
                <w:sz w:val="24"/>
                <w:szCs w:val="24"/>
                <w:highlight w:val="none"/>
                <w14:textFill>
                  <w14:solidFill>
                    <w14:schemeClr w14:val="tx1"/>
                  </w14:solidFill>
                </w14:textFill>
              </w:rPr>
              <w:t>mg/m</w:t>
            </w:r>
            <w:r>
              <w:rPr>
                <w:rFonts w:hint="default" w:ascii="Times New Roman" w:hAnsi="Times New Roman" w:eastAsia="宋体"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要求。</w:t>
            </w:r>
          </w:p>
          <w:p w14:paraId="11F3C7B4">
            <w:pPr>
              <w:pStyle w:val="97"/>
              <w:autoSpaceDE w:val="0"/>
              <w:spacing w:before="0" w:beforeAutospacing="0" w:after="0" w:afterAutospacing="0"/>
              <w:ind w:left="0" w:firstLine="480" w:firstLineChars="20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原料粉</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仓、</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原料转运粉尘、喂料仓装卸粉尘、喂料提升机装卸粉尘、</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分选废气（打散分级机、粉磨机）、黄料筒仓废气、成品存储筒仓和包装</w:t>
            </w:r>
            <w:r>
              <w:rPr>
                <w:rFonts w:hint="default" w:ascii="Times New Roman" w:hAnsi="Times New Roman" w:eastAsia="宋体" w:cs="Times New Roman"/>
                <w:color w:val="000000" w:themeColor="text1"/>
                <w:sz w:val="24"/>
                <w:szCs w:val="24"/>
                <w:highlight w:val="none"/>
                <w14:textFill>
                  <w14:solidFill>
                    <w14:schemeClr w14:val="tx1"/>
                  </w14:solidFill>
                </w14:textFill>
              </w:rPr>
              <w:t>工序产生的粉尘经</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布袋除尘器（覆膜袋式）</w:t>
            </w:r>
            <w:r>
              <w:rPr>
                <w:rFonts w:hint="default" w:ascii="Times New Roman" w:hAnsi="Times New Roman" w:eastAsia="宋体" w:cs="Times New Roman"/>
                <w:color w:val="000000" w:themeColor="text1"/>
                <w:sz w:val="24"/>
                <w:szCs w:val="24"/>
                <w:highlight w:val="none"/>
                <w14:textFill>
                  <w14:solidFill>
                    <w14:schemeClr w14:val="tx1"/>
                  </w14:solidFill>
                </w14:textFill>
              </w:rPr>
              <w:t>处理后（除尘效率9</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9</w:t>
            </w:r>
            <w:r>
              <w:rPr>
                <w:rFonts w:hint="default" w:ascii="Times New Roman" w:hAnsi="Times New Roman" w:eastAsia="宋体" w:cs="Times New Roman"/>
                <w:color w:val="000000" w:themeColor="text1"/>
                <w:sz w:val="24"/>
                <w:szCs w:val="24"/>
                <w:highlight w:val="none"/>
                <w14:textFill>
                  <w14:solidFill>
                    <w14:schemeClr w14:val="tx1"/>
                  </w14:solidFill>
                </w14:textFill>
              </w:rPr>
              <w:t>%），满足</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《耐火材料工业大气污染物排放标准》（GB46790-2025）表1大气污染物排放限值</w:t>
            </w:r>
            <w:r>
              <w:rPr>
                <w:rFonts w:hint="default" w:ascii="Times New Roman" w:hAnsi="Times New Roman" w:eastAsia="宋体" w:cs="Times New Roman"/>
                <w:color w:val="000000" w:themeColor="text1"/>
                <w:sz w:val="24"/>
                <w:szCs w:val="24"/>
                <w:highlight w:val="none"/>
                <w14:textFill>
                  <w14:solidFill>
                    <w14:schemeClr w14:val="tx1"/>
                  </w14:solidFill>
                </w14:textFill>
              </w:rPr>
              <w:t>要求。</w:t>
            </w:r>
          </w:p>
          <w:p w14:paraId="0682AF30">
            <w:pPr>
              <w:pStyle w:val="8"/>
              <w:tabs>
                <w:tab w:val="left" w:pos="1180"/>
                <w:tab w:val="center" w:pos="4535"/>
              </w:tabs>
              <w:ind w:firstLineChars="200"/>
              <w:jc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eastAsia="宋体" w:cs="Times New Roman"/>
                <w:b/>
                <w:color w:val="000000" w:themeColor="text1"/>
                <w:highlight w:val="none"/>
                <w:lang w:eastAsia="zh-CN"/>
                <w14:textFill>
                  <w14:solidFill>
                    <w14:schemeClr w14:val="tx1"/>
                  </w14:solidFill>
                </w14:textFill>
              </w:rPr>
              <w:t>表</w:t>
            </w:r>
            <w:r>
              <w:rPr>
                <w:rFonts w:hint="default" w:ascii="Times New Roman" w:hAnsi="Times New Roman" w:eastAsia="宋体" w:cs="Times New Roman"/>
                <w:b/>
                <w:color w:val="000000" w:themeColor="text1"/>
                <w:highlight w:val="none"/>
                <w:lang w:val="en-US" w:eastAsia="zh-CN"/>
                <w14:textFill>
                  <w14:solidFill>
                    <w14:schemeClr w14:val="tx1"/>
                  </w14:solidFill>
                </w14:textFill>
              </w:rPr>
              <w:t>4-1</w:t>
            </w:r>
            <w:r>
              <w:rPr>
                <w:rFonts w:hint="eastAsia" w:cs="Times New Roman"/>
                <w:b/>
                <w:color w:val="000000" w:themeColor="text1"/>
                <w:highlight w:val="none"/>
                <w:lang w:val="en-US" w:eastAsia="zh-CN"/>
                <w14:textFill>
                  <w14:solidFill>
                    <w14:schemeClr w14:val="tx1"/>
                  </w14:solidFill>
                </w14:textFill>
              </w:rPr>
              <w:t>1有组织</w:t>
            </w:r>
            <w:r>
              <w:rPr>
                <w:rFonts w:hint="default" w:ascii="Times New Roman" w:hAnsi="Times New Roman" w:eastAsia="宋体" w:cs="Times New Roman"/>
                <w:b/>
                <w:color w:val="000000" w:themeColor="text1"/>
                <w:highlight w:val="none"/>
                <w:lang w:eastAsia="zh-CN"/>
                <w14:textFill>
                  <w14:solidFill>
                    <w14:schemeClr w14:val="tx1"/>
                  </w14:solidFill>
                </w14:textFill>
              </w:rPr>
              <w:t>排</w:t>
            </w:r>
            <w:r>
              <w:rPr>
                <w:rFonts w:hint="default" w:ascii="Times New Roman" w:hAnsi="Times New Roman" w:cs="Times New Roman"/>
                <w:b/>
                <w:color w:val="000000" w:themeColor="text1"/>
                <w:highlight w:val="none"/>
                <w:lang w:eastAsia="zh-CN"/>
                <w14:textFill>
                  <w14:solidFill>
                    <w14:schemeClr w14:val="tx1"/>
                  </w14:solidFill>
                </w14:textFill>
              </w:rPr>
              <w:t>放口</w:t>
            </w:r>
            <w:r>
              <w:rPr>
                <w:rFonts w:hint="eastAsia" w:cs="Times New Roman"/>
                <w:b/>
                <w:color w:val="000000" w:themeColor="text1"/>
                <w:highlight w:val="none"/>
                <w:lang w:val="en-US" w:eastAsia="zh-CN"/>
                <w14:textFill>
                  <w14:solidFill>
                    <w14:schemeClr w14:val="tx1"/>
                  </w14:solidFill>
                </w14:textFill>
              </w:rPr>
              <w:t>达标</w:t>
            </w:r>
            <w:r>
              <w:rPr>
                <w:rFonts w:hint="default" w:ascii="Times New Roman" w:hAnsi="Times New Roman" w:cs="Times New Roman"/>
                <w:b/>
                <w:color w:val="000000" w:themeColor="text1"/>
                <w:highlight w:val="none"/>
                <w14:textFill>
                  <w14:solidFill>
                    <w14:schemeClr w14:val="tx1"/>
                  </w14:solidFill>
                </w14:textFill>
              </w:rPr>
              <w:t>情况</w:t>
            </w:r>
          </w:p>
          <w:tbl>
            <w:tblPr>
              <w:tblStyle w:val="2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4"/>
              <w:gridCol w:w="1989"/>
              <w:gridCol w:w="1516"/>
              <w:gridCol w:w="1429"/>
              <w:gridCol w:w="1435"/>
            </w:tblGrid>
            <w:tr w14:paraId="3A4C0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90" w:type="pct"/>
                  <w:noWrap w:val="0"/>
                  <w:vAlign w:val="center"/>
                </w:tcPr>
                <w:p w14:paraId="017D4ABA">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eastAsia="zh-CN"/>
                      <w14:textFill>
                        <w14:solidFill>
                          <w14:schemeClr w14:val="tx1"/>
                        </w14:solidFill>
                      </w14:textFill>
                    </w:rPr>
                    <w:t>名称</w:t>
                  </w:r>
                </w:p>
              </w:tc>
              <w:tc>
                <w:tcPr>
                  <w:tcW w:w="1251" w:type="pct"/>
                  <w:noWrap w:val="0"/>
                  <w:vAlign w:val="center"/>
                </w:tcPr>
                <w:p w14:paraId="0344A305">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污染物</w:t>
                  </w:r>
                </w:p>
                <w:p w14:paraId="2D0CDC65">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种类</w:t>
                  </w:r>
                </w:p>
              </w:tc>
              <w:tc>
                <w:tcPr>
                  <w:tcW w:w="954" w:type="pct"/>
                  <w:noWrap w:val="0"/>
                  <w:vAlign w:val="center"/>
                </w:tcPr>
                <w:p w14:paraId="7BABA68C">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排气</w:t>
                  </w:r>
                  <w:r>
                    <w:rPr>
                      <w:rFonts w:hint="eastAsia" w:cs="Times New Roman"/>
                      <w:color w:val="000000" w:themeColor="text1"/>
                      <w:sz w:val="24"/>
                      <w:szCs w:val="24"/>
                      <w:highlight w:val="none"/>
                      <w:lang w:val="en-US" w:eastAsia="zh-CN"/>
                      <w14:textFill>
                        <w14:solidFill>
                          <w14:schemeClr w14:val="tx1"/>
                        </w14:solidFill>
                      </w14:textFill>
                    </w:rPr>
                    <w:t>口</w:t>
                  </w:r>
                </w:p>
                <w:p w14:paraId="2E0F4CD0">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高度</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m</w:t>
                  </w:r>
                </w:p>
              </w:tc>
              <w:tc>
                <w:tcPr>
                  <w:tcW w:w="899" w:type="pct"/>
                  <w:noWrap w:val="0"/>
                  <w:vAlign w:val="center"/>
                </w:tcPr>
                <w:p w14:paraId="4C93EF85">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排放浓度mg/m</w:t>
                  </w:r>
                  <w:r>
                    <w:rPr>
                      <w:rFonts w:hint="eastAsia" w:cs="Times New Roman"/>
                      <w:b w:val="0"/>
                      <w:bCs w:val="0"/>
                      <w:color w:val="000000" w:themeColor="text1"/>
                      <w:sz w:val="21"/>
                      <w:szCs w:val="21"/>
                      <w:highlight w:val="none"/>
                      <w:vertAlign w:val="superscript"/>
                      <w:lang w:val="en-US" w:eastAsia="zh-CN"/>
                      <w14:textFill>
                        <w14:solidFill>
                          <w14:schemeClr w14:val="tx1"/>
                        </w14:solidFill>
                      </w14:textFill>
                    </w:rPr>
                    <w:t>3</w:t>
                  </w:r>
                </w:p>
              </w:tc>
              <w:tc>
                <w:tcPr>
                  <w:tcW w:w="903" w:type="pct"/>
                  <w:noWrap w:val="0"/>
                  <w:vAlign w:val="center"/>
                </w:tcPr>
                <w:p w14:paraId="0FCB0CFF">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排放浓度限值mg/m</w:t>
                  </w:r>
                  <w:r>
                    <w:rPr>
                      <w:rFonts w:hint="eastAsia" w:cs="Times New Roman"/>
                      <w:b w:val="0"/>
                      <w:bCs w:val="0"/>
                      <w:color w:val="000000" w:themeColor="text1"/>
                      <w:sz w:val="21"/>
                      <w:szCs w:val="21"/>
                      <w:highlight w:val="none"/>
                      <w:vertAlign w:val="superscript"/>
                      <w:lang w:val="en-US" w:eastAsia="zh-CN"/>
                      <w14:textFill>
                        <w14:solidFill>
                          <w14:schemeClr w14:val="tx1"/>
                        </w14:solidFill>
                      </w14:textFill>
                    </w:rPr>
                    <w:t>3</w:t>
                  </w:r>
                </w:p>
              </w:tc>
            </w:tr>
            <w:tr w14:paraId="75B35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0" w:type="pct"/>
                  <w:noWrap w:val="0"/>
                  <w:vAlign w:val="center"/>
                </w:tcPr>
                <w:p w14:paraId="72B7DB02">
                  <w:pPr>
                    <w:pStyle w:val="85"/>
                    <w:keepNext w:val="0"/>
                    <w:keepLines w:val="0"/>
                    <w:pageBreakBefore w:val="0"/>
                    <w:widowControl w:val="0"/>
                    <w:kinsoku w:val="0"/>
                    <w:wordWrap/>
                    <w:overflowPunct w:val="0"/>
                    <w:topLinePunct w:val="0"/>
                    <w:bidi w:val="0"/>
                    <w:adjustRightInd/>
                    <w:snapToGrid w:val="0"/>
                    <w:ind w:firstLine="0" w:firstLineChars="0"/>
                    <w:jc w:val="center"/>
                    <w:textAlignment w:val="auto"/>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DA001</w:t>
                  </w:r>
                </w:p>
              </w:tc>
              <w:tc>
                <w:tcPr>
                  <w:tcW w:w="1251" w:type="pct"/>
                  <w:vMerge w:val="restart"/>
                  <w:noWrap w:val="0"/>
                  <w:vAlign w:val="center"/>
                </w:tcPr>
                <w:p w14:paraId="17C4B80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颗粒物</w:t>
                  </w:r>
                </w:p>
              </w:tc>
              <w:tc>
                <w:tcPr>
                  <w:tcW w:w="954" w:type="pct"/>
                  <w:noWrap w:val="0"/>
                  <w:vAlign w:val="center"/>
                </w:tcPr>
                <w:p w14:paraId="2F2BB3AA">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4</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2</w:t>
                  </w:r>
                </w:p>
              </w:tc>
              <w:tc>
                <w:tcPr>
                  <w:tcW w:w="899" w:type="pct"/>
                  <w:noWrap w:val="0"/>
                  <w:vAlign w:val="center"/>
                </w:tcPr>
                <w:p w14:paraId="5A3D9C36">
                  <w:pPr>
                    <w:pStyle w:val="85"/>
                    <w:keepNext w:val="0"/>
                    <w:keepLines w:val="0"/>
                    <w:pageBreakBefore w:val="0"/>
                    <w:widowControl w:val="0"/>
                    <w:kinsoku w:val="0"/>
                    <w:wordWrap/>
                    <w:overflowPunct w:val="0"/>
                    <w:topLinePunct w:val="0"/>
                    <w:bidi w:val="0"/>
                    <w:adjustRightInd/>
                    <w:snapToGrid w:val="0"/>
                    <w:ind w:firstLine="0" w:firstLineChars="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5</w:t>
                  </w:r>
                </w:p>
              </w:tc>
              <w:tc>
                <w:tcPr>
                  <w:tcW w:w="903" w:type="pct"/>
                  <w:noWrap w:val="0"/>
                  <w:vAlign w:val="center"/>
                </w:tcPr>
                <w:p w14:paraId="42A810C2">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20</w:t>
                  </w:r>
                </w:p>
              </w:tc>
            </w:tr>
            <w:tr w14:paraId="74349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90" w:type="pct"/>
                  <w:noWrap w:val="0"/>
                  <w:vAlign w:val="center"/>
                </w:tcPr>
                <w:p w14:paraId="48ECC9C5">
                  <w:pPr>
                    <w:pStyle w:val="85"/>
                    <w:keepNext w:val="0"/>
                    <w:keepLines w:val="0"/>
                    <w:pageBreakBefore w:val="0"/>
                    <w:widowControl w:val="0"/>
                    <w:kinsoku w:val="0"/>
                    <w:wordWrap/>
                    <w:overflowPunct w:val="0"/>
                    <w:topLinePunct w:val="0"/>
                    <w:bidi w:val="0"/>
                    <w:adjustRightInd/>
                    <w:snapToGrid w:val="0"/>
                    <w:ind w:firstLine="0" w:firstLineChars="0"/>
                    <w:jc w:val="center"/>
                    <w:textAlignment w:val="auto"/>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DA002</w:t>
                  </w:r>
                </w:p>
              </w:tc>
              <w:tc>
                <w:tcPr>
                  <w:tcW w:w="1251" w:type="pct"/>
                  <w:vMerge w:val="continue"/>
                  <w:noWrap w:val="0"/>
                  <w:vAlign w:val="center"/>
                </w:tcPr>
                <w:p w14:paraId="604EE865">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b w:val="0"/>
                      <w:bCs w:val="0"/>
                      <w:color w:val="000000" w:themeColor="text1"/>
                      <w:sz w:val="21"/>
                      <w:szCs w:val="21"/>
                      <w:highlight w:val="none"/>
                      <w14:textFill>
                        <w14:solidFill>
                          <w14:schemeClr w14:val="tx1"/>
                        </w14:solidFill>
                      </w14:textFill>
                    </w:rPr>
                  </w:pPr>
                </w:p>
              </w:tc>
              <w:tc>
                <w:tcPr>
                  <w:tcW w:w="954" w:type="pct"/>
                  <w:noWrap w:val="0"/>
                  <w:vAlign w:val="center"/>
                </w:tcPr>
                <w:p w14:paraId="13AC7DDC">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4</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2</w:t>
                  </w:r>
                </w:p>
              </w:tc>
              <w:tc>
                <w:tcPr>
                  <w:tcW w:w="899" w:type="pct"/>
                  <w:noWrap w:val="0"/>
                  <w:vAlign w:val="center"/>
                </w:tcPr>
                <w:p w14:paraId="01F656AD">
                  <w:pPr>
                    <w:pStyle w:val="85"/>
                    <w:keepNext w:val="0"/>
                    <w:keepLines w:val="0"/>
                    <w:pageBreakBefore w:val="0"/>
                    <w:widowControl w:val="0"/>
                    <w:kinsoku w:val="0"/>
                    <w:wordWrap/>
                    <w:overflowPunct w:val="0"/>
                    <w:topLinePunct w:val="0"/>
                    <w:bidi w:val="0"/>
                    <w:adjustRightInd/>
                    <w:snapToGrid w:val="0"/>
                    <w:ind w:firstLine="0" w:firstLineChars="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5</w:t>
                  </w:r>
                </w:p>
              </w:tc>
              <w:tc>
                <w:tcPr>
                  <w:tcW w:w="903" w:type="pct"/>
                  <w:noWrap w:val="0"/>
                  <w:vAlign w:val="center"/>
                </w:tcPr>
                <w:p w14:paraId="2AA075BD">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20</w:t>
                  </w:r>
                </w:p>
              </w:tc>
            </w:tr>
            <w:tr w14:paraId="4B3C2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90" w:type="pct"/>
                  <w:noWrap w:val="0"/>
                  <w:vAlign w:val="center"/>
                </w:tcPr>
                <w:p w14:paraId="4FCCB426">
                  <w:pPr>
                    <w:pStyle w:val="85"/>
                    <w:keepNext w:val="0"/>
                    <w:keepLines w:val="0"/>
                    <w:pageBreakBefore w:val="0"/>
                    <w:widowControl w:val="0"/>
                    <w:kinsoku w:val="0"/>
                    <w:wordWrap/>
                    <w:overflowPunct w:val="0"/>
                    <w:topLinePunct w:val="0"/>
                    <w:bidi w:val="0"/>
                    <w:adjustRightInd/>
                    <w:snapToGrid w:val="0"/>
                    <w:ind w:firstLine="0" w:firstLineChars="0"/>
                    <w:jc w:val="center"/>
                    <w:textAlignment w:val="auto"/>
                    <w:rPr>
                      <w:rFonts w:hint="default" w:ascii="Times New Roman" w:hAnsi="Times New Roman" w:cs="Times New Roman"/>
                      <w:b w:val="0"/>
                      <w:bCs w:val="0"/>
                      <w:color w:val="000000" w:themeColor="text1"/>
                      <w:kern w:val="0"/>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DA003</w:t>
                  </w:r>
                </w:p>
              </w:tc>
              <w:tc>
                <w:tcPr>
                  <w:tcW w:w="1251" w:type="pct"/>
                  <w:vMerge w:val="continue"/>
                  <w:noWrap w:val="0"/>
                  <w:vAlign w:val="center"/>
                </w:tcPr>
                <w:p w14:paraId="3E2C245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b w:val="0"/>
                      <w:bCs w:val="0"/>
                      <w:color w:val="000000" w:themeColor="text1"/>
                      <w:kern w:val="0"/>
                      <w:sz w:val="21"/>
                      <w:szCs w:val="21"/>
                      <w:highlight w:val="none"/>
                      <w14:textFill>
                        <w14:solidFill>
                          <w14:schemeClr w14:val="tx1"/>
                        </w14:solidFill>
                      </w14:textFill>
                    </w:rPr>
                  </w:pPr>
                </w:p>
              </w:tc>
              <w:tc>
                <w:tcPr>
                  <w:tcW w:w="954" w:type="pct"/>
                  <w:noWrap w:val="0"/>
                  <w:vAlign w:val="center"/>
                </w:tcPr>
                <w:p w14:paraId="2168C545">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 w:val="0"/>
                      <w:bCs w:val="0"/>
                      <w:color w:val="000000" w:themeColor="text1"/>
                      <w:kern w:val="0"/>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kern w:val="0"/>
                      <w:sz w:val="21"/>
                      <w:szCs w:val="21"/>
                      <w:highlight w:val="none"/>
                      <w:lang w:val="en-US" w:eastAsia="zh-CN"/>
                      <w14:textFill>
                        <w14:solidFill>
                          <w14:schemeClr w14:val="tx1"/>
                        </w14:solidFill>
                      </w14:textFill>
                    </w:rPr>
                    <w:t>15</w:t>
                  </w:r>
                </w:p>
              </w:tc>
              <w:tc>
                <w:tcPr>
                  <w:tcW w:w="899" w:type="pct"/>
                  <w:noWrap w:val="0"/>
                  <w:vAlign w:val="center"/>
                </w:tcPr>
                <w:p w14:paraId="6A3D9BCF">
                  <w:pPr>
                    <w:pStyle w:val="85"/>
                    <w:keepNext w:val="0"/>
                    <w:keepLines w:val="0"/>
                    <w:pageBreakBefore w:val="0"/>
                    <w:widowControl w:val="0"/>
                    <w:kinsoku w:val="0"/>
                    <w:wordWrap/>
                    <w:overflowPunct w:val="0"/>
                    <w:topLinePunct w:val="0"/>
                    <w:bidi w:val="0"/>
                    <w:adjustRightInd/>
                    <w:snapToGrid w:val="0"/>
                    <w:ind w:firstLine="0" w:firstLineChars="0"/>
                    <w:jc w:val="center"/>
                    <w:textAlignment w:val="auto"/>
                    <w:rPr>
                      <w:rFonts w:hint="default" w:ascii="Times New Roman" w:hAnsi="Times New Roman" w:eastAsia="宋体" w:cs="Times New Roman"/>
                      <w:b w:val="0"/>
                      <w:bCs w:val="0"/>
                      <w:color w:val="000000" w:themeColor="text1"/>
                      <w:kern w:val="0"/>
                      <w:sz w:val="21"/>
                      <w:szCs w:val="21"/>
                      <w:highlight w:val="none"/>
                      <w:lang w:val="en-US" w:eastAsia="zh-CN"/>
                      <w14:textFill>
                        <w14:solidFill>
                          <w14:schemeClr w14:val="tx1"/>
                        </w14:solidFill>
                      </w14:textFill>
                    </w:rPr>
                  </w:pPr>
                  <w:r>
                    <w:rPr>
                      <w:rFonts w:hint="eastAsia" w:ascii="Times New Roman" w:hAnsi="Times New Roman" w:cs="Times New Roman"/>
                      <w:b w:val="0"/>
                      <w:bCs w:val="0"/>
                      <w:color w:val="000000" w:themeColor="text1"/>
                      <w:kern w:val="0"/>
                      <w:sz w:val="21"/>
                      <w:szCs w:val="21"/>
                      <w:highlight w:val="none"/>
                      <w:lang w:val="en-US" w:eastAsia="zh-CN"/>
                      <w14:textFill>
                        <w14:solidFill>
                          <w14:schemeClr w14:val="tx1"/>
                        </w14:solidFill>
                      </w14:textFill>
                    </w:rPr>
                    <w:t>24</w:t>
                  </w:r>
                </w:p>
              </w:tc>
              <w:tc>
                <w:tcPr>
                  <w:tcW w:w="903" w:type="pct"/>
                  <w:noWrap w:val="0"/>
                  <w:vAlign w:val="center"/>
                </w:tcPr>
                <w:p w14:paraId="53410F2D">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b w:val="0"/>
                      <w:bCs w:val="0"/>
                      <w:color w:val="000000" w:themeColor="text1"/>
                      <w:kern w:val="0"/>
                      <w:sz w:val="21"/>
                      <w:szCs w:val="21"/>
                      <w:highlight w:val="none"/>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20</w:t>
                  </w:r>
                </w:p>
              </w:tc>
            </w:tr>
            <w:tr w14:paraId="55D2A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90" w:type="pct"/>
                  <w:noWrap w:val="0"/>
                  <w:vAlign w:val="center"/>
                </w:tcPr>
                <w:p w14:paraId="5776B1E7">
                  <w:pPr>
                    <w:pStyle w:val="85"/>
                    <w:keepNext w:val="0"/>
                    <w:keepLines w:val="0"/>
                    <w:pageBreakBefore w:val="0"/>
                    <w:widowControl w:val="0"/>
                    <w:kinsoku w:val="0"/>
                    <w:wordWrap/>
                    <w:overflowPunct w:val="0"/>
                    <w:topLinePunct w:val="0"/>
                    <w:bidi w:val="0"/>
                    <w:adjustRightInd/>
                    <w:snapToGrid w:val="0"/>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DA004</w:t>
                  </w:r>
                </w:p>
              </w:tc>
              <w:tc>
                <w:tcPr>
                  <w:tcW w:w="1251" w:type="pct"/>
                  <w:noWrap w:val="0"/>
                  <w:vAlign w:val="center"/>
                </w:tcPr>
                <w:p w14:paraId="3820B342">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 w:val="0"/>
                      <w:bCs w:val="0"/>
                      <w:color w:val="000000" w:themeColor="text1"/>
                      <w:kern w:val="0"/>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kern w:val="0"/>
                      <w:sz w:val="21"/>
                      <w:szCs w:val="21"/>
                      <w:highlight w:val="none"/>
                      <w:lang w:val="en-US" w:eastAsia="zh-CN"/>
                      <w14:textFill>
                        <w14:solidFill>
                          <w14:schemeClr w14:val="tx1"/>
                        </w14:solidFill>
                      </w14:textFill>
                    </w:rPr>
                    <w:t>颗粒物</w:t>
                  </w:r>
                </w:p>
              </w:tc>
              <w:tc>
                <w:tcPr>
                  <w:tcW w:w="954" w:type="pct"/>
                  <w:noWrap w:val="0"/>
                  <w:vAlign w:val="center"/>
                </w:tcPr>
                <w:p w14:paraId="4F431134">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 w:val="0"/>
                      <w:bCs w:val="0"/>
                      <w:color w:val="000000" w:themeColor="text1"/>
                      <w:szCs w:val="21"/>
                      <w:highlight w:val="none"/>
                      <w:lang w:val="en-US" w:eastAsia="zh-CN"/>
                      <w14:textFill>
                        <w14:solidFill>
                          <w14:schemeClr w14:val="tx1"/>
                        </w14:solidFill>
                      </w14:textFill>
                    </w:rPr>
                  </w:pPr>
                  <w:r>
                    <w:rPr>
                      <w:rFonts w:hint="eastAsia" w:cs="Times New Roman"/>
                      <w:b w:val="0"/>
                      <w:bCs w:val="0"/>
                      <w:color w:val="000000" w:themeColor="text1"/>
                      <w:szCs w:val="21"/>
                      <w:highlight w:val="none"/>
                      <w:lang w:val="en-US" w:eastAsia="zh-CN"/>
                      <w14:textFill>
                        <w14:solidFill>
                          <w14:schemeClr w14:val="tx1"/>
                        </w14:solidFill>
                      </w14:textFill>
                    </w:rPr>
                    <w:t>3</w:t>
                  </w:r>
                  <w:r>
                    <w:rPr>
                      <w:rFonts w:hint="default" w:ascii="Times New Roman" w:hAnsi="Times New Roman" w:cs="Times New Roman"/>
                      <w:b w:val="0"/>
                      <w:bCs w:val="0"/>
                      <w:color w:val="000000" w:themeColor="text1"/>
                      <w:szCs w:val="21"/>
                      <w:highlight w:val="none"/>
                      <w:lang w:val="en-US" w:eastAsia="zh-CN"/>
                      <w14:textFill>
                        <w14:solidFill>
                          <w14:schemeClr w14:val="tx1"/>
                        </w14:solidFill>
                      </w14:textFill>
                    </w:rPr>
                    <w:t>0</w:t>
                  </w:r>
                </w:p>
              </w:tc>
              <w:tc>
                <w:tcPr>
                  <w:tcW w:w="899" w:type="pct"/>
                  <w:noWrap w:val="0"/>
                  <w:vAlign w:val="center"/>
                </w:tcPr>
                <w:p w14:paraId="25C18303">
                  <w:pPr>
                    <w:pStyle w:val="85"/>
                    <w:keepNext w:val="0"/>
                    <w:keepLines w:val="0"/>
                    <w:pageBreakBefore w:val="0"/>
                    <w:widowControl w:val="0"/>
                    <w:kinsoku w:val="0"/>
                    <w:wordWrap/>
                    <w:overflowPunct w:val="0"/>
                    <w:topLinePunct w:val="0"/>
                    <w:bidi w:val="0"/>
                    <w:adjustRightInd/>
                    <w:snapToGrid w:val="0"/>
                    <w:ind w:firstLine="0" w:firstLineChars="0"/>
                    <w:jc w:val="center"/>
                    <w:textAlignment w:val="auto"/>
                    <w:rPr>
                      <w:rFonts w:hint="default" w:ascii="Times New Roman" w:hAnsi="Times New Roman" w:eastAsia="宋体" w:cs="Times New Roman"/>
                      <w:b w:val="0"/>
                      <w:bCs w:val="0"/>
                      <w:color w:val="000000" w:themeColor="text1"/>
                      <w:kern w:val="0"/>
                      <w:sz w:val="21"/>
                      <w:szCs w:val="21"/>
                      <w:highlight w:val="none"/>
                      <w:lang w:val="en-US" w:eastAsia="zh-CN"/>
                      <w14:textFill>
                        <w14:solidFill>
                          <w14:schemeClr w14:val="tx1"/>
                        </w14:solidFill>
                      </w14:textFill>
                    </w:rPr>
                  </w:pPr>
                  <w:r>
                    <w:rPr>
                      <w:rFonts w:hint="eastAsia" w:ascii="Times New Roman" w:hAnsi="Times New Roman" w:cs="Times New Roman"/>
                      <w:b w:val="0"/>
                      <w:bCs w:val="0"/>
                      <w:color w:val="000000" w:themeColor="text1"/>
                      <w:kern w:val="0"/>
                      <w:sz w:val="21"/>
                      <w:szCs w:val="21"/>
                      <w:highlight w:val="none"/>
                      <w:lang w:val="en-US" w:eastAsia="zh-CN"/>
                      <w14:textFill>
                        <w14:solidFill>
                          <w14:schemeClr w14:val="tx1"/>
                        </w14:solidFill>
                      </w14:textFill>
                    </w:rPr>
                    <w:t>24</w:t>
                  </w:r>
                </w:p>
              </w:tc>
              <w:tc>
                <w:tcPr>
                  <w:tcW w:w="903" w:type="pct"/>
                  <w:noWrap w:val="0"/>
                  <w:vAlign w:val="center"/>
                </w:tcPr>
                <w:p w14:paraId="72389F49">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20</w:t>
                  </w:r>
                </w:p>
              </w:tc>
            </w:tr>
            <w:tr w14:paraId="26569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90" w:type="pct"/>
                  <w:noWrap w:val="0"/>
                  <w:vAlign w:val="center"/>
                </w:tcPr>
                <w:p w14:paraId="2F5EA9AA">
                  <w:pPr>
                    <w:pStyle w:val="85"/>
                    <w:keepNext w:val="0"/>
                    <w:keepLines w:val="0"/>
                    <w:pageBreakBefore w:val="0"/>
                    <w:widowControl w:val="0"/>
                    <w:kinsoku w:val="0"/>
                    <w:wordWrap/>
                    <w:overflowPunct w:val="0"/>
                    <w:topLinePunct w:val="0"/>
                    <w:bidi w:val="0"/>
                    <w:adjustRightInd/>
                    <w:snapToGrid w:val="0"/>
                    <w:ind w:firstLine="0" w:firstLineChars="0"/>
                    <w:jc w:val="center"/>
                    <w:textAlignment w:val="auto"/>
                    <w:rPr>
                      <w:rFonts w:hint="default" w:ascii="Times New Roman" w:hAnsi="Times New Roman" w:cs="Times New Roman"/>
                      <w:b w:val="0"/>
                      <w:bCs w:val="0"/>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DA005</w:t>
                  </w:r>
                </w:p>
              </w:tc>
              <w:tc>
                <w:tcPr>
                  <w:tcW w:w="1251" w:type="pct"/>
                  <w:noWrap w:val="0"/>
                  <w:vAlign w:val="center"/>
                </w:tcPr>
                <w:p w14:paraId="76DCDF8F">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b w:val="0"/>
                      <w:bCs w:val="0"/>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cs="Times New Roman"/>
                      <w:b w:val="0"/>
                      <w:bCs w:val="0"/>
                      <w:color w:val="000000" w:themeColor="text1"/>
                      <w:kern w:val="0"/>
                      <w:sz w:val="21"/>
                      <w:szCs w:val="21"/>
                      <w:highlight w:val="none"/>
                      <w:lang w:val="en-US" w:eastAsia="zh-CN"/>
                      <w14:textFill>
                        <w14:solidFill>
                          <w14:schemeClr w14:val="tx1"/>
                        </w14:solidFill>
                      </w14:textFill>
                    </w:rPr>
                    <w:t>颗粒物</w:t>
                  </w:r>
                </w:p>
              </w:tc>
              <w:tc>
                <w:tcPr>
                  <w:tcW w:w="954" w:type="pct"/>
                  <w:noWrap w:val="0"/>
                  <w:vAlign w:val="center"/>
                </w:tcPr>
                <w:p w14:paraId="59CDF64E">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cs="Times New Roman"/>
                      <w:b w:val="0"/>
                      <w:bCs w:val="0"/>
                      <w:color w:val="000000" w:themeColor="text1"/>
                      <w:kern w:val="2"/>
                      <w:sz w:val="21"/>
                      <w:szCs w:val="21"/>
                      <w:highlight w:val="none"/>
                      <w:lang w:val="en-US" w:eastAsia="zh-CN" w:bidi="ar-SA"/>
                      <w14:textFill>
                        <w14:solidFill>
                          <w14:schemeClr w14:val="tx1"/>
                        </w14:solidFill>
                      </w14:textFill>
                    </w:rPr>
                    <w:t>9</w:t>
                  </w:r>
                  <w:r>
                    <w:rPr>
                      <w:rFonts w:hint="default" w:ascii="Times New Roman" w:hAnsi="Times New Roman" w:cs="Times New Roman"/>
                      <w:b w:val="0"/>
                      <w:bCs w:val="0"/>
                      <w:color w:val="000000" w:themeColor="text1"/>
                      <w:kern w:val="2"/>
                      <w:sz w:val="21"/>
                      <w:szCs w:val="21"/>
                      <w:highlight w:val="none"/>
                      <w:lang w:val="en-US" w:eastAsia="zh-CN" w:bidi="ar-SA"/>
                      <w14:textFill>
                        <w14:solidFill>
                          <w14:schemeClr w14:val="tx1"/>
                        </w14:solidFill>
                      </w14:textFill>
                    </w:rPr>
                    <w:t>0</w:t>
                  </w:r>
                </w:p>
              </w:tc>
              <w:tc>
                <w:tcPr>
                  <w:tcW w:w="899" w:type="pct"/>
                  <w:noWrap w:val="0"/>
                  <w:vAlign w:val="center"/>
                </w:tcPr>
                <w:p w14:paraId="5A760CF2">
                  <w:pPr>
                    <w:pStyle w:val="85"/>
                    <w:keepNext w:val="0"/>
                    <w:keepLines w:val="0"/>
                    <w:pageBreakBefore w:val="0"/>
                    <w:widowControl w:val="0"/>
                    <w:kinsoku w:val="0"/>
                    <w:wordWrap/>
                    <w:overflowPunct w:val="0"/>
                    <w:topLinePunct w:val="0"/>
                    <w:bidi w:val="0"/>
                    <w:adjustRightInd/>
                    <w:snapToGrid w:val="0"/>
                    <w:ind w:firstLine="0" w:firstLineChars="0"/>
                    <w:jc w:val="center"/>
                    <w:textAlignment w:val="auto"/>
                    <w:rPr>
                      <w:rFonts w:hint="default" w:ascii="Times New Roman" w:hAnsi="Times New Roman" w:eastAsia="宋体" w:cs="Times New Roman"/>
                      <w:b w:val="0"/>
                      <w:bCs w:val="0"/>
                      <w:color w:val="000000" w:themeColor="text1"/>
                      <w:kern w:val="0"/>
                      <w:sz w:val="21"/>
                      <w:szCs w:val="21"/>
                      <w:highlight w:val="none"/>
                      <w:lang w:val="en-US" w:eastAsia="zh-CN" w:bidi="ar-SA"/>
                      <w14:textFill>
                        <w14:solidFill>
                          <w14:schemeClr w14:val="tx1"/>
                        </w14:solidFill>
                      </w14:textFill>
                    </w:rPr>
                  </w:pPr>
                  <w:r>
                    <w:rPr>
                      <w:rFonts w:hint="eastAsia" w:ascii="Times New Roman" w:hAnsi="Times New Roman" w:cs="Times New Roman"/>
                      <w:b w:val="0"/>
                      <w:bCs w:val="0"/>
                      <w:color w:val="000000" w:themeColor="text1"/>
                      <w:kern w:val="0"/>
                      <w:sz w:val="21"/>
                      <w:szCs w:val="21"/>
                      <w:highlight w:val="none"/>
                      <w:lang w:val="en-US" w:eastAsia="zh-CN" w:bidi="ar-SA"/>
                      <w14:textFill>
                        <w14:solidFill>
                          <w14:schemeClr w14:val="tx1"/>
                        </w14:solidFill>
                      </w14:textFill>
                    </w:rPr>
                    <w:t>8.33</w:t>
                  </w:r>
                </w:p>
              </w:tc>
              <w:tc>
                <w:tcPr>
                  <w:tcW w:w="903" w:type="pct"/>
                  <w:noWrap w:val="0"/>
                  <w:vAlign w:val="center"/>
                </w:tcPr>
                <w:p w14:paraId="503F3757">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20</w:t>
                  </w:r>
                </w:p>
              </w:tc>
            </w:tr>
            <w:tr w14:paraId="6A807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990" w:type="pct"/>
                  <w:vMerge w:val="restart"/>
                  <w:noWrap w:val="0"/>
                  <w:vAlign w:val="center"/>
                </w:tcPr>
                <w:p w14:paraId="167C3AE9">
                  <w:pPr>
                    <w:pStyle w:val="85"/>
                    <w:keepNext w:val="0"/>
                    <w:keepLines w:val="0"/>
                    <w:pageBreakBefore w:val="0"/>
                    <w:widowControl w:val="0"/>
                    <w:kinsoku w:val="0"/>
                    <w:wordWrap/>
                    <w:overflowPunct w:val="0"/>
                    <w:topLinePunct w:val="0"/>
                    <w:bidi w:val="0"/>
                    <w:adjustRightInd/>
                    <w:snapToGrid w:val="0"/>
                    <w:ind w:firstLine="0" w:firstLineChars="0"/>
                    <w:jc w:val="center"/>
                    <w:textAlignment w:val="auto"/>
                    <w:rPr>
                      <w:rFonts w:hint="default" w:ascii="Times New Roman" w:hAnsi="Times New Roman" w:cs="Times New Roman"/>
                      <w:b w:val="0"/>
                      <w:bCs w:val="0"/>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DA006</w:t>
                  </w:r>
                </w:p>
              </w:tc>
              <w:tc>
                <w:tcPr>
                  <w:tcW w:w="1251" w:type="pct"/>
                  <w:noWrap w:val="0"/>
                  <w:vAlign w:val="center"/>
                </w:tcPr>
                <w:p w14:paraId="55C501CB">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b w:val="0"/>
                      <w:bCs w:val="0"/>
                      <w:color w:val="000000" w:themeColor="text1"/>
                      <w:kern w:val="0"/>
                      <w:sz w:val="21"/>
                      <w:szCs w:val="21"/>
                      <w:highlight w:val="none"/>
                      <w14:textFill>
                        <w14:solidFill>
                          <w14:schemeClr w14:val="tx1"/>
                        </w14:solidFill>
                      </w14:textFill>
                    </w:rPr>
                  </w:pPr>
                  <w:r>
                    <w:rPr>
                      <w:rFonts w:hint="default" w:ascii="Times New Roman" w:hAnsi="Times New Roman" w:cs="Times New Roman"/>
                      <w:b w:val="0"/>
                      <w:bCs w:val="0"/>
                      <w:color w:val="000000" w:themeColor="text1"/>
                      <w:kern w:val="0"/>
                      <w:sz w:val="21"/>
                      <w:szCs w:val="21"/>
                      <w:highlight w:val="none"/>
                      <w:lang w:val="en-US" w:eastAsia="zh-CN"/>
                      <w14:textFill>
                        <w14:solidFill>
                          <w14:schemeClr w14:val="tx1"/>
                        </w14:solidFill>
                      </w14:textFill>
                    </w:rPr>
                    <w:t>颗粒物</w:t>
                  </w:r>
                </w:p>
              </w:tc>
              <w:tc>
                <w:tcPr>
                  <w:tcW w:w="954" w:type="pct"/>
                  <w:vMerge w:val="restart"/>
                  <w:noWrap w:val="0"/>
                  <w:vAlign w:val="center"/>
                </w:tcPr>
                <w:p w14:paraId="54F6CBAE">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 w:val="0"/>
                      <w:bCs w:val="0"/>
                      <w:color w:val="000000" w:themeColor="text1"/>
                      <w:szCs w:val="21"/>
                      <w:highlight w:val="none"/>
                      <w:lang w:val="en-US" w:eastAsia="zh-CN"/>
                      <w14:textFill>
                        <w14:solidFill>
                          <w14:schemeClr w14:val="tx1"/>
                        </w14:solidFill>
                      </w14:textFill>
                    </w:rPr>
                  </w:pPr>
                  <w:r>
                    <w:rPr>
                      <w:rFonts w:hint="eastAsia" w:cs="Times New Roman"/>
                      <w:b w:val="0"/>
                      <w:bCs w:val="0"/>
                      <w:color w:val="000000" w:themeColor="text1"/>
                      <w:szCs w:val="21"/>
                      <w:highlight w:val="none"/>
                      <w:lang w:val="en-US" w:eastAsia="zh-CN"/>
                      <w14:textFill>
                        <w14:solidFill>
                          <w14:schemeClr w14:val="tx1"/>
                        </w14:solidFill>
                      </w14:textFill>
                    </w:rPr>
                    <w:t>42</w:t>
                  </w:r>
                </w:p>
              </w:tc>
              <w:tc>
                <w:tcPr>
                  <w:tcW w:w="899" w:type="pct"/>
                  <w:noWrap w:val="0"/>
                  <w:vAlign w:val="center"/>
                </w:tcPr>
                <w:p w14:paraId="416BA9FE">
                  <w:pPr>
                    <w:pStyle w:val="85"/>
                    <w:keepNext w:val="0"/>
                    <w:keepLines w:val="0"/>
                    <w:pageBreakBefore w:val="0"/>
                    <w:widowControl w:val="0"/>
                    <w:kinsoku w:val="0"/>
                    <w:wordWrap/>
                    <w:overflowPunct w:val="0"/>
                    <w:topLinePunct w:val="0"/>
                    <w:bidi w:val="0"/>
                    <w:adjustRightInd/>
                    <w:snapToGrid w:val="0"/>
                    <w:ind w:firstLine="0" w:firstLineChars="0"/>
                    <w:jc w:val="center"/>
                    <w:textAlignment w:val="auto"/>
                    <w:rPr>
                      <w:rFonts w:hint="default" w:ascii="Times New Roman" w:hAnsi="Times New Roman" w:eastAsia="宋体" w:cs="Times New Roman"/>
                      <w:b w:val="0"/>
                      <w:bCs w:val="0"/>
                      <w:color w:val="000000" w:themeColor="text1"/>
                      <w:kern w:val="0"/>
                      <w:sz w:val="21"/>
                      <w:szCs w:val="21"/>
                      <w:highlight w:val="none"/>
                      <w:lang w:val="en-US" w:eastAsia="zh-CN"/>
                      <w14:textFill>
                        <w14:solidFill>
                          <w14:schemeClr w14:val="tx1"/>
                        </w14:solidFill>
                      </w14:textFill>
                    </w:rPr>
                  </w:pPr>
                  <w:r>
                    <w:rPr>
                      <w:rFonts w:hint="eastAsia" w:ascii="Times New Roman" w:hAnsi="Times New Roman" w:cs="Times New Roman"/>
                      <w:b w:val="0"/>
                      <w:bCs w:val="0"/>
                      <w:color w:val="000000" w:themeColor="text1"/>
                      <w:kern w:val="0"/>
                      <w:sz w:val="21"/>
                      <w:szCs w:val="21"/>
                      <w:highlight w:val="none"/>
                      <w:lang w:val="en-US" w:eastAsia="zh-CN"/>
                      <w14:textFill>
                        <w14:solidFill>
                          <w14:schemeClr w14:val="tx1"/>
                        </w14:solidFill>
                      </w14:textFill>
                    </w:rPr>
                    <w:t>7.01</w:t>
                  </w:r>
                </w:p>
              </w:tc>
              <w:tc>
                <w:tcPr>
                  <w:tcW w:w="903" w:type="pct"/>
                  <w:noWrap w:val="0"/>
                  <w:vAlign w:val="center"/>
                </w:tcPr>
                <w:p w14:paraId="6680685F">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20</w:t>
                  </w:r>
                </w:p>
              </w:tc>
            </w:tr>
            <w:tr w14:paraId="0397E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90" w:type="pct"/>
                  <w:vMerge w:val="continue"/>
                  <w:noWrap w:val="0"/>
                  <w:vAlign w:val="center"/>
                </w:tcPr>
                <w:p w14:paraId="7E7A5A17">
                  <w:pPr>
                    <w:pStyle w:val="85"/>
                    <w:keepNext w:val="0"/>
                    <w:keepLines w:val="0"/>
                    <w:pageBreakBefore w:val="0"/>
                    <w:widowControl w:val="0"/>
                    <w:kinsoku w:val="0"/>
                    <w:wordWrap/>
                    <w:overflowPunct w:val="0"/>
                    <w:topLinePunct w:val="0"/>
                    <w:bidi w:val="0"/>
                    <w:adjustRightInd/>
                    <w:snapToGrid w:val="0"/>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p>
              </w:tc>
              <w:tc>
                <w:tcPr>
                  <w:tcW w:w="1251" w:type="pct"/>
                  <w:noWrap w:val="0"/>
                  <w:vAlign w:val="center"/>
                </w:tcPr>
                <w:p w14:paraId="0151375C">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b w:val="0"/>
                      <w:bCs w:val="0"/>
                      <w:color w:val="000000" w:themeColor="text1"/>
                      <w:kern w:val="0"/>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kern w:val="0"/>
                      <w:sz w:val="21"/>
                      <w:szCs w:val="21"/>
                      <w:highlight w:val="none"/>
                      <w:lang w:val="en-US" w:eastAsia="zh-CN"/>
                      <w14:textFill>
                        <w14:solidFill>
                          <w14:schemeClr w14:val="tx1"/>
                        </w14:solidFill>
                      </w14:textFill>
                    </w:rPr>
                    <w:t>氮氧化物</w:t>
                  </w:r>
                </w:p>
              </w:tc>
              <w:tc>
                <w:tcPr>
                  <w:tcW w:w="954" w:type="pct"/>
                  <w:vMerge w:val="continue"/>
                  <w:noWrap w:val="0"/>
                  <w:vAlign w:val="center"/>
                </w:tcPr>
                <w:p w14:paraId="2F44B600">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cs="Times New Roman"/>
                      <w:b w:val="0"/>
                      <w:bCs w:val="0"/>
                      <w:color w:val="000000" w:themeColor="text1"/>
                      <w:szCs w:val="21"/>
                      <w:highlight w:val="none"/>
                      <w:lang w:val="en-US" w:eastAsia="zh-CN"/>
                      <w14:textFill>
                        <w14:solidFill>
                          <w14:schemeClr w14:val="tx1"/>
                        </w14:solidFill>
                      </w14:textFill>
                    </w:rPr>
                  </w:pPr>
                </w:p>
              </w:tc>
              <w:tc>
                <w:tcPr>
                  <w:tcW w:w="899" w:type="pct"/>
                  <w:noWrap w:val="0"/>
                  <w:vAlign w:val="center"/>
                </w:tcPr>
                <w:p w14:paraId="6E4A826C">
                  <w:pPr>
                    <w:pStyle w:val="85"/>
                    <w:keepNext w:val="0"/>
                    <w:keepLines w:val="0"/>
                    <w:pageBreakBefore w:val="0"/>
                    <w:widowControl w:val="0"/>
                    <w:kinsoku w:val="0"/>
                    <w:wordWrap/>
                    <w:overflowPunct w:val="0"/>
                    <w:topLinePunct w:val="0"/>
                    <w:bidi w:val="0"/>
                    <w:adjustRightInd/>
                    <w:snapToGrid w:val="0"/>
                    <w:ind w:firstLine="0" w:firstLineChars="0"/>
                    <w:jc w:val="center"/>
                    <w:textAlignment w:val="auto"/>
                    <w:rPr>
                      <w:rFonts w:hint="default" w:ascii="Times New Roman" w:hAnsi="Times New Roman" w:eastAsia="宋体" w:cs="Times New Roman"/>
                      <w:b w:val="0"/>
                      <w:bCs w:val="0"/>
                      <w:color w:val="000000" w:themeColor="text1"/>
                      <w:kern w:val="0"/>
                      <w:sz w:val="21"/>
                      <w:szCs w:val="21"/>
                      <w:highlight w:val="none"/>
                      <w:lang w:val="en-US" w:eastAsia="zh-CN"/>
                      <w14:textFill>
                        <w14:solidFill>
                          <w14:schemeClr w14:val="tx1"/>
                        </w14:solidFill>
                      </w14:textFill>
                    </w:rPr>
                  </w:pPr>
                  <w:r>
                    <w:rPr>
                      <w:rFonts w:hint="eastAsia" w:ascii="Times New Roman" w:hAnsi="Times New Roman" w:cs="Times New Roman"/>
                      <w:b w:val="0"/>
                      <w:bCs w:val="0"/>
                      <w:color w:val="000000" w:themeColor="text1"/>
                      <w:kern w:val="0"/>
                      <w:sz w:val="21"/>
                      <w:szCs w:val="21"/>
                      <w:highlight w:val="none"/>
                      <w:lang w:val="en-US" w:eastAsia="zh-CN"/>
                      <w14:textFill>
                        <w14:solidFill>
                          <w14:schemeClr w14:val="tx1"/>
                        </w14:solidFill>
                      </w14:textFill>
                    </w:rPr>
                    <w:t>91.55</w:t>
                  </w:r>
                </w:p>
              </w:tc>
              <w:tc>
                <w:tcPr>
                  <w:tcW w:w="903" w:type="pct"/>
                  <w:noWrap w:val="0"/>
                  <w:vAlign w:val="center"/>
                </w:tcPr>
                <w:p w14:paraId="3C6BE6FD">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100</w:t>
                  </w:r>
                </w:p>
              </w:tc>
            </w:tr>
            <w:tr w14:paraId="0E3AD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90" w:type="pct"/>
                  <w:vMerge w:val="continue"/>
                  <w:noWrap w:val="0"/>
                  <w:vAlign w:val="center"/>
                </w:tcPr>
                <w:p w14:paraId="24C36FA0">
                  <w:pPr>
                    <w:pStyle w:val="85"/>
                    <w:keepNext w:val="0"/>
                    <w:keepLines w:val="0"/>
                    <w:pageBreakBefore w:val="0"/>
                    <w:widowControl w:val="0"/>
                    <w:kinsoku w:val="0"/>
                    <w:wordWrap/>
                    <w:overflowPunct w:val="0"/>
                    <w:topLinePunct w:val="0"/>
                    <w:bidi w:val="0"/>
                    <w:adjustRightInd/>
                    <w:snapToGrid w:val="0"/>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p>
              </w:tc>
              <w:tc>
                <w:tcPr>
                  <w:tcW w:w="1251" w:type="pct"/>
                  <w:noWrap w:val="0"/>
                  <w:vAlign w:val="center"/>
                </w:tcPr>
                <w:p w14:paraId="697159F6">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b w:val="0"/>
                      <w:bCs w:val="0"/>
                      <w:color w:val="000000" w:themeColor="text1"/>
                      <w:kern w:val="0"/>
                      <w:sz w:val="21"/>
                      <w:szCs w:val="21"/>
                      <w:highlight w:val="none"/>
                      <w:lang w:val="en-US" w:eastAsia="zh-CN"/>
                      <w14:textFill>
                        <w14:solidFill>
                          <w14:schemeClr w14:val="tx1"/>
                        </w14:solidFill>
                      </w14:textFill>
                    </w:rPr>
                  </w:pPr>
                  <w:r>
                    <w:rPr>
                      <w:rFonts w:hint="eastAsia" w:cs="Times New Roman"/>
                      <w:b w:val="0"/>
                      <w:bCs w:val="0"/>
                      <w:color w:val="000000" w:themeColor="text1"/>
                      <w:kern w:val="0"/>
                      <w:sz w:val="21"/>
                      <w:szCs w:val="21"/>
                      <w:highlight w:val="none"/>
                      <w:lang w:val="en-US" w:eastAsia="zh-CN"/>
                      <w14:textFill>
                        <w14:solidFill>
                          <w14:schemeClr w14:val="tx1"/>
                        </w14:solidFill>
                      </w14:textFill>
                    </w:rPr>
                    <w:t>氨气</w:t>
                  </w:r>
                </w:p>
              </w:tc>
              <w:tc>
                <w:tcPr>
                  <w:tcW w:w="954" w:type="pct"/>
                  <w:vMerge w:val="continue"/>
                  <w:noWrap w:val="0"/>
                  <w:vAlign w:val="center"/>
                </w:tcPr>
                <w:p w14:paraId="6607626D">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cs="Times New Roman"/>
                      <w:b w:val="0"/>
                      <w:bCs w:val="0"/>
                      <w:color w:val="000000" w:themeColor="text1"/>
                      <w:szCs w:val="21"/>
                      <w:highlight w:val="none"/>
                      <w:lang w:val="en-US" w:eastAsia="zh-CN"/>
                      <w14:textFill>
                        <w14:solidFill>
                          <w14:schemeClr w14:val="tx1"/>
                        </w14:solidFill>
                      </w14:textFill>
                    </w:rPr>
                  </w:pPr>
                </w:p>
              </w:tc>
              <w:tc>
                <w:tcPr>
                  <w:tcW w:w="899" w:type="pct"/>
                  <w:noWrap w:val="0"/>
                  <w:vAlign w:val="center"/>
                </w:tcPr>
                <w:p w14:paraId="5E10D353">
                  <w:pPr>
                    <w:pStyle w:val="85"/>
                    <w:keepNext w:val="0"/>
                    <w:keepLines w:val="0"/>
                    <w:pageBreakBefore w:val="0"/>
                    <w:widowControl w:val="0"/>
                    <w:kinsoku w:val="0"/>
                    <w:wordWrap/>
                    <w:overflowPunct w:val="0"/>
                    <w:topLinePunct w:val="0"/>
                    <w:bidi w:val="0"/>
                    <w:adjustRightInd/>
                    <w:snapToGrid w:val="0"/>
                    <w:ind w:firstLine="0" w:firstLineChars="0"/>
                    <w:jc w:val="center"/>
                    <w:textAlignment w:val="auto"/>
                    <w:rPr>
                      <w:rFonts w:hint="default" w:ascii="Times New Roman" w:hAnsi="Times New Roman" w:cs="Times New Roman"/>
                      <w:b w:val="0"/>
                      <w:bCs w:val="0"/>
                      <w:color w:val="000000" w:themeColor="text1"/>
                      <w:kern w:val="0"/>
                      <w:sz w:val="21"/>
                      <w:szCs w:val="21"/>
                      <w:highlight w:val="none"/>
                      <w:lang w:val="en-US" w:eastAsia="zh-CN"/>
                      <w14:textFill>
                        <w14:solidFill>
                          <w14:schemeClr w14:val="tx1"/>
                        </w14:solidFill>
                      </w14:textFill>
                    </w:rPr>
                  </w:pPr>
                  <w:r>
                    <w:rPr>
                      <w:rFonts w:hint="eastAsia" w:ascii="Times New Roman" w:hAnsi="Times New Roman" w:cs="Times New Roman"/>
                      <w:b w:val="0"/>
                      <w:bCs w:val="0"/>
                      <w:color w:val="000000" w:themeColor="text1"/>
                      <w:kern w:val="0"/>
                      <w:sz w:val="21"/>
                      <w:szCs w:val="21"/>
                      <w:highlight w:val="none"/>
                      <w:lang w:val="en-US" w:eastAsia="zh-CN"/>
                      <w14:textFill>
                        <w14:solidFill>
                          <w14:schemeClr w14:val="tx1"/>
                        </w14:solidFill>
                      </w14:textFill>
                    </w:rPr>
                    <w:t>3.5</w:t>
                  </w:r>
                </w:p>
              </w:tc>
              <w:tc>
                <w:tcPr>
                  <w:tcW w:w="903" w:type="pct"/>
                  <w:noWrap w:val="0"/>
                  <w:vAlign w:val="center"/>
                </w:tcPr>
                <w:p w14:paraId="21E888C9">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8</w:t>
                  </w:r>
                </w:p>
              </w:tc>
            </w:tr>
            <w:tr w14:paraId="1EFF1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90" w:type="pct"/>
                  <w:vMerge w:val="continue"/>
                  <w:noWrap w:val="0"/>
                  <w:vAlign w:val="center"/>
                </w:tcPr>
                <w:p w14:paraId="4D26E29F">
                  <w:pPr>
                    <w:pStyle w:val="85"/>
                    <w:keepNext w:val="0"/>
                    <w:keepLines w:val="0"/>
                    <w:pageBreakBefore w:val="0"/>
                    <w:widowControl w:val="0"/>
                    <w:kinsoku w:val="0"/>
                    <w:wordWrap/>
                    <w:overflowPunct w:val="0"/>
                    <w:topLinePunct w:val="0"/>
                    <w:bidi w:val="0"/>
                    <w:adjustRightInd/>
                    <w:snapToGrid w:val="0"/>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p>
              </w:tc>
              <w:tc>
                <w:tcPr>
                  <w:tcW w:w="1251" w:type="pct"/>
                  <w:noWrap w:val="0"/>
                  <w:vAlign w:val="center"/>
                </w:tcPr>
                <w:p w14:paraId="7B9C9514">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b w:val="0"/>
                      <w:bCs w:val="0"/>
                      <w:color w:val="000000" w:themeColor="text1"/>
                      <w:kern w:val="0"/>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kern w:val="0"/>
                      <w:sz w:val="21"/>
                      <w:szCs w:val="21"/>
                      <w:highlight w:val="none"/>
                      <w:lang w:val="en-US" w:eastAsia="zh-CN"/>
                      <w14:textFill>
                        <w14:solidFill>
                          <w14:schemeClr w14:val="tx1"/>
                        </w14:solidFill>
                      </w14:textFill>
                    </w:rPr>
                    <w:t>二氧化硫</w:t>
                  </w:r>
                </w:p>
              </w:tc>
              <w:tc>
                <w:tcPr>
                  <w:tcW w:w="954" w:type="pct"/>
                  <w:vMerge w:val="continue"/>
                  <w:noWrap w:val="0"/>
                  <w:vAlign w:val="center"/>
                </w:tcPr>
                <w:p w14:paraId="0B16ABC5">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cs="Times New Roman"/>
                      <w:b w:val="0"/>
                      <w:bCs w:val="0"/>
                      <w:color w:val="000000" w:themeColor="text1"/>
                      <w:szCs w:val="21"/>
                      <w:highlight w:val="none"/>
                      <w:lang w:val="en-US" w:eastAsia="zh-CN"/>
                      <w14:textFill>
                        <w14:solidFill>
                          <w14:schemeClr w14:val="tx1"/>
                        </w14:solidFill>
                      </w14:textFill>
                    </w:rPr>
                  </w:pPr>
                </w:p>
              </w:tc>
              <w:tc>
                <w:tcPr>
                  <w:tcW w:w="899" w:type="pct"/>
                  <w:noWrap w:val="0"/>
                  <w:vAlign w:val="center"/>
                </w:tcPr>
                <w:p w14:paraId="65F0C425">
                  <w:pPr>
                    <w:pStyle w:val="85"/>
                    <w:keepNext w:val="0"/>
                    <w:keepLines w:val="0"/>
                    <w:pageBreakBefore w:val="0"/>
                    <w:widowControl w:val="0"/>
                    <w:kinsoku w:val="0"/>
                    <w:wordWrap/>
                    <w:overflowPunct w:val="0"/>
                    <w:topLinePunct w:val="0"/>
                    <w:bidi w:val="0"/>
                    <w:adjustRightInd/>
                    <w:snapToGrid w:val="0"/>
                    <w:ind w:firstLine="0" w:firstLineChars="0"/>
                    <w:jc w:val="center"/>
                    <w:textAlignment w:val="auto"/>
                    <w:rPr>
                      <w:rFonts w:hint="default" w:ascii="Times New Roman" w:hAnsi="Times New Roman" w:eastAsia="宋体" w:cs="Times New Roman"/>
                      <w:b w:val="0"/>
                      <w:bCs w:val="0"/>
                      <w:color w:val="000000" w:themeColor="text1"/>
                      <w:kern w:val="0"/>
                      <w:sz w:val="21"/>
                      <w:szCs w:val="21"/>
                      <w:highlight w:val="none"/>
                      <w:lang w:val="en-US" w:eastAsia="zh-CN"/>
                      <w14:textFill>
                        <w14:solidFill>
                          <w14:schemeClr w14:val="tx1"/>
                        </w14:solidFill>
                      </w14:textFill>
                    </w:rPr>
                  </w:pPr>
                  <w:r>
                    <w:rPr>
                      <w:rFonts w:hint="eastAsia" w:ascii="Times New Roman" w:hAnsi="Times New Roman" w:cs="Times New Roman"/>
                      <w:b w:val="0"/>
                      <w:bCs w:val="0"/>
                      <w:color w:val="000000" w:themeColor="text1"/>
                      <w:kern w:val="0"/>
                      <w:sz w:val="21"/>
                      <w:szCs w:val="21"/>
                      <w:highlight w:val="none"/>
                      <w:lang w:val="en-US" w:eastAsia="zh-CN"/>
                      <w14:textFill>
                        <w14:solidFill>
                          <w14:schemeClr w14:val="tx1"/>
                        </w14:solidFill>
                      </w14:textFill>
                    </w:rPr>
                    <w:t>17.48</w:t>
                  </w:r>
                </w:p>
              </w:tc>
              <w:tc>
                <w:tcPr>
                  <w:tcW w:w="903" w:type="pct"/>
                  <w:noWrap w:val="0"/>
                  <w:vAlign w:val="center"/>
                </w:tcPr>
                <w:p w14:paraId="571E7BFE">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50</w:t>
                  </w:r>
                </w:p>
              </w:tc>
            </w:tr>
            <w:tr w14:paraId="5AF1B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90" w:type="pct"/>
                  <w:noWrap w:val="0"/>
                  <w:vAlign w:val="center"/>
                </w:tcPr>
                <w:p w14:paraId="60A7612D">
                  <w:pPr>
                    <w:pStyle w:val="85"/>
                    <w:keepNext w:val="0"/>
                    <w:keepLines w:val="0"/>
                    <w:pageBreakBefore w:val="0"/>
                    <w:widowControl w:val="0"/>
                    <w:kinsoku w:val="0"/>
                    <w:wordWrap/>
                    <w:overflowPunct w:val="0"/>
                    <w:topLinePunct w:val="0"/>
                    <w:bidi w:val="0"/>
                    <w:adjustRightInd/>
                    <w:snapToGrid w:val="0"/>
                    <w:ind w:firstLine="0" w:firstLineChars="0"/>
                    <w:jc w:val="center"/>
                    <w:textAlignment w:val="auto"/>
                    <w:rPr>
                      <w:rFonts w:hint="default" w:ascii="Times New Roman" w:hAnsi="Times New Roman" w:cs="Times New Roman"/>
                      <w:b w:val="0"/>
                      <w:bCs w:val="0"/>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DA007</w:t>
                  </w:r>
                </w:p>
              </w:tc>
              <w:tc>
                <w:tcPr>
                  <w:tcW w:w="1251" w:type="pct"/>
                  <w:noWrap w:val="0"/>
                  <w:vAlign w:val="center"/>
                </w:tcPr>
                <w:p w14:paraId="0F9295B5">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b w:val="0"/>
                      <w:bCs w:val="0"/>
                      <w:color w:val="000000" w:themeColor="text1"/>
                      <w:kern w:val="0"/>
                      <w:sz w:val="21"/>
                      <w:szCs w:val="21"/>
                      <w:highlight w:val="none"/>
                      <w14:textFill>
                        <w14:solidFill>
                          <w14:schemeClr w14:val="tx1"/>
                        </w14:solidFill>
                      </w14:textFill>
                    </w:rPr>
                  </w:pPr>
                  <w:r>
                    <w:rPr>
                      <w:rFonts w:hint="default" w:ascii="Times New Roman" w:hAnsi="Times New Roman" w:cs="Times New Roman"/>
                      <w:b w:val="0"/>
                      <w:bCs w:val="0"/>
                      <w:color w:val="000000" w:themeColor="text1"/>
                      <w:kern w:val="0"/>
                      <w:sz w:val="21"/>
                      <w:szCs w:val="21"/>
                      <w:highlight w:val="none"/>
                      <w:lang w:val="en-US" w:eastAsia="zh-CN"/>
                      <w14:textFill>
                        <w14:solidFill>
                          <w14:schemeClr w14:val="tx1"/>
                        </w14:solidFill>
                      </w14:textFill>
                    </w:rPr>
                    <w:t>颗粒物</w:t>
                  </w:r>
                </w:p>
              </w:tc>
              <w:tc>
                <w:tcPr>
                  <w:tcW w:w="954" w:type="pct"/>
                  <w:noWrap w:val="0"/>
                  <w:vAlign w:val="center"/>
                </w:tcPr>
                <w:p w14:paraId="40B3249F">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 w:val="0"/>
                      <w:bCs w:val="0"/>
                      <w:color w:val="000000" w:themeColor="text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Cs w:val="21"/>
                      <w:highlight w:val="none"/>
                      <w:lang w:val="en-US" w:eastAsia="zh-CN"/>
                      <w14:textFill>
                        <w14:solidFill>
                          <w14:schemeClr w14:val="tx1"/>
                        </w14:solidFill>
                      </w14:textFill>
                    </w:rPr>
                    <w:t>30</w:t>
                  </w:r>
                </w:p>
              </w:tc>
              <w:tc>
                <w:tcPr>
                  <w:tcW w:w="899" w:type="pct"/>
                  <w:noWrap w:val="0"/>
                  <w:vAlign w:val="center"/>
                </w:tcPr>
                <w:p w14:paraId="0C05014E">
                  <w:pPr>
                    <w:pStyle w:val="85"/>
                    <w:keepNext w:val="0"/>
                    <w:keepLines w:val="0"/>
                    <w:pageBreakBefore w:val="0"/>
                    <w:widowControl w:val="0"/>
                    <w:kinsoku w:val="0"/>
                    <w:wordWrap/>
                    <w:overflowPunct w:val="0"/>
                    <w:topLinePunct w:val="0"/>
                    <w:bidi w:val="0"/>
                    <w:adjustRightInd/>
                    <w:snapToGrid w:val="0"/>
                    <w:ind w:firstLine="0" w:firstLineChars="0"/>
                    <w:jc w:val="center"/>
                    <w:textAlignment w:val="auto"/>
                    <w:rPr>
                      <w:rFonts w:hint="default" w:ascii="Times New Roman" w:hAnsi="Times New Roman" w:eastAsia="宋体" w:cs="Times New Roman"/>
                      <w:b w:val="0"/>
                      <w:bCs w:val="0"/>
                      <w:color w:val="000000" w:themeColor="text1"/>
                      <w:kern w:val="0"/>
                      <w:sz w:val="21"/>
                      <w:szCs w:val="21"/>
                      <w:highlight w:val="none"/>
                      <w:lang w:val="en-US" w:eastAsia="zh-CN"/>
                      <w14:textFill>
                        <w14:solidFill>
                          <w14:schemeClr w14:val="tx1"/>
                        </w14:solidFill>
                      </w14:textFill>
                    </w:rPr>
                  </w:pPr>
                  <w:r>
                    <w:rPr>
                      <w:rFonts w:hint="eastAsia" w:ascii="Times New Roman" w:hAnsi="Times New Roman" w:cs="Times New Roman"/>
                      <w:b w:val="0"/>
                      <w:bCs w:val="0"/>
                      <w:color w:val="000000" w:themeColor="text1"/>
                      <w:kern w:val="0"/>
                      <w:sz w:val="21"/>
                      <w:szCs w:val="21"/>
                      <w:highlight w:val="none"/>
                      <w:lang w:val="en-US" w:eastAsia="zh-CN"/>
                      <w14:textFill>
                        <w14:solidFill>
                          <w14:schemeClr w14:val="tx1"/>
                        </w14:solidFill>
                      </w14:textFill>
                    </w:rPr>
                    <w:t>10.8</w:t>
                  </w:r>
                </w:p>
              </w:tc>
              <w:tc>
                <w:tcPr>
                  <w:tcW w:w="903" w:type="pct"/>
                  <w:noWrap w:val="0"/>
                  <w:vAlign w:val="center"/>
                </w:tcPr>
                <w:p w14:paraId="3C0FBC58">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20</w:t>
                  </w:r>
                </w:p>
              </w:tc>
            </w:tr>
            <w:tr w14:paraId="3A102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90" w:type="pct"/>
                  <w:noWrap w:val="0"/>
                  <w:vAlign w:val="center"/>
                </w:tcPr>
                <w:p w14:paraId="0FBE14EC">
                  <w:pPr>
                    <w:pStyle w:val="85"/>
                    <w:keepNext w:val="0"/>
                    <w:keepLines w:val="0"/>
                    <w:pageBreakBefore w:val="0"/>
                    <w:widowControl w:val="0"/>
                    <w:kinsoku w:val="0"/>
                    <w:wordWrap/>
                    <w:overflowPunct w:val="0"/>
                    <w:topLinePunct w:val="0"/>
                    <w:bidi w:val="0"/>
                    <w:adjustRightInd/>
                    <w:snapToGrid w:val="0"/>
                    <w:ind w:firstLine="0" w:firstLineChars="0"/>
                    <w:jc w:val="center"/>
                    <w:textAlignment w:val="auto"/>
                    <w:rPr>
                      <w:rFonts w:hint="default" w:ascii="Times New Roman" w:hAnsi="Times New Roman" w:cs="Times New Roman"/>
                      <w:b w:val="0"/>
                      <w:bCs w:val="0"/>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DA008</w:t>
                  </w:r>
                </w:p>
              </w:tc>
              <w:tc>
                <w:tcPr>
                  <w:tcW w:w="1251" w:type="pct"/>
                  <w:noWrap w:val="0"/>
                  <w:vAlign w:val="center"/>
                </w:tcPr>
                <w:p w14:paraId="60446F8A">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b w:val="0"/>
                      <w:bCs w:val="0"/>
                      <w:color w:val="000000" w:themeColor="text1"/>
                      <w:kern w:val="0"/>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kern w:val="0"/>
                      <w:sz w:val="21"/>
                      <w:szCs w:val="21"/>
                      <w:highlight w:val="none"/>
                      <w:lang w:val="en-US" w:eastAsia="zh-CN"/>
                      <w14:textFill>
                        <w14:solidFill>
                          <w14:schemeClr w14:val="tx1"/>
                        </w14:solidFill>
                      </w14:textFill>
                    </w:rPr>
                    <w:t>颗粒物</w:t>
                  </w:r>
                </w:p>
              </w:tc>
              <w:tc>
                <w:tcPr>
                  <w:tcW w:w="954" w:type="pct"/>
                  <w:noWrap w:val="0"/>
                  <w:vAlign w:val="center"/>
                </w:tcPr>
                <w:p w14:paraId="1D86D58B">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 w:val="0"/>
                      <w:bCs w:val="0"/>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Cs w:val="21"/>
                      <w:highlight w:val="none"/>
                      <w:lang w:val="en-US" w:eastAsia="zh-CN"/>
                      <w14:textFill>
                        <w14:solidFill>
                          <w14:schemeClr w14:val="tx1"/>
                        </w14:solidFill>
                      </w14:textFill>
                    </w:rPr>
                    <w:t>30</w:t>
                  </w:r>
                </w:p>
              </w:tc>
              <w:tc>
                <w:tcPr>
                  <w:tcW w:w="899" w:type="pct"/>
                  <w:noWrap w:val="0"/>
                  <w:vAlign w:val="center"/>
                </w:tcPr>
                <w:p w14:paraId="32BC17B4">
                  <w:pPr>
                    <w:pStyle w:val="85"/>
                    <w:keepNext w:val="0"/>
                    <w:keepLines w:val="0"/>
                    <w:pageBreakBefore w:val="0"/>
                    <w:widowControl w:val="0"/>
                    <w:kinsoku w:val="0"/>
                    <w:wordWrap/>
                    <w:overflowPunct w:val="0"/>
                    <w:topLinePunct w:val="0"/>
                    <w:bidi w:val="0"/>
                    <w:adjustRightInd/>
                    <w:snapToGrid w:val="0"/>
                    <w:ind w:firstLine="0" w:firstLineChars="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4.31</w:t>
                  </w:r>
                </w:p>
              </w:tc>
              <w:tc>
                <w:tcPr>
                  <w:tcW w:w="903" w:type="pct"/>
                  <w:noWrap w:val="0"/>
                  <w:vAlign w:val="center"/>
                </w:tcPr>
                <w:p w14:paraId="1928EBA6">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20</w:t>
                  </w:r>
                </w:p>
              </w:tc>
            </w:tr>
            <w:tr w14:paraId="0CF97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90" w:type="pct"/>
                  <w:noWrap w:val="0"/>
                  <w:vAlign w:val="center"/>
                </w:tcPr>
                <w:p w14:paraId="67B28040">
                  <w:pPr>
                    <w:pStyle w:val="85"/>
                    <w:keepNext w:val="0"/>
                    <w:keepLines w:val="0"/>
                    <w:pageBreakBefore w:val="0"/>
                    <w:widowControl w:val="0"/>
                    <w:kinsoku w:val="0"/>
                    <w:wordWrap/>
                    <w:overflowPunct w:val="0"/>
                    <w:topLinePunct w:val="0"/>
                    <w:bidi w:val="0"/>
                    <w:adjustRightInd/>
                    <w:snapToGrid w:val="0"/>
                    <w:ind w:firstLine="0" w:firstLineChars="0"/>
                    <w:jc w:val="center"/>
                    <w:textAlignment w:val="auto"/>
                    <w:rPr>
                      <w:rFonts w:hint="default" w:ascii="Times New Roman" w:hAnsi="Times New Roman" w:cs="Times New Roman"/>
                      <w:b w:val="0"/>
                      <w:bCs w:val="0"/>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DA009</w:t>
                  </w:r>
                </w:p>
              </w:tc>
              <w:tc>
                <w:tcPr>
                  <w:tcW w:w="1251" w:type="pct"/>
                  <w:noWrap w:val="0"/>
                  <w:vAlign w:val="center"/>
                </w:tcPr>
                <w:p w14:paraId="4DAFCB2A">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b w:val="0"/>
                      <w:bCs w:val="0"/>
                      <w:color w:val="000000" w:themeColor="text1"/>
                      <w:kern w:val="0"/>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kern w:val="0"/>
                      <w:sz w:val="21"/>
                      <w:szCs w:val="21"/>
                      <w:highlight w:val="none"/>
                      <w:lang w:val="en-US" w:eastAsia="zh-CN"/>
                      <w14:textFill>
                        <w14:solidFill>
                          <w14:schemeClr w14:val="tx1"/>
                        </w14:solidFill>
                      </w14:textFill>
                    </w:rPr>
                    <w:t>颗粒物</w:t>
                  </w:r>
                </w:p>
              </w:tc>
              <w:tc>
                <w:tcPr>
                  <w:tcW w:w="954" w:type="pct"/>
                  <w:noWrap w:val="0"/>
                  <w:vAlign w:val="center"/>
                </w:tcPr>
                <w:p w14:paraId="72721300">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 w:val="0"/>
                      <w:bCs w:val="0"/>
                      <w:color w:val="000000" w:themeColor="text1"/>
                      <w:szCs w:val="21"/>
                      <w:highlight w:val="none"/>
                      <w:lang w:val="en-US" w:eastAsia="zh-CN"/>
                      <w14:textFill>
                        <w14:solidFill>
                          <w14:schemeClr w14:val="tx1"/>
                        </w14:solidFill>
                      </w14:textFill>
                    </w:rPr>
                  </w:pPr>
                  <w:r>
                    <w:rPr>
                      <w:rFonts w:hint="eastAsia" w:cs="Times New Roman"/>
                      <w:b w:val="0"/>
                      <w:bCs w:val="0"/>
                      <w:color w:val="000000" w:themeColor="text1"/>
                      <w:szCs w:val="21"/>
                      <w:highlight w:val="none"/>
                      <w:lang w:val="en-US" w:eastAsia="zh-CN"/>
                      <w14:textFill>
                        <w14:solidFill>
                          <w14:schemeClr w14:val="tx1"/>
                        </w14:solidFill>
                      </w14:textFill>
                    </w:rPr>
                    <w:t>5</w:t>
                  </w:r>
                  <w:r>
                    <w:rPr>
                      <w:rFonts w:hint="default" w:ascii="Times New Roman" w:hAnsi="Times New Roman" w:eastAsia="宋体" w:cs="Times New Roman"/>
                      <w:b w:val="0"/>
                      <w:bCs w:val="0"/>
                      <w:color w:val="000000" w:themeColor="text1"/>
                      <w:szCs w:val="21"/>
                      <w:highlight w:val="none"/>
                      <w:lang w:val="en-US" w:eastAsia="zh-CN"/>
                      <w14:textFill>
                        <w14:solidFill>
                          <w14:schemeClr w14:val="tx1"/>
                        </w14:solidFill>
                      </w14:textFill>
                    </w:rPr>
                    <w:t>0</w:t>
                  </w:r>
                </w:p>
              </w:tc>
              <w:tc>
                <w:tcPr>
                  <w:tcW w:w="899" w:type="pct"/>
                  <w:noWrap w:val="0"/>
                  <w:vAlign w:val="center"/>
                </w:tcPr>
                <w:p w14:paraId="0DF5B84D">
                  <w:pPr>
                    <w:pStyle w:val="85"/>
                    <w:keepNext w:val="0"/>
                    <w:keepLines w:val="0"/>
                    <w:pageBreakBefore w:val="0"/>
                    <w:widowControl w:val="0"/>
                    <w:kinsoku w:val="0"/>
                    <w:wordWrap/>
                    <w:overflowPunct w:val="0"/>
                    <w:topLinePunct w:val="0"/>
                    <w:bidi w:val="0"/>
                    <w:adjustRightInd/>
                    <w:snapToGrid w:val="0"/>
                    <w:ind w:firstLine="0" w:firstLineChars="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0.04</w:t>
                  </w:r>
                </w:p>
              </w:tc>
              <w:tc>
                <w:tcPr>
                  <w:tcW w:w="903" w:type="pct"/>
                  <w:noWrap w:val="0"/>
                  <w:vAlign w:val="center"/>
                </w:tcPr>
                <w:p w14:paraId="18414C59">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20</w:t>
                  </w:r>
                </w:p>
              </w:tc>
            </w:tr>
            <w:tr w14:paraId="0ED86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90" w:type="pct"/>
                  <w:noWrap w:val="0"/>
                  <w:vAlign w:val="center"/>
                </w:tcPr>
                <w:p w14:paraId="56021B3A">
                  <w:pPr>
                    <w:pStyle w:val="85"/>
                    <w:keepNext w:val="0"/>
                    <w:keepLines w:val="0"/>
                    <w:pageBreakBefore w:val="0"/>
                    <w:widowControl w:val="0"/>
                    <w:kinsoku w:val="0"/>
                    <w:wordWrap/>
                    <w:overflowPunct w:val="0"/>
                    <w:topLinePunct w:val="0"/>
                    <w:bidi w:val="0"/>
                    <w:adjustRightInd/>
                    <w:snapToGrid w:val="0"/>
                    <w:ind w:firstLine="0" w:firstLineChars="0"/>
                    <w:jc w:val="center"/>
                    <w:textAlignment w:val="auto"/>
                    <w:rPr>
                      <w:rFonts w:hint="default" w:ascii="Times New Roman" w:hAnsi="Times New Roman" w:cs="Times New Roman"/>
                      <w:b w:val="0"/>
                      <w:bCs w:val="0"/>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DA010</w:t>
                  </w:r>
                </w:p>
              </w:tc>
              <w:tc>
                <w:tcPr>
                  <w:tcW w:w="1251" w:type="pct"/>
                  <w:noWrap w:val="0"/>
                  <w:vAlign w:val="center"/>
                </w:tcPr>
                <w:p w14:paraId="7205A230">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b w:val="0"/>
                      <w:bCs w:val="0"/>
                      <w:color w:val="000000" w:themeColor="text1"/>
                      <w:kern w:val="0"/>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kern w:val="0"/>
                      <w:sz w:val="21"/>
                      <w:szCs w:val="21"/>
                      <w:highlight w:val="none"/>
                      <w:lang w:val="en-US" w:eastAsia="zh-CN"/>
                      <w14:textFill>
                        <w14:solidFill>
                          <w14:schemeClr w14:val="tx1"/>
                        </w14:solidFill>
                      </w14:textFill>
                    </w:rPr>
                    <w:t>颗粒物</w:t>
                  </w:r>
                </w:p>
              </w:tc>
              <w:tc>
                <w:tcPr>
                  <w:tcW w:w="954" w:type="pct"/>
                  <w:noWrap w:val="0"/>
                  <w:vAlign w:val="center"/>
                </w:tcPr>
                <w:p w14:paraId="5AD87594">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 w:val="0"/>
                      <w:bCs w:val="0"/>
                      <w:color w:val="000000" w:themeColor="text1"/>
                      <w:szCs w:val="21"/>
                      <w:highlight w:val="none"/>
                      <w:lang w:val="en-US" w:eastAsia="zh-CN"/>
                      <w14:textFill>
                        <w14:solidFill>
                          <w14:schemeClr w14:val="tx1"/>
                        </w14:solidFill>
                      </w14:textFill>
                    </w:rPr>
                  </w:pPr>
                  <w:r>
                    <w:rPr>
                      <w:rFonts w:hint="eastAsia" w:cs="Times New Roman"/>
                      <w:b w:val="0"/>
                      <w:bCs w:val="0"/>
                      <w:color w:val="000000" w:themeColor="text1"/>
                      <w:szCs w:val="21"/>
                      <w:highlight w:val="none"/>
                      <w:lang w:val="en-US" w:eastAsia="zh-CN"/>
                      <w14:textFill>
                        <w14:solidFill>
                          <w14:schemeClr w14:val="tx1"/>
                        </w14:solidFill>
                      </w14:textFill>
                    </w:rPr>
                    <w:t>5</w:t>
                  </w:r>
                  <w:r>
                    <w:rPr>
                      <w:rFonts w:hint="default" w:ascii="Times New Roman" w:hAnsi="Times New Roman" w:eastAsia="宋体" w:cs="Times New Roman"/>
                      <w:b w:val="0"/>
                      <w:bCs w:val="0"/>
                      <w:color w:val="000000" w:themeColor="text1"/>
                      <w:szCs w:val="21"/>
                      <w:highlight w:val="none"/>
                      <w:lang w:val="en-US" w:eastAsia="zh-CN"/>
                      <w14:textFill>
                        <w14:solidFill>
                          <w14:schemeClr w14:val="tx1"/>
                        </w14:solidFill>
                      </w14:textFill>
                    </w:rPr>
                    <w:t>0</w:t>
                  </w:r>
                </w:p>
              </w:tc>
              <w:tc>
                <w:tcPr>
                  <w:tcW w:w="899" w:type="pct"/>
                  <w:noWrap w:val="0"/>
                  <w:vAlign w:val="center"/>
                </w:tcPr>
                <w:p w14:paraId="5148FD85">
                  <w:pPr>
                    <w:keepNext w:val="0"/>
                    <w:keepLines w:val="0"/>
                    <w:pageBreakBefore w:val="0"/>
                    <w:widowControl w:val="0"/>
                    <w:kinsoku w:val="0"/>
                    <w:wordWrap/>
                    <w:overflowPunct w:val="0"/>
                    <w:topLinePunct w:val="0"/>
                    <w:bidi w:val="0"/>
                    <w:adjustRightInd/>
                    <w:snapToGrid w:val="0"/>
                    <w:ind w:firstLine="0" w:firstLineChars="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0.04</w:t>
                  </w:r>
                </w:p>
              </w:tc>
              <w:tc>
                <w:tcPr>
                  <w:tcW w:w="903" w:type="pct"/>
                  <w:noWrap w:val="0"/>
                  <w:vAlign w:val="center"/>
                </w:tcPr>
                <w:p w14:paraId="7B03B407">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20</w:t>
                  </w:r>
                </w:p>
              </w:tc>
            </w:tr>
            <w:tr w14:paraId="7BD15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90" w:type="pct"/>
                  <w:noWrap w:val="0"/>
                  <w:vAlign w:val="center"/>
                </w:tcPr>
                <w:p w14:paraId="0B9CFDB7">
                  <w:pPr>
                    <w:pStyle w:val="85"/>
                    <w:keepNext w:val="0"/>
                    <w:keepLines w:val="0"/>
                    <w:pageBreakBefore w:val="0"/>
                    <w:widowControl w:val="0"/>
                    <w:kinsoku w:val="0"/>
                    <w:wordWrap/>
                    <w:overflowPunct w:val="0"/>
                    <w:topLinePunct w:val="0"/>
                    <w:bidi w:val="0"/>
                    <w:adjustRightInd/>
                    <w:snapToGrid w:val="0"/>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DA011</w:t>
                  </w:r>
                </w:p>
              </w:tc>
              <w:tc>
                <w:tcPr>
                  <w:tcW w:w="1251" w:type="pct"/>
                  <w:noWrap w:val="0"/>
                  <w:vAlign w:val="center"/>
                </w:tcPr>
                <w:p w14:paraId="3D3AB885">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b w:val="0"/>
                      <w:bCs w:val="0"/>
                      <w:color w:val="000000" w:themeColor="text1"/>
                      <w:kern w:val="0"/>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kern w:val="0"/>
                      <w:sz w:val="21"/>
                      <w:szCs w:val="21"/>
                      <w:highlight w:val="none"/>
                      <w:lang w:val="en-US" w:eastAsia="zh-CN"/>
                      <w14:textFill>
                        <w14:solidFill>
                          <w14:schemeClr w14:val="tx1"/>
                        </w14:solidFill>
                      </w14:textFill>
                    </w:rPr>
                    <w:t>颗粒物</w:t>
                  </w:r>
                </w:p>
              </w:tc>
              <w:tc>
                <w:tcPr>
                  <w:tcW w:w="954" w:type="pct"/>
                  <w:noWrap w:val="0"/>
                  <w:vAlign w:val="center"/>
                </w:tcPr>
                <w:p w14:paraId="5DFA81D9">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 w:val="0"/>
                      <w:bCs w:val="0"/>
                      <w:color w:val="000000" w:themeColor="text1"/>
                      <w:szCs w:val="21"/>
                      <w:highlight w:val="none"/>
                      <w:lang w:val="en-US" w:eastAsia="zh-CN"/>
                      <w14:textFill>
                        <w14:solidFill>
                          <w14:schemeClr w14:val="tx1"/>
                        </w14:solidFill>
                      </w14:textFill>
                    </w:rPr>
                  </w:pPr>
                  <w:r>
                    <w:rPr>
                      <w:rFonts w:hint="eastAsia" w:cs="Times New Roman"/>
                      <w:b w:val="0"/>
                      <w:bCs w:val="0"/>
                      <w:color w:val="000000" w:themeColor="text1"/>
                      <w:szCs w:val="21"/>
                      <w:highlight w:val="none"/>
                      <w:lang w:val="en-US" w:eastAsia="zh-CN"/>
                      <w14:textFill>
                        <w14:solidFill>
                          <w14:schemeClr w14:val="tx1"/>
                        </w14:solidFill>
                      </w14:textFill>
                    </w:rPr>
                    <w:t>3</w:t>
                  </w:r>
                  <w:r>
                    <w:rPr>
                      <w:rFonts w:hint="default" w:ascii="Times New Roman" w:hAnsi="Times New Roman" w:cs="Times New Roman"/>
                      <w:b w:val="0"/>
                      <w:bCs w:val="0"/>
                      <w:color w:val="000000" w:themeColor="text1"/>
                      <w:szCs w:val="21"/>
                      <w:highlight w:val="none"/>
                      <w:lang w:val="en-US" w:eastAsia="zh-CN"/>
                      <w14:textFill>
                        <w14:solidFill>
                          <w14:schemeClr w14:val="tx1"/>
                        </w14:solidFill>
                      </w14:textFill>
                    </w:rPr>
                    <w:t>0</w:t>
                  </w:r>
                </w:p>
              </w:tc>
              <w:tc>
                <w:tcPr>
                  <w:tcW w:w="899" w:type="pct"/>
                  <w:noWrap w:val="0"/>
                  <w:vAlign w:val="center"/>
                </w:tcPr>
                <w:p w14:paraId="05C75C1F">
                  <w:pPr>
                    <w:keepNext w:val="0"/>
                    <w:keepLines w:val="0"/>
                    <w:pageBreakBefore w:val="0"/>
                    <w:widowControl w:val="0"/>
                    <w:kinsoku w:val="0"/>
                    <w:wordWrap/>
                    <w:overflowPunct w:val="0"/>
                    <w:topLinePunct w:val="0"/>
                    <w:bidi w:val="0"/>
                    <w:adjustRightInd/>
                    <w:snapToGrid w:val="0"/>
                    <w:ind w:firstLine="0" w:firstLineChars="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2</w:t>
                  </w:r>
                </w:p>
              </w:tc>
              <w:tc>
                <w:tcPr>
                  <w:tcW w:w="903" w:type="pct"/>
                  <w:noWrap w:val="0"/>
                  <w:vAlign w:val="center"/>
                </w:tcPr>
                <w:p w14:paraId="0C6695D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20</w:t>
                  </w:r>
                </w:p>
              </w:tc>
            </w:tr>
            <w:tr w14:paraId="1FCA7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90" w:type="pct"/>
                  <w:noWrap w:val="0"/>
                  <w:vAlign w:val="center"/>
                </w:tcPr>
                <w:p w14:paraId="32B6E69E">
                  <w:pPr>
                    <w:pStyle w:val="85"/>
                    <w:keepNext w:val="0"/>
                    <w:keepLines w:val="0"/>
                    <w:pageBreakBefore w:val="0"/>
                    <w:widowControl w:val="0"/>
                    <w:kinsoku w:val="0"/>
                    <w:wordWrap/>
                    <w:overflowPunct w:val="0"/>
                    <w:topLinePunct w:val="0"/>
                    <w:bidi w:val="0"/>
                    <w:adjustRightInd/>
                    <w:snapToGrid w:val="0"/>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DA012</w:t>
                  </w:r>
                </w:p>
              </w:tc>
              <w:tc>
                <w:tcPr>
                  <w:tcW w:w="1251" w:type="pct"/>
                  <w:noWrap w:val="0"/>
                  <w:vAlign w:val="center"/>
                </w:tcPr>
                <w:p w14:paraId="4D1DFB1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b w:val="0"/>
                      <w:bCs w:val="0"/>
                      <w:color w:val="000000" w:themeColor="text1"/>
                      <w:kern w:val="0"/>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kern w:val="0"/>
                      <w:sz w:val="21"/>
                      <w:szCs w:val="21"/>
                      <w:highlight w:val="none"/>
                      <w:lang w:val="en-US" w:eastAsia="zh-CN"/>
                      <w14:textFill>
                        <w14:solidFill>
                          <w14:schemeClr w14:val="tx1"/>
                        </w14:solidFill>
                      </w14:textFill>
                    </w:rPr>
                    <w:t>颗粒物</w:t>
                  </w:r>
                </w:p>
              </w:tc>
              <w:tc>
                <w:tcPr>
                  <w:tcW w:w="954" w:type="pct"/>
                  <w:noWrap w:val="0"/>
                  <w:vAlign w:val="center"/>
                </w:tcPr>
                <w:p w14:paraId="094D5CB0">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 w:val="0"/>
                      <w:bCs w:val="0"/>
                      <w:color w:val="000000" w:themeColor="text1"/>
                      <w:szCs w:val="21"/>
                      <w:highlight w:val="none"/>
                      <w:lang w:val="en-US" w:eastAsia="zh-CN"/>
                      <w14:textFill>
                        <w14:solidFill>
                          <w14:schemeClr w14:val="tx1"/>
                        </w14:solidFill>
                      </w14:textFill>
                    </w:rPr>
                  </w:pPr>
                  <w:r>
                    <w:rPr>
                      <w:rFonts w:hint="eastAsia" w:cs="Times New Roman"/>
                      <w:b w:val="0"/>
                      <w:bCs w:val="0"/>
                      <w:color w:val="000000" w:themeColor="text1"/>
                      <w:szCs w:val="21"/>
                      <w:highlight w:val="none"/>
                      <w:lang w:val="en-US" w:eastAsia="zh-CN"/>
                      <w14:textFill>
                        <w14:solidFill>
                          <w14:schemeClr w14:val="tx1"/>
                        </w14:solidFill>
                      </w14:textFill>
                    </w:rPr>
                    <w:t>30</w:t>
                  </w:r>
                </w:p>
              </w:tc>
              <w:tc>
                <w:tcPr>
                  <w:tcW w:w="899" w:type="pct"/>
                  <w:noWrap w:val="0"/>
                  <w:vAlign w:val="center"/>
                </w:tcPr>
                <w:p w14:paraId="5144E042">
                  <w:pPr>
                    <w:keepNext w:val="0"/>
                    <w:keepLines w:val="0"/>
                    <w:pageBreakBefore w:val="0"/>
                    <w:widowControl w:val="0"/>
                    <w:kinsoku w:val="0"/>
                    <w:wordWrap/>
                    <w:overflowPunct w:val="0"/>
                    <w:topLinePunct w:val="0"/>
                    <w:bidi w:val="0"/>
                    <w:adjustRightInd/>
                    <w:snapToGrid w:val="0"/>
                    <w:ind w:firstLine="0" w:firstLineChars="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0.4</w:t>
                  </w:r>
                </w:p>
              </w:tc>
              <w:tc>
                <w:tcPr>
                  <w:tcW w:w="903" w:type="pct"/>
                  <w:noWrap w:val="0"/>
                  <w:vAlign w:val="center"/>
                </w:tcPr>
                <w:p w14:paraId="2F110356">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20</w:t>
                  </w:r>
                </w:p>
              </w:tc>
            </w:tr>
            <w:tr w14:paraId="3287D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90" w:type="pct"/>
                  <w:noWrap w:val="0"/>
                  <w:vAlign w:val="center"/>
                </w:tcPr>
                <w:p w14:paraId="402492A0">
                  <w:pPr>
                    <w:pStyle w:val="85"/>
                    <w:keepNext w:val="0"/>
                    <w:keepLines w:val="0"/>
                    <w:pageBreakBefore w:val="0"/>
                    <w:widowControl w:val="0"/>
                    <w:kinsoku w:val="0"/>
                    <w:wordWrap/>
                    <w:overflowPunct w:val="0"/>
                    <w:topLinePunct w:val="0"/>
                    <w:bidi w:val="0"/>
                    <w:adjustRightInd/>
                    <w:snapToGrid w:val="0"/>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DA013</w:t>
                  </w:r>
                </w:p>
              </w:tc>
              <w:tc>
                <w:tcPr>
                  <w:tcW w:w="1251" w:type="pct"/>
                  <w:noWrap w:val="0"/>
                  <w:vAlign w:val="center"/>
                </w:tcPr>
                <w:p w14:paraId="59BC6F3B">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b w:val="0"/>
                      <w:bCs w:val="0"/>
                      <w:color w:val="000000" w:themeColor="text1"/>
                      <w:kern w:val="0"/>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kern w:val="0"/>
                      <w:sz w:val="21"/>
                      <w:szCs w:val="21"/>
                      <w:highlight w:val="none"/>
                      <w:lang w:val="en-US" w:eastAsia="zh-CN"/>
                      <w14:textFill>
                        <w14:solidFill>
                          <w14:schemeClr w14:val="tx1"/>
                        </w14:solidFill>
                      </w14:textFill>
                    </w:rPr>
                    <w:t>颗粒物</w:t>
                  </w:r>
                </w:p>
              </w:tc>
              <w:tc>
                <w:tcPr>
                  <w:tcW w:w="954" w:type="pct"/>
                  <w:noWrap w:val="0"/>
                  <w:vAlign w:val="center"/>
                </w:tcPr>
                <w:p w14:paraId="02B7EEDA">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 w:val="0"/>
                      <w:bCs w:val="0"/>
                      <w:color w:val="000000" w:themeColor="text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Cs w:val="21"/>
                      <w:highlight w:val="none"/>
                      <w:lang w:val="en-US" w:eastAsia="zh-CN"/>
                      <w14:textFill>
                        <w14:solidFill>
                          <w14:schemeClr w14:val="tx1"/>
                        </w14:solidFill>
                      </w14:textFill>
                    </w:rPr>
                    <w:t>20</w:t>
                  </w:r>
                </w:p>
              </w:tc>
              <w:tc>
                <w:tcPr>
                  <w:tcW w:w="899" w:type="pct"/>
                  <w:noWrap w:val="0"/>
                  <w:vAlign w:val="center"/>
                </w:tcPr>
                <w:p w14:paraId="2C48B428">
                  <w:pPr>
                    <w:keepNext w:val="0"/>
                    <w:keepLines w:val="0"/>
                    <w:pageBreakBefore w:val="0"/>
                    <w:widowControl w:val="0"/>
                    <w:kinsoku w:val="0"/>
                    <w:wordWrap/>
                    <w:overflowPunct w:val="0"/>
                    <w:topLinePunct w:val="0"/>
                    <w:bidi w:val="0"/>
                    <w:adjustRightInd/>
                    <w:snapToGrid w:val="0"/>
                    <w:ind w:firstLine="0" w:firstLineChars="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20</w:t>
                  </w:r>
                </w:p>
              </w:tc>
              <w:tc>
                <w:tcPr>
                  <w:tcW w:w="903" w:type="pct"/>
                  <w:noWrap w:val="0"/>
                  <w:vAlign w:val="center"/>
                </w:tcPr>
                <w:p w14:paraId="699DC6F9">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20</w:t>
                  </w:r>
                </w:p>
              </w:tc>
            </w:tr>
            <w:tr w14:paraId="3546F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90" w:type="pct"/>
                  <w:noWrap w:val="0"/>
                  <w:vAlign w:val="center"/>
                </w:tcPr>
                <w:p w14:paraId="1FE09421">
                  <w:pPr>
                    <w:pStyle w:val="85"/>
                    <w:keepNext w:val="0"/>
                    <w:keepLines w:val="0"/>
                    <w:pageBreakBefore w:val="0"/>
                    <w:widowControl w:val="0"/>
                    <w:kinsoku w:val="0"/>
                    <w:wordWrap/>
                    <w:overflowPunct w:val="0"/>
                    <w:topLinePunct w:val="0"/>
                    <w:bidi w:val="0"/>
                    <w:adjustRightInd/>
                    <w:snapToGrid w:val="0"/>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DA014</w:t>
                  </w:r>
                </w:p>
              </w:tc>
              <w:tc>
                <w:tcPr>
                  <w:tcW w:w="1251" w:type="pct"/>
                  <w:noWrap w:val="0"/>
                  <w:vAlign w:val="center"/>
                </w:tcPr>
                <w:p w14:paraId="036F4BC9">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b w:val="0"/>
                      <w:bCs w:val="0"/>
                      <w:color w:val="000000" w:themeColor="text1"/>
                      <w:kern w:val="0"/>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kern w:val="0"/>
                      <w:sz w:val="21"/>
                      <w:szCs w:val="21"/>
                      <w:highlight w:val="none"/>
                      <w:lang w:val="en-US" w:eastAsia="zh-CN"/>
                      <w14:textFill>
                        <w14:solidFill>
                          <w14:schemeClr w14:val="tx1"/>
                        </w14:solidFill>
                      </w14:textFill>
                    </w:rPr>
                    <w:t>颗粒物</w:t>
                  </w:r>
                </w:p>
              </w:tc>
              <w:tc>
                <w:tcPr>
                  <w:tcW w:w="954" w:type="pct"/>
                  <w:noWrap w:val="0"/>
                  <w:vAlign w:val="center"/>
                </w:tcPr>
                <w:p w14:paraId="2577EF79">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b w:val="0"/>
                      <w:bCs w:val="0"/>
                      <w:color w:val="000000" w:themeColor="text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Cs w:val="21"/>
                      <w:highlight w:val="none"/>
                      <w:lang w:val="en-US" w:eastAsia="zh-CN"/>
                      <w14:textFill>
                        <w14:solidFill>
                          <w14:schemeClr w14:val="tx1"/>
                        </w14:solidFill>
                      </w14:textFill>
                    </w:rPr>
                    <w:t>15</w:t>
                  </w:r>
                </w:p>
              </w:tc>
              <w:tc>
                <w:tcPr>
                  <w:tcW w:w="899" w:type="pct"/>
                  <w:noWrap w:val="0"/>
                  <w:vAlign w:val="center"/>
                </w:tcPr>
                <w:p w14:paraId="4509EFD2">
                  <w:pPr>
                    <w:keepNext w:val="0"/>
                    <w:keepLines w:val="0"/>
                    <w:pageBreakBefore w:val="0"/>
                    <w:widowControl w:val="0"/>
                    <w:kinsoku w:val="0"/>
                    <w:wordWrap/>
                    <w:overflowPunct w:val="0"/>
                    <w:topLinePunct w:val="0"/>
                    <w:bidi w:val="0"/>
                    <w:adjustRightInd/>
                    <w:snapToGrid w:val="0"/>
                    <w:ind w:firstLine="0" w:firstLineChars="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20</w:t>
                  </w:r>
                </w:p>
              </w:tc>
              <w:tc>
                <w:tcPr>
                  <w:tcW w:w="903" w:type="pct"/>
                  <w:noWrap w:val="0"/>
                  <w:vAlign w:val="center"/>
                </w:tcPr>
                <w:p w14:paraId="5D79AAD3">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20</w:t>
                  </w:r>
                </w:p>
              </w:tc>
            </w:tr>
            <w:tr w14:paraId="32438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90" w:type="pct"/>
                  <w:noWrap w:val="0"/>
                  <w:vAlign w:val="center"/>
                </w:tcPr>
                <w:p w14:paraId="66406DB7">
                  <w:pPr>
                    <w:pStyle w:val="85"/>
                    <w:keepNext w:val="0"/>
                    <w:keepLines w:val="0"/>
                    <w:pageBreakBefore w:val="0"/>
                    <w:widowControl w:val="0"/>
                    <w:kinsoku w:val="0"/>
                    <w:wordWrap/>
                    <w:overflowPunct w:val="0"/>
                    <w:topLinePunct w:val="0"/>
                    <w:bidi w:val="0"/>
                    <w:adjustRightInd/>
                    <w:snapToGrid w:val="0"/>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DA01</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5</w:t>
                  </w:r>
                </w:p>
              </w:tc>
              <w:tc>
                <w:tcPr>
                  <w:tcW w:w="1251" w:type="pct"/>
                  <w:noWrap w:val="0"/>
                  <w:vAlign w:val="center"/>
                </w:tcPr>
                <w:p w14:paraId="67C43B6C">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b w:val="0"/>
                      <w:bCs w:val="0"/>
                      <w:color w:val="000000" w:themeColor="text1"/>
                      <w:kern w:val="0"/>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kern w:val="0"/>
                      <w:sz w:val="21"/>
                      <w:szCs w:val="21"/>
                      <w:highlight w:val="none"/>
                      <w:lang w:val="en-US" w:eastAsia="zh-CN"/>
                      <w14:textFill>
                        <w14:solidFill>
                          <w14:schemeClr w14:val="tx1"/>
                        </w14:solidFill>
                      </w14:textFill>
                    </w:rPr>
                    <w:t>颗粒物</w:t>
                  </w:r>
                </w:p>
              </w:tc>
              <w:tc>
                <w:tcPr>
                  <w:tcW w:w="954" w:type="pct"/>
                  <w:noWrap w:val="0"/>
                  <w:vAlign w:val="center"/>
                </w:tcPr>
                <w:p w14:paraId="031FA1C3">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b w:val="0"/>
                      <w:bCs w:val="0"/>
                      <w:color w:val="000000" w:themeColor="text1"/>
                      <w:szCs w:val="21"/>
                      <w:highlight w:val="none"/>
                      <w:lang w:val="en-US" w:eastAsia="zh-CN"/>
                      <w14:textFill>
                        <w14:solidFill>
                          <w14:schemeClr w14:val="tx1"/>
                        </w14:solidFill>
                      </w14:textFill>
                    </w:rPr>
                  </w:pPr>
                  <w:r>
                    <w:rPr>
                      <w:rFonts w:hint="eastAsia" w:cs="Times New Roman"/>
                      <w:b w:val="0"/>
                      <w:bCs w:val="0"/>
                      <w:color w:val="000000" w:themeColor="text1"/>
                      <w:szCs w:val="21"/>
                      <w:highlight w:val="none"/>
                      <w:lang w:val="en-US" w:eastAsia="zh-CN"/>
                      <w14:textFill>
                        <w14:solidFill>
                          <w14:schemeClr w14:val="tx1"/>
                        </w14:solidFill>
                      </w14:textFill>
                    </w:rPr>
                    <w:t>18</w:t>
                  </w:r>
                </w:p>
              </w:tc>
              <w:tc>
                <w:tcPr>
                  <w:tcW w:w="899" w:type="pct"/>
                  <w:noWrap w:val="0"/>
                  <w:vAlign w:val="center"/>
                </w:tcPr>
                <w:p w14:paraId="1778ECE6">
                  <w:pPr>
                    <w:keepNext w:val="0"/>
                    <w:keepLines w:val="0"/>
                    <w:pageBreakBefore w:val="0"/>
                    <w:widowControl w:val="0"/>
                    <w:kinsoku w:val="0"/>
                    <w:wordWrap/>
                    <w:overflowPunct w:val="0"/>
                    <w:topLinePunct w:val="0"/>
                    <w:bidi w:val="0"/>
                    <w:adjustRightInd/>
                    <w:snapToGrid w:val="0"/>
                    <w:ind w:firstLine="0" w:firstLineChars="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43.11</w:t>
                  </w:r>
                </w:p>
              </w:tc>
              <w:tc>
                <w:tcPr>
                  <w:tcW w:w="903" w:type="pct"/>
                  <w:noWrap w:val="0"/>
                  <w:vAlign w:val="center"/>
                </w:tcPr>
                <w:p w14:paraId="165AD117">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20</w:t>
                  </w:r>
                </w:p>
              </w:tc>
            </w:tr>
          </w:tbl>
          <w:p w14:paraId="6AE999B5">
            <w:pPr>
              <w:pStyle w:val="14"/>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w:t>
            </w:r>
            <w:r>
              <w:rPr>
                <w:rFonts w:hint="eastAsia" w:ascii="Times New Roman" w:hAnsi="Times New Roman" w:cs="Times New Roman"/>
                <w:color w:val="000000" w:themeColor="text1"/>
                <w:sz w:val="24"/>
                <w:highlight w:val="none"/>
                <w:lang w:val="en-US" w:eastAsia="zh-CN"/>
                <w14:textFill>
                  <w14:solidFill>
                    <w14:schemeClr w14:val="tx1"/>
                  </w14:solidFill>
                </w14:textFill>
              </w:rPr>
              <w:t>3</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）二氧化碳</w:t>
            </w:r>
          </w:p>
          <w:p w14:paraId="49C97C60">
            <w:pPr>
              <w:pStyle w:val="14"/>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本项目生产过程中，会产生一定量的二氧化碳，主要</w:t>
            </w:r>
            <w:r>
              <w:rPr>
                <w:rFonts w:hint="eastAsia" w:ascii="Times New Roman" w:hAnsi="Times New Roman" w:cs="Times New Roman"/>
                <w:color w:val="000000" w:themeColor="text1"/>
                <w:sz w:val="24"/>
                <w:highlight w:val="none"/>
                <w:lang w:val="en-US" w:eastAsia="zh-CN"/>
                <w14:textFill>
                  <w14:solidFill>
                    <w14:schemeClr w14:val="tx1"/>
                  </w14:solidFill>
                </w14:textFill>
              </w:rPr>
              <w:t>来自原料粉</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内碳，让燃烧后产生二氧化碳，根据业主提供数据，二氧化碳的产生量占原料的</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17%</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，本项目</w:t>
            </w:r>
            <w:r>
              <w:rPr>
                <w:rFonts w:hint="eastAsia" w:ascii="Times New Roman" w:hAnsi="Times New Roman" w:cs="Times New Roman"/>
                <w:color w:val="000000" w:themeColor="text1"/>
                <w:sz w:val="24"/>
                <w:highlight w:val="none"/>
                <w:lang w:val="en-US" w:eastAsia="zh-CN"/>
                <w14:textFill>
                  <w14:solidFill>
                    <w14:schemeClr w14:val="tx1"/>
                  </w14:solidFill>
                </w14:textFill>
              </w:rPr>
              <w:t>原料粉24.4234</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万</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t/a</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，则二氧化碳产生量为</w:t>
            </w:r>
            <w:r>
              <w:rPr>
                <w:rFonts w:hint="eastAsia" w:ascii="Times New Roman" w:hAnsi="Times New Roman" w:cs="Times New Roman"/>
                <w:color w:val="000000" w:themeColor="text1"/>
                <w:sz w:val="24"/>
                <w:highlight w:val="none"/>
                <w:lang w:val="en-US" w:eastAsia="zh-CN"/>
                <w14:textFill>
                  <w14:solidFill>
                    <w14:schemeClr w14:val="tx1"/>
                  </w14:solidFill>
                </w14:textFill>
              </w:rPr>
              <w:t>41519.78</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t/a</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w:t>
            </w:r>
          </w:p>
          <w:p w14:paraId="78FD56F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w:t>
            </w:r>
            <w:r>
              <w:rPr>
                <w:rFonts w:hint="eastAsia" w:cs="Times New Roman"/>
                <w:b w:val="0"/>
                <w:bCs w:val="0"/>
                <w:color w:val="000000" w:themeColor="text1"/>
                <w:sz w:val="24"/>
                <w:highlight w:val="none"/>
                <w:lang w:val="en-US" w:eastAsia="zh-CN"/>
                <w14:textFill>
                  <w14:solidFill>
                    <w14:schemeClr w14:val="tx1"/>
                  </w14:solidFill>
                </w14:textFill>
              </w:rPr>
              <w:t>4</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）废气处理措施可行性分析</w:t>
            </w:r>
          </w:p>
          <w:p w14:paraId="610AC3B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1）有组织</w:t>
            </w:r>
          </w:p>
          <w:p w14:paraId="1D60F52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①除尘</w:t>
            </w:r>
          </w:p>
          <w:p w14:paraId="76C90A9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本项目原料筒仓、固废筒仓、原料转运，</w:t>
            </w:r>
            <w:r>
              <w:rPr>
                <w:rFonts w:hint="eastAsia" w:cs="Times New Roman"/>
                <w:color w:val="000000" w:themeColor="text1"/>
                <w:sz w:val="24"/>
                <w:highlight w:val="none"/>
                <w:lang w:val="en-US" w:eastAsia="zh-CN"/>
                <w14:textFill>
                  <w14:solidFill>
                    <w14:schemeClr w14:val="tx1"/>
                  </w14:solidFill>
                </w14:textFill>
              </w:rPr>
              <w:t>窑尾尾料仓装卸废气、窑尾提升机装卸粉尘、窑尾</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焙烧</w:t>
            </w:r>
            <w:r>
              <w:rPr>
                <w:rFonts w:hint="eastAsia" w:cs="Times New Roman"/>
                <w:color w:val="000000" w:themeColor="text1"/>
                <w:sz w:val="24"/>
                <w:highlight w:val="none"/>
                <w:lang w:val="en-US" w:eastAsia="zh-CN"/>
                <w14:textFill>
                  <w14:solidFill>
                    <w14:schemeClr w14:val="tx1"/>
                  </w14:solidFill>
                </w14:textFill>
              </w:rPr>
              <w:t>烟气</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w:t>
            </w:r>
            <w:r>
              <w:rPr>
                <w:rFonts w:hint="eastAsia" w:cs="Times New Roman"/>
                <w:color w:val="000000" w:themeColor="text1"/>
                <w:sz w:val="24"/>
                <w:highlight w:val="none"/>
                <w:lang w:val="en-US" w:eastAsia="zh-CN"/>
                <w14:textFill>
                  <w14:solidFill>
                    <w14:schemeClr w14:val="tx1"/>
                  </w14:solidFill>
                </w14:textFill>
              </w:rPr>
              <w:t>分选（打散、粉磨）粉尘、石灰石粉仓粉尘</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，成品储存</w:t>
            </w:r>
            <w:r>
              <w:rPr>
                <w:rFonts w:hint="eastAsia" w:cs="Times New Roman"/>
                <w:color w:val="000000" w:themeColor="text1"/>
                <w:sz w:val="24"/>
                <w:highlight w:val="none"/>
                <w:lang w:val="en-US" w:eastAsia="zh-CN"/>
                <w14:textFill>
                  <w14:solidFill>
                    <w14:schemeClr w14:val="tx1"/>
                  </w14:solidFill>
                </w14:textFill>
              </w:rPr>
              <w:t>装卸粉尘</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、包袋</w:t>
            </w:r>
            <w:r>
              <w:rPr>
                <w:rFonts w:hint="eastAsia" w:cs="Times New Roman"/>
                <w:color w:val="000000" w:themeColor="text1"/>
                <w:sz w:val="24"/>
                <w:highlight w:val="none"/>
                <w:lang w:val="en-US" w:eastAsia="zh-CN"/>
                <w14:textFill>
                  <w14:solidFill>
                    <w14:schemeClr w14:val="tx1"/>
                  </w14:solidFill>
                </w14:textFill>
              </w:rPr>
              <w:t>粉尘</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等产尘环节均配置</w:t>
            </w:r>
            <w:r>
              <w:rPr>
                <w:rFonts w:hint="eastAsia" w:cs="Times New Roman"/>
                <w:color w:val="000000" w:themeColor="text1"/>
                <w:sz w:val="24"/>
                <w:highlight w:val="none"/>
                <w:lang w:val="en-US" w:eastAsia="zh-CN"/>
                <w14:textFill>
                  <w14:solidFill>
                    <w14:schemeClr w14:val="tx1"/>
                  </w14:solidFill>
                </w14:textFill>
              </w:rPr>
              <w:t>布袋除尘器（覆膜袋式）</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进行处理，其中粉尘废气中颗粒物排放浓度小于</w:t>
            </w:r>
            <w:r>
              <w:rPr>
                <w:rFonts w:hint="eastAsia" w:cs="Times New Roman"/>
                <w:color w:val="000000" w:themeColor="text1"/>
                <w:sz w:val="24"/>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0mg/m</w:t>
            </w:r>
            <w:r>
              <w:rPr>
                <w:rFonts w:hint="default" w:ascii="Times New Roman" w:hAnsi="Times New Roman" w:eastAsia="宋体" w:cs="Times New Roman"/>
                <w:color w:val="000000" w:themeColor="text1"/>
                <w:sz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w:t>
            </w:r>
            <w:r>
              <w:rPr>
                <w:rFonts w:hint="eastAsia" w:cs="Times New Roman"/>
                <w:color w:val="000000" w:themeColor="text1"/>
                <w:sz w:val="24"/>
                <w:highlight w:val="none"/>
                <w:lang w:val="en-US" w:eastAsia="zh-CN"/>
                <w14:textFill>
                  <w14:solidFill>
                    <w14:schemeClr w14:val="tx1"/>
                  </w14:solidFill>
                </w14:textFill>
              </w:rPr>
              <w:t>满足</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《耐火材料工业大气污染物排放标准》（GB46790-2025）表1大气污染物排放限值（20</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mg/m</w:t>
            </w:r>
            <w:r>
              <w:rPr>
                <w:rFonts w:hint="default" w:ascii="Times New Roman" w:hAnsi="Times New Roman" w:eastAsia="宋体" w:cs="Times New Roman"/>
                <w:color w:val="000000" w:themeColor="text1"/>
                <w:sz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各污染源颗粒物达标排放。袋式除尘器主要由底部钢结构、灰斗、上箱体、箱体、进出风口、滤袋、清灰装置、电气控制等几部分组成。含尘气体由进风口进入，经过灰斗时，气体中部分大颗粒粉尘受惯性力和重力作用被分离出来，直接落入灰斗底部。含尘气体通过灰斗后进入中箱体的滤袋过滤区，气体穿过滤袋粉尘被阻留在滤袋外表面，净化后的气体经滤袋口进入上箱体后，再由出风口排出。随着过滤时间的延长，滤袋上的粉尘层不断积厚，除尘设备的阻力不断上升，当设备阻力上升到设定值时，清灰装置开始进行清灰。首先，一个分室提升阀关闭，将过滤气流截断，然后电磁脉冲阀开启，压缩空气以极</w:t>
            </w:r>
            <w:r>
              <w:rPr>
                <w:rFonts w:hint="eastAsia" w:cs="Times New Roman"/>
                <w:color w:val="000000" w:themeColor="text1"/>
                <w:sz w:val="24"/>
                <w:highlight w:val="none"/>
                <w:lang w:val="en-US" w:eastAsia="zh-CN"/>
                <w14:textFill>
                  <w14:solidFill>
                    <w14:schemeClr w14:val="tx1"/>
                  </w14:solidFill>
                </w14:textFill>
              </w:rPr>
              <w:t>短</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的时间</w:t>
            </w:r>
            <w:r>
              <w:rPr>
                <w:rFonts w:hint="eastAsia" w:cs="Times New Roman"/>
                <w:color w:val="000000" w:themeColor="text1"/>
                <w:sz w:val="24"/>
                <w:highlight w:val="none"/>
                <w:lang w:val="en-US" w:eastAsia="zh-CN"/>
                <w14:textFill>
                  <w14:solidFill>
                    <w14:schemeClr w14:val="tx1"/>
                  </w14:solidFill>
                </w14:textFill>
              </w:rPr>
              <w:t>在</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箱体内迅速膨胀，涌入滤袋，使滤袋膨胀变形产生振动，并在逆向气流冲刷的作用下，附着在滤袋外表面上的粉尘被剥离落入灰斗中。清灰完毕后，电磁脉冲阀关闭，提升阀打开，该室又恢复过滤状态。清灰各室依次进行，从第一次清灰开始至下一次清灰开始为一个清灰周期。经过过滤和清灰工作被截留下来的粉尘落入灰斗，再由灰斗口的卸灰装置集中排出。袋式除尘器具有以下特点：适应高浓度除尘；采用离线清灰技术进行分室反吹脉冲清灰，既避免了在线式清灰产生的粉尘二次飞扬“再吸附”现象，又不影响设备运行工况的正常连续运行，提高了清灰效果，延长了滤袋使用寿命；采用气箱式结构，从而降低了设备的局部组损，并免除了安装滤袋不方便等问题。袋式除尘器对于工业中的所有粉尘其除尘效率均可达到99%以上。</w:t>
            </w:r>
          </w:p>
          <w:p w14:paraId="402E2F8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布袋除尘器属于工业生产中应用最为广泛的除尘设备，具有以下优点：</w:t>
            </w:r>
          </w:p>
          <w:p w14:paraId="26E0BCE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A.除尘效率高，一般在99%以上，除尘器出口气体含尘浓度在数十mg/m</w:t>
            </w:r>
            <w:r>
              <w:rPr>
                <w:rFonts w:hint="default" w:ascii="Times New Roman" w:hAnsi="Times New Roman" w:eastAsia="宋体" w:cs="Times New Roman"/>
                <w:color w:val="000000" w:themeColor="text1"/>
                <w:sz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之内，对亚微米粒径的细尘有较高的分级效率；</w:t>
            </w:r>
          </w:p>
          <w:p w14:paraId="326F248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B.处理风量的范围广，小的仅1min数m</w:t>
            </w:r>
            <w:r>
              <w:rPr>
                <w:rFonts w:hint="default" w:ascii="Times New Roman" w:hAnsi="Times New Roman" w:eastAsia="宋体" w:cs="Times New Roman"/>
                <w:color w:val="000000" w:themeColor="text1"/>
                <w:sz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，大的可达1min数万m</w:t>
            </w:r>
            <w:r>
              <w:rPr>
                <w:rFonts w:hint="default" w:ascii="Times New Roman" w:hAnsi="Times New Roman" w:eastAsia="宋体" w:cs="Times New Roman"/>
                <w:color w:val="000000" w:themeColor="text1"/>
                <w:sz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，减少大气污染物的排放；</w:t>
            </w:r>
          </w:p>
          <w:p w14:paraId="65E8AD5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C.结构简单，维护操作方便；</w:t>
            </w:r>
          </w:p>
          <w:p w14:paraId="3388233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D.在保证同样高除尘效率的前提</w:t>
            </w:r>
            <w:r>
              <w:rPr>
                <w:rFonts w:hint="eastAsia" w:cs="Times New Roman"/>
                <w:color w:val="000000" w:themeColor="text1"/>
                <w:sz w:val="24"/>
                <w:highlight w:val="none"/>
                <w:lang w:val="en-US" w:eastAsia="zh-CN"/>
                <w14:textFill>
                  <w14:solidFill>
                    <w14:schemeClr w14:val="tx1"/>
                  </w14:solidFill>
                </w14:textFill>
              </w:rPr>
              <w:t>下</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，造价低于电除尘器；</w:t>
            </w:r>
          </w:p>
          <w:p w14:paraId="3F38EB2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E.采用玻璃纤维、聚四氟乙烯、P84等耐高温滤料时，可在200℃以上的高温条件下运行；</w:t>
            </w:r>
          </w:p>
          <w:p w14:paraId="192EA1D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F.对粉尘的特性不敏感，不受粉尘及电阻的影响。</w:t>
            </w:r>
          </w:p>
          <w:p w14:paraId="2824657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布袋除尘可以根据颗粒物性质、浓度的不同，采用不同的滤料，例如对于超细粒径粉尘和</w:t>
            </w:r>
            <w:r>
              <w:rPr>
                <w:rFonts w:hint="eastAsia" w:cs="Times New Roman"/>
                <w:color w:val="000000" w:themeColor="text1"/>
                <w:sz w:val="24"/>
                <w:highlight w:val="none"/>
                <w:lang w:val="en-US" w:eastAsia="zh-CN"/>
                <w14:textFill>
                  <w14:solidFill>
                    <w14:schemeClr w14:val="tx1"/>
                  </w14:solidFill>
                </w14:textFill>
              </w:rPr>
              <w:t>黏度</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比较大的粉尘的含尘废气，采用覆膜滤料或在滤袋的表面预覆保护性粉层的滤袋，提高粉尘处理效率和避免糊袋。</w:t>
            </w:r>
          </w:p>
          <w:p w14:paraId="1422503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本项目各产尘点颗粒物初始浓度较大，采用高密度的</w:t>
            </w:r>
            <w:r>
              <w:rPr>
                <w:rFonts w:hint="eastAsia" w:cs="Times New Roman"/>
                <w:color w:val="000000" w:themeColor="text1"/>
                <w:sz w:val="24"/>
                <w:highlight w:val="none"/>
                <w:lang w:val="en-US" w:eastAsia="zh-CN"/>
                <w14:textFill>
                  <w14:solidFill>
                    <w14:schemeClr w14:val="tx1"/>
                  </w14:solidFill>
                </w14:textFill>
              </w:rPr>
              <w:t>布袋除尘器（覆膜袋式）</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，除尘效率在99%以上是可行的，选用布袋除尘适应项目的粉尘污染特点，措施可行。</w:t>
            </w:r>
          </w:p>
          <w:p w14:paraId="504E566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②脱硫</w:t>
            </w:r>
          </w:p>
          <w:p w14:paraId="73A241A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煅烧烟气脱硫采用石灰石-石膏法脱硫工艺，经处理后的废气中二氧化硫排放浓度为</w:t>
            </w:r>
            <w:r>
              <w:rPr>
                <w:rFonts w:hint="eastAsia" w:cs="Times New Roman"/>
                <w:color w:val="000000" w:themeColor="text1"/>
                <w:sz w:val="24"/>
                <w:highlight w:val="none"/>
                <w:lang w:val="en-US" w:eastAsia="zh-CN"/>
                <w14:textFill>
                  <w14:solidFill>
                    <w14:schemeClr w14:val="tx1"/>
                  </w14:solidFill>
                </w14:textFill>
              </w:rPr>
              <w:t>17.48</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mg/Nm</w:t>
            </w:r>
            <w:r>
              <w:rPr>
                <w:rFonts w:hint="default" w:ascii="Times New Roman" w:hAnsi="Times New Roman" w:eastAsia="宋体" w:cs="Times New Roman"/>
                <w:color w:val="000000" w:themeColor="text1"/>
                <w:sz w:val="24"/>
                <w:highlight w:val="none"/>
                <w:vertAlign w:val="superscript"/>
                <w:lang w:val="en-US" w:eastAsia="zh-CN"/>
                <w14:textFill>
                  <w14:solidFill>
                    <w14:schemeClr w14:val="tx1"/>
                  </w14:solidFill>
                </w14:textFill>
              </w:rPr>
              <w:t>3</w:t>
            </w:r>
            <w:r>
              <w:rPr>
                <w:rFonts w:hint="eastAsia" w:cs="Times New Roman"/>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执行《耐火材料工业大气污染物排放标准》（GB46790—2025）</w:t>
            </w:r>
            <w:r>
              <w:rPr>
                <w:rFonts w:hint="eastAsia" w:cs="Times New Roman"/>
                <w:color w:val="000000" w:themeColor="text1"/>
                <w:sz w:val="24"/>
                <w:highlight w:val="none"/>
                <w:lang w:val="en-US" w:eastAsia="zh-CN"/>
                <w14:textFill>
                  <w14:solidFill>
                    <w14:schemeClr w14:val="tx1"/>
                  </w14:solidFill>
                </w14:textFill>
              </w:rPr>
              <w:t>表1的</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大气污染物排放限值</w:t>
            </w:r>
            <w:r>
              <w:rPr>
                <w:rFonts w:hint="eastAsia" w:cs="Times New Roman"/>
                <w:color w:val="000000" w:themeColor="text1"/>
                <w:sz w:val="24"/>
                <w:highlight w:val="none"/>
                <w:lang w:val="en-US" w:eastAsia="zh-CN"/>
                <w14:textFill>
                  <w14:solidFill>
                    <w14:schemeClr w14:val="tx1"/>
                  </w14:solidFill>
                </w14:textFill>
              </w:rPr>
              <w:t>（50</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mg/Nm</w:t>
            </w:r>
            <w:r>
              <w:rPr>
                <w:rFonts w:hint="default" w:ascii="Times New Roman" w:hAnsi="Times New Roman" w:eastAsia="宋体" w:cs="Times New Roman"/>
                <w:color w:val="000000" w:themeColor="text1"/>
                <w:sz w:val="24"/>
                <w:highlight w:val="none"/>
                <w:vertAlign w:val="superscript"/>
                <w:lang w:val="en-US" w:eastAsia="zh-CN"/>
                <w14:textFill>
                  <w14:solidFill>
                    <w14:schemeClr w14:val="tx1"/>
                  </w14:solidFill>
                </w14:textFill>
              </w:rPr>
              <w:t>3</w:t>
            </w:r>
            <w:r>
              <w:rPr>
                <w:rFonts w:hint="eastAsia" w:cs="Times New Roman"/>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，各污染源二氧化硫达标排放。</w:t>
            </w:r>
          </w:p>
          <w:p w14:paraId="4D90268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石灰石-石膏法是采用石灰或乳浊液作为吸收剂脱除废气中的SO</w:t>
            </w:r>
            <w:r>
              <w:rPr>
                <w:rFonts w:hint="default" w:ascii="Times New Roman" w:hAnsi="Times New Roman" w:eastAsia="宋体" w:cs="Times New Roman"/>
                <w:color w:val="000000" w:themeColor="text1"/>
                <w:sz w:val="24"/>
                <w:highlight w:val="none"/>
                <w:vertAlign w:val="subscript"/>
                <w:lang w:val="en-US" w:eastAsia="zh-CN"/>
                <w14:textFill>
                  <w14:solidFill>
                    <w14:schemeClr w14:val="tx1"/>
                  </w14:solidFill>
                </w14:textFill>
              </w:rPr>
              <w:t>2</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，石灰来源广泛，原料易得，且价格低廉，因此石灰石-石膏法仍然是国内外广泛使用的脱硫方法。</w:t>
            </w:r>
          </w:p>
          <w:p w14:paraId="41F6FD0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石灰石-石膏法的基本原理是首先用石灰浆液吸收烟气中的SO</w:t>
            </w:r>
            <w:r>
              <w:rPr>
                <w:rFonts w:hint="default" w:ascii="Times New Roman" w:hAnsi="Times New Roman" w:eastAsia="宋体" w:cs="Times New Roman"/>
                <w:color w:val="000000" w:themeColor="text1"/>
                <w:sz w:val="24"/>
                <w:highlight w:val="none"/>
                <w:vertAlign w:val="subscript"/>
                <w:lang w:val="en-US" w:eastAsia="zh-CN"/>
                <w14:textFill>
                  <w14:solidFill>
                    <w14:schemeClr w14:val="tx1"/>
                  </w14:solidFill>
                </w14:textFill>
              </w:rPr>
              <w:t>2</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生成亚硫酸钙，然后将亚硫酸钙氧化成硫酸钙（石膏）。主要反应如下：</w:t>
            </w:r>
          </w:p>
          <w:p w14:paraId="263CC5A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CaO+H</w:t>
            </w:r>
            <w:r>
              <w:rPr>
                <w:rFonts w:hint="default" w:ascii="Times New Roman" w:hAnsi="Times New Roman" w:eastAsia="宋体" w:cs="Times New Roman"/>
                <w:color w:val="000000" w:themeColor="text1"/>
                <w:sz w:val="24"/>
                <w:highlight w:val="none"/>
                <w:vertAlign w:val="subscript"/>
                <w:lang w:val="en-US" w:eastAsia="zh-CN"/>
                <w14:textFill>
                  <w14:solidFill>
                    <w14:schemeClr w14:val="tx1"/>
                  </w14:solidFill>
                </w14:textFill>
              </w:rPr>
              <w:t>2</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O→Ca</w:t>
            </w:r>
            <w:r>
              <w:rPr>
                <w:rFonts w:hint="eastAsia" w:cs="Times New Roman"/>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OH</w:t>
            </w:r>
            <w:r>
              <w:rPr>
                <w:rFonts w:hint="eastAsia" w:cs="Times New Roman"/>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highlight w:val="none"/>
                <w:vertAlign w:val="subscript"/>
                <w:lang w:val="en-US" w:eastAsia="zh-CN"/>
                <w14:textFill>
                  <w14:solidFill>
                    <w14:schemeClr w14:val="tx1"/>
                  </w14:solidFill>
                </w14:textFill>
              </w:rPr>
              <w:t>2</w:t>
            </w:r>
          </w:p>
          <w:p w14:paraId="3814891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Ca</w:t>
            </w:r>
            <w:r>
              <w:rPr>
                <w:rFonts w:hint="eastAsia" w:cs="Times New Roman"/>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OH</w:t>
            </w:r>
            <w:r>
              <w:rPr>
                <w:rFonts w:hint="eastAsia" w:cs="Times New Roman"/>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₂+SO</w:t>
            </w:r>
            <w:r>
              <w:rPr>
                <w:rFonts w:hint="default" w:ascii="Times New Roman" w:hAnsi="Times New Roman" w:eastAsia="宋体" w:cs="Times New Roman"/>
                <w:color w:val="000000" w:themeColor="text1"/>
                <w:sz w:val="24"/>
                <w:highlight w:val="none"/>
                <w:vertAlign w:val="subscript"/>
                <w:lang w:val="en-US" w:eastAsia="zh-CN"/>
                <w14:textFill>
                  <w14:solidFill>
                    <w14:schemeClr w14:val="tx1"/>
                  </w14:solidFill>
                </w14:textFill>
              </w:rPr>
              <w:t>2</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→CaSO</w:t>
            </w:r>
            <w:r>
              <w:rPr>
                <w:rFonts w:hint="default" w:ascii="Times New Roman" w:hAnsi="Times New Roman" w:eastAsia="宋体" w:cs="Times New Roman"/>
                <w:color w:val="000000" w:themeColor="text1"/>
                <w:sz w:val="24"/>
                <w:highlight w:val="none"/>
                <w:vertAlign w:val="subscript"/>
                <w:lang w:val="en-US" w:eastAsia="zh-CN"/>
                <w14:textFill>
                  <w14:solidFill>
                    <w14:schemeClr w14:val="tx1"/>
                  </w14:solidFill>
                </w14:textFill>
              </w:rPr>
              <w:t>3</w:t>
            </w:r>
          </w:p>
          <w:p w14:paraId="0C82CBB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CaSO</w:t>
            </w:r>
            <w:r>
              <w:rPr>
                <w:rFonts w:hint="default" w:ascii="Times New Roman" w:hAnsi="Times New Roman" w:eastAsia="宋体" w:cs="Times New Roman"/>
                <w:color w:val="000000" w:themeColor="text1"/>
                <w:sz w:val="24"/>
                <w:highlight w:val="none"/>
                <w:vertAlign w:val="subscript"/>
                <w:lang w:val="en-US" w:eastAsia="zh-CN"/>
                <w14:textFill>
                  <w14:solidFill>
                    <w14:schemeClr w14:val="tx1"/>
                  </w14:solidFill>
                </w14:textFill>
              </w:rPr>
              <w:t>3</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+O</w:t>
            </w:r>
            <w:r>
              <w:rPr>
                <w:rFonts w:hint="default" w:ascii="Times New Roman" w:hAnsi="Times New Roman" w:eastAsia="宋体" w:cs="Times New Roman"/>
                <w:color w:val="000000" w:themeColor="text1"/>
                <w:sz w:val="24"/>
                <w:highlight w:val="none"/>
                <w:vertAlign w:val="subscript"/>
                <w:lang w:val="en-US" w:eastAsia="zh-CN"/>
                <w14:textFill>
                  <w14:solidFill>
                    <w14:schemeClr w14:val="tx1"/>
                  </w14:solidFill>
                </w14:textFill>
              </w:rPr>
              <w:t>2</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→CaSO</w:t>
            </w:r>
            <w:r>
              <w:rPr>
                <w:rFonts w:hint="default" w:ascii="Times New Roman" w:hAnsi="Times New Roman" w:eastAsia="宋体" w:cs="Times New Roman"/>
                <w:color w:val="000000" w:themeColor="text1"/>
                <w:sz w:val="24"/>
                <w:highlight w:val="none"/>
                <w:vertAlign w:val="subscript"/>
                <w:lang w:val="en-US" w:eastAsia="zh-CN"/>
                <w14:textFill>
                  <w14:solidFill>
                    <w14:schemeClr w14:val="tx1"/>
                  </w14:solidFill>
                </w14:textFill>
              </w:rPr>
              <w:t>4</w:t>
            </w:r>
          </w:p>
          <w:p w14:paraId="42B61FF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石灰石-石膏法脱硫装置主要由SO</w:t>
            </w:r>
            <w:r>
              <w:rPr>
                <w:rFonts w:hint="default" w:ascii="Times New Roman" w:hAnsi="Times New Roman" w:eastAsia="宋体" w:cs="Times New Roman"/>
                <w:color w:val="000000" w:themeColor="text1"/>
                <w:sz w:val="24"/>
                <w:highlight w:val="none"/>
                <w:vertAlign w:val="subscript"/>
                <w:lang w:val="en-US" w:eastAsia="zh-CN"/>
                <w14:textFill>
                  <w14:solidFill>
                    <w14:schemeClr w14:val="tx1"/>
                  </w14:solidFill>
                </w14:textFill>
              </w:rPr>
              <w:t>2</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，吸收系统、制浆系统、石膏脱水系统、脱硫废水处理系统等组成。</w:t>
            </w:r>
          </w:p>
          <w:p w14:paraId="22ED7BD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外购粒度合格的石灰石成品粉由密封罐装车运至厂内，直接用罐车自带空压机输送至石灰石粉仓内储存，再由旋转给料阀送到石灰石浆液箱内加水或者滤液经搅拌后制成浆液，然后经石灰石浆液泵送至吸收塔浆池。</w:t>
            </w:r>
          </w:p>
          <w:p w14:paraId="025FDAF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本项目脱硫采用的是逆流喷淋吸收塔，烟气由吸收塔进气口进入，在上升过程中与雾状的喷淋下来的浆液逆流接触，浆液中的碳酸钙与烟气中的二氧化硫有效接触，发生化学反应去除大量的SO</w:t>
            </w:r>
            <w:r>
              <w:rPr>
                <w:rFonts w:hint="default" w:ascii="Times New Roman" w:hAnsi="Times New Roman" w:eastAsia="宋体" w:cs="Times New Roman"/>
                <w:color w:val="000000" w:themeColor="text1"/>
                <w:sz w:val="24"/>
                <w:highlight w:val="none"/>
                <w:vertAlign w:val="subscript"/>
                <w:lang w:val="en-US" w:eastAsia="zh-CN"/>
                <w14:textFill>
                  <w14:solidFill>
                    <w14:schemeClr w14:val="tx1"/>
                  </w14:solidFill>
                </w14:textFill>
              </w:rPr>
              <w:t>2</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在塔内脱硫处理后的烟气经排气筒达标排放：脱硫反应生成的脱硫产物在吸收塔浆池中被通入的氧化空气强制反应，生成硫酸钙并在浆池结晶生成二水石英。吸收塔的石膏浆液由石膏排出泵输送至石膏旋流浓缩器，经旋流浓缩器浓缩后的石膏浆液（浓度40%～50%）底流液经真空皮带脱水机给料箱进入真空皮带脱水机进行脱水，脱水后的石膏（含水量小于10%）由汽车外运综合利用；真空皮带脱水机的滤出液部分返回石灰石制浆系统供制浆用；石英旋流浓缩器分离出来的溢流液进入滤液池，一部分返回吸收塔脱硫区浆池，另一部分进入废水旋流器进一步浓缩后排放至脱硫废水处理系统。</w:t>
            </w:r>
          </w:p>
          <w:p w14:paraId="16E3488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石灰石－石膏湿法脱硫工艺具有脱硫效率高、吸收剂利用率高、设备运转率高、工作的可靠性高、脱硫剂－石灰石来源丰富且廉价的特点，是目前最成熟的烟气脱硫工艺。因此，本项目石灰石－石膏湿法脱硫效率取</w:t>
            </w:r>
            <w:r>
              <w:rPr>
                <w:rFonts w:hint="eastAsia" w:cs="Times New Roman"/>
                <w:color w:val="000000" w:themeColor="text1"/>
                <w:sz w:val="24"/>
                <w:highlight w:val="none"/>
                <w:lang w:val="en-US" w:eastAsia="zh-CN"/>
                <w14:textFill>
                  <w14:solidFill>
                    <w14:schemeClr w14:val="tx1"/>
                  </w14:solidFill>
                </w14:textFill>
              </w:rPr>
              <w:t>90</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%是可行的，措施可行。</w:t>
            </w:r>
          </w:p>
          <w:p w14:paraId="25A8283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③脱硝</w:t>
            </w:r>
          </w:p>
          <w:p w14:paraId="7FB35EFB">
            <w:pPr>
              <w:keepNext w:val="0"/>
              <w:keepLines w:val="0"/>
              <w:pageBreakBefore w:val="0"/>
              <w:widowControl w:val="0"/>
              <w:numPr>
                <w:ilvl w:val="0"/>
                <w:numId w:val="5"/>
              </w:numPr>
              <w:kinsoku/>
              <w:wordWrap/>
              <w:overflowPunct/>
              <w:topLinePunct w:val="0"/>
              <w:autoSpaceDE/>
              <w:autoSpaceDN/>
              <w:bidi w:val="0"/>
              <w:adjustRightInd/>
              <w:snapToGrid/>
              <w:spacing w:line="360" w:lineRule="auto"/>
              <w:ind w:firstLine="480" w:firstLineChars="200"/>
              <w:jc w:val="both"/>
              <w:textAlignment w:val="auto"/>
              <w:rPr>
                <w:rFonts w:hint="eastAsia" w:cs="Times New Roman"/>
                <w:color w:val="000000" w:themeColor="text1"/>
                <w:sz w:val="24"/>
                <w:highlight w:val="none"/>
                <w:lang w:val="en-US" w:eastAsia="zh-CN"/>
                <w14:textFill>
                  <w14:solidFill>
                    <w14:schemeClr w14:val="tx1"/>
                  </w14:solidFill>
                </w14:textFill>
              </w:rPr>
            </w:pPr>
            <w:r>
              <w:rPr>
                <w:rFonts w:hint="eastAsia" w:cs="Times New Roman"/>
                <w:color w:val="000000" w:themeColor="text1"/>
                <w:sz w:val="24"/>
                <w:highlight w:val="none"/>
                <w:lang w:val="en-US" w:eastAsia="zh-CN"/>
                <w14:textFill>
                  <w14:solidFill>
                    <w14:schemeClr w14:val="tx1"/>
                  </w14:solidFill>
                </w14:textFill>
              </w:rPr>
              <w:t>低氮燃烧技术</w:t>
            </w:r>
          </w:p>
          <w:p w14:paraId="4792E30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cs="Times New Roman"/>
                <w:color w:val="000000" w:themeColor="text1"/>
                <w:sz w:val="24"/>
                <w:highlight w:val="none"/>
                <w:lang w:val="en-US" w:eastAsia="zh-CN"/>
                <w14:textFill>
                  <w14:solidFill>
                    <w14:schemeClr w14:val="tx1"/>
                  </w14:solidFill>
                </w14:textFill>
              </w:rPr>
            </w:pPr>
            <w:r>
              <w:rPr>
                <w:rFonts w:hint="eastAsia" w:cs="Times New Roman"/>
                <w:color w:val="000000" w:themeColor="text1"/>
                <w:sz w:val="24"/>
                <w:highlight w:val="none"/>
                <w:lang w:val="en-US" w:eastAsia="zh-CN"/>
                <w14:textFill>
                  <w14:solidFill>
                    <w14:schemeClr w14:val="tx1"/>
                  </w14:solidFill>
                </w14:textFill>
              </w:rPr>
              <w:t>热风炉燃烧器采用分级燃烧+缺氧燃烧+烟气再循环（FGR）降氮技术。</w:t>
            </w:r>
          </w:p>
          <w:p w14:paraId="0EF4BAC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cs="Times New Roman"/>
                <w:color w:val="000000" w:themeColor="text1"/>
                <w:sz w:val="24"/>
                <w:highlight w:val="none"/>
                <w:lang w:val="en-US" w:eastAsia="zh-CN"/>
                <w14:textFill>
                  <w14:solidFill>
                    <w14:schemeClr w14:val="tx1"/>
                  </w14:solidFill>
                </w14:textFill>
              </w:rPr>
            </w:pPr>
            <w:r>
              <w:rPr>
                <w:rFonts w:hint="eastAsia" w:cs="Times New Roman"/>
                <w:color w:val="000000" w:themeColor="text1"/>
                <w:sz w:val="24"/>
                <w:highlight w:val="none"/>
                <w:lang w:val="en-US" w:eastAsia="zh-CN"/>
                <w14:textFill>
                  <w14:solidFill>
                    <w14:schemeClr w14:val="tx1"/>
                  </w14:solidFill>
                </w14:textFill>
              </w:rPr>
              <w:t>a.燃烧器设有混合器，空气会分级进入混合器内，空气分四级与燃气混合燃烧，可以有效地降低氮氧化物的生成。</w:t>
            </w:r>
          </w:p>
          <w:p w14:paraId="232DD0F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cs="Times New Roman"/>
                <w:color w:val="000000" w:themeColor="text1"/>
                <w:sz w:val="24"/>
                <w:highlight w:val="none"/>
                <w:lang w:val="en-US" w:eastAsia="zh-CN"/>
                <w14:textFill>
                  <w14:solidFill>
                    <w14:schemeClr w14:val="tx1"/>
                  </w14:solidFill>
                </w14:textFill>
              </w:rPr>
            </w:pPr>
            <w:r>
              <w:rPr>
                <w:rFonts w:hint="eastAsia" w:cs="Times New Roman"/>
                <w:color w:val="000000" w:themeColor="text1"/>
                <w:sz w:val="24"/>
                <w:highlight w:val="none"/>
                <w:lang w:val="en-US" w:eastAsia="zh-CN"/>
                <w14:textFill>
                  <w14:solidFill>
                    <w14:schemeClr w14:val="tx1"/>
                  </w14:solidFill>
                </w14:textFill>
              </w:rPr>
              <w:t>b.在整个系统中，空气通过变频器控制风量，燃气通过调节蝶阀来调节燃气的量，烟气中设有氧含量和一氧化碳探头，通过PLC控制，整个燃烧过程是缺氧燃烧状态，这样燃烧生成的氮氧化物就很低。</w:t>
            </w:r>
          </w:p>
          <w:p w14:paraId="479D1A0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cs="Times New Roman"/>
                <w:color w:val="000000" w:themeColor="text1"/>
                <w:sz w:val="24"/>
                <w:highlight w:val="none"/>
                <w:lang w:val="en-US" w:eastAsia="zh-CN"/>
                <w14:textFill>
                  <w14:solidFill>
                    <w14:schemeClr w14:val="tx1"/>
                  </w14:solidFill>
                </w14:textFill>
              </w:rPr>
            </w:pPr>
            <w:r>
              <w:rPr>
                <w:rFonts w:hint="eastAsia" w:cs="Times New Roman"/>
                <w:color w:val="000000" w:themeColor="text1"/>
                <w:sz w:val="24"/>
                <w:highlight w:val="none"/>
                <w:lang w:val="en-US" w:eastAsia="zh-CN"/>
                <w14:textFill>
                  <w14:solidFill>
                    <w14:schemeClr w14:val="tx1"/>
                  </w14:solidFill>
                </w14:textFill>
              </w:rPr>
              <w:t>c.整个系统采用烟气再循环技术，即在助燃风机的入口，再引入氧含量为8%的烟气，通过PLC进行风门控制，将助燃空气中的氧含量降低到18%～19%，这样火焰中心温度会降低，可以降低30%～40%的氮氧化物生成。</w:t>
            </w:r>
          </w:p>
          <w:p w14:paraId="7BFFD7D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cs="Times New Roman"/>
                <w:color w:val="000000" w:themeColor="text1"/>
                <w:sz w:val="24"/>
                <w:highlight w:val="none"/>
                <w:lang w:val="en-US" w:eastAsia="zh-CN"/>
                <w14:textFill>
                  <w14:solidFill>
                    <w14:schemeClr w14:val="tx1"/>
                  </w14:solidFill>
                </w14:textFill>
              </w:rPr>
            </w:pPr>
            <w:r>
              <w:rPr>
                <w:rFonts w:hint="eastAsia" w:cs="Times New Roman"/>
                <w:color w:val="000000" w:themeColor="text1"/>
                <w:sz w:val="24"/>
                <w:highlight w:val="none"/>
                <w:lang w:val="en-US" w:eastAsia="zh-CN"/>
                <w14:textFill>
                  <w14:solidFill>
                    <w14:schemeClr w14:val="tx1"/>
                  </w14:solidFill>
                </w14:textFill>
              </w:rPr>
              <w:t>最终，氮氧化物排放会降低到180mg/m</w:t>
            </w:r>
            <w:r>
              <w:rPr>
                <w:rFonts w:hint="eastAsia" w:cs="Times New Roman"/>
                <w:color w:val="000000" w:themeColor="text1"/>
                <w:sz w:val="24"/>
                <w:highlight w:val="none"/>
                <w:vertAlign w:val="superscript"/>
                <w:lang w:val="en-US" w:eastAsia="zh-CN"/>
                <w14:textFill>
                  <w14:solidFill>
                    <w14:schemeClr w14:val="tx1"/>
                  </w14:solidFill>
                </w14:textFill>
              </w:rPr>
              <w:t>3</w:t>
            </w:r>
            <w:r>
              <w:rPr>
                <w:rFonts w:hint="eastAsia" w:cs="Times New Roman"/>
                <w:color w:val="000000" w:themeColor="text1"/>
                <w:sz w:val="24"/>
                <w:highlight w:val="none"/>
                <w:lang w:val="en-US" w:eastAsia="zh-CN"/>
                <w14:textFill>
                  <w14:solidFill>
                    <w14:schemeClr w14:val="tx1"/>
                  </w14:solidFill>
                </w14:textFill>
              </w:rPr>
              <w:t>，O</w:t>
            </w:r>
            <w:r>
              <w:rPr>
                <w:rFonts w:hint="eastAsia" w:cs="Times New Roman"/>
                <w:color w:val="000000" w:themeColor="text1"/>
                <w:sz w:val="24"/>
                <w:highlight w:val="none"/>
                <w:vertAlign w:val="subscript"/>
                <w:lang w:val="en-US" w:eastAsia="zh-CN"/>
                <w14:textFill>
                  <w14:solidFill>
                    <w14:schemeClr w14:val="tx1"/>
                  </w14:solidFill>
                </w14:textFill>
              </w:rPr>
              <w:t>2</w:t>
            </w:r>
            <w:r>
              <w:rPr>
                <w:rFonts w:hint="eastAsia" w:cs="Times New Roman"/>
                <w:color w:val="000000" w:themeColor="text1"/>
                <w:sz w:val="24"/>
                <w:highlight w:val="none"/>
                <w:lang w:val="en-US" w:eastAsia="zh-CN"/>
                <w14:textFill>
                  <w14:solidFill>
                    <w14:schemeClr w14:val="tx1"/>
                  </w14:solidFill>
                </w14:textFill>
              </w:rPr>
              <w:t>在8%以下，以减低脱硝设备的负荷。</w:t>
            </w:r>
          </w:p>
          <w:p w14:paraId="28762E0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eastAsia" w:cs="Times New Roman"/>
                <w:color w:val="000000" w:themeColor="text1"/>
                <w:sz w:val="24"/>
                <w:highlight w:val="none"/>
                <w:lang w:val="en-US" w:eastAsia="zh-CN"/>
                <w14:textFill>
                  <w14:solidFill>
                    <w14:schemeClr w14:val="tx1"/>
                  </w14:solidFill>
                </w14:textFill>
              </w:rPr>
              <w:t>本项目采用“</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分级燃烧+缺氧燃烧+烟气再循环（FGR）”组合</w:t>
            </w:r>
            <w:r>
              <w:rPr>
                <w:rFonts w:hint="eastAsia" w:cs="Times New Roman"/>
                <w:color w:val="000000" w:themeColor="text1"/>
                <w:sz w:val="24"/>
                <w:highlight w:val="none"/>
                <w:lang w:val="en-US" w:eastAsia="zh-CN"/>
                <w14:textFill>
                  <w14:solidFill>
                    <w14:schemeClr w14:val="tx1"/>
                  </w14:solidFill>
                </w14:textFill>
              </w:rPr>
              <w:t>低氮燃烧</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脱硝，氮氧化物去除效率在50%</w:t>
            </w:r>
            <w:r>
              <w:rPr>
                <w:rFonts w:hint="eastAsia" w:cs="Times New Roman"/>
                <w:color w:val="000000" w:themeColor="text1"/>
                <w:sz w:val="24"/>
                <w:highlight w:val="none"/>
                <w:lang w:val="en-US" w:eastAsia="zh-CN"/>
                <w14:textFill>
                  <w14:solidFill>
                    <w14:schemeClr w14:val="tx1"/>
                  </w14:solidFill>
                </w14:textFill>
              </w:rPr>
              <w:t>以上</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w:t>
            </w:r>
          </w:p>
          <w:p w14:paraId="4C5C88EF">
            <w:pPr>
              <w:pStyle w:val="9"/>
              <w:spacing w:line="360" w:lineRule="auto"/>
              <w:ind w:left="0" w:leftChars="0" w:firstLine="480" w:firstLineChars="20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B.</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选择性催化还原法（SCR）和选择性非催化还原法（SNCR）两种工艺</w:t>
            </w:r>
          </w:p>
          <w:p w14:paraId="622C67B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目前较常采用的烟气脱硝工艺有选择性催化还原法（SCR）和选择性非催化还原法（SNCR）两种工艺。SCR是利用还原剂催化剂作用下有选择地与烟气中的氮氧化物发生化学反应，生成氮气和水的方法，脱硝效率高，可达90%以上，工艺设备紧凑、运行可靠，还原后生成的氮气放空无二次污染，采用催化剂时其反应温度可控制在300~400℃下进行。SNCR是利用还原剂在不需要催化剂的情况下有选择地与烟气中的氨氧化物发生化学反应，生成氮气和水的方法，脱硝效率约</w:t>
            </w:r>
            <w:r>
              <w:rPr>
                <w:rFonts w:hint="eastAsia" w:cs="Times New Roman"/>
                <w:color w:val="000000" w:themeColor="text1"/>
                <w:sz w:val="24"/>
                <w:highlight w:val="none"/>
                <w:lang w:val="en-US" w:eastAsia="zh-CN"/>
                <w14:textFill>
                  <w14:solidFill>
                    <w14:schemeClr w14:val="tx1"/>
                  </w14:solidFill>
                </w14:textFill>
              </w:rPr>
              <w:t>40</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w:t>
            </w:r>
            <w:r>
              <w:rPr>
                <w:rFonts w:hint="eastAsia" w:cs="Times New Roman"/>
                <w:color w:val="000000" w:themeColor="text1"/>
                <w:sz w:val="24"/>
                <w:highlight w:val="none"/>
                <w:lang w:val="en-US" w:eastAsia="zh-CN"/>
                <w14:textFill>
                  <w14:solidFill>
                    <w14:schemeClr w14:val="tx1"/>
                  </w14:solidFill>
                </w14:textFill>
              </w:rPr>
              <w:t>60</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该方法主要使用含氮的药剂在温度区域870℃~1200℃喷入含氮氧化物的燃烧室中，发生还原反应生成氮气和水，采用SNCR技术，必须达到温度区域在800℃以上，才能保证脱硝效率。根据本项目的设计数据和废气排放温度，本项目采用SNCR脱硝工艺。</w:t>
            </w:r>
          </w:p>
          <w:p w14:paraId="5858FE8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highlight w:val="none"/>
                <w:lang w:bidi="ar"/>
                <w14:textFill>
                  <w14:solidFill>
                    <w14:schemeClr w14:val="tx1"/>
                  </w14:solidFill>
                </w14:textFill>
              </w:rPr>
              <w:t>SNCR脱硝即选择性非催化还原脱硝，是指无催化剂的作用下，在适合脱硝反应的“温度窗口”（850-1100℃）内喷入还原剂将烟气中的氮氧化物还原为无害的氮气和水。SNCR系统配置一套智能实时优化控制系统，采用高效雾化喷枪，分层次布局在分解炉不同位置</w:t>
            </w:r>
            <w:r>
              <w:rPr>
                <w:rFonts w:hint="default" w:ascii="Times New Roman" w:hAnsi="Times New Roman" w:eastAsia="宋体" w:cs="Times New Roman"/>
                <w:color w:val="000000" w:themeColor="text1"/>
                <w:kern w:val="0"/>
                <w:sz w:val="24"/>
                <w:highlight w:val="none"/>
                <w:lang w:eastAsia="zh-CN" w:bidi="ar"/>
                <w14:textFill>
                  <w14:solidFill>
                    <w14:schemeClr w14:val="tx1"/>
                  </w14:solidFill>
                </w14:textFill>
              </w:rPr>
              <w:t>，</w:t>
            </w:r>
            <w:r>
              <w:rPr>
                <w:rFonts w:hint="default" w:ascii="Times New Roman" w:hAnsi="Times New Roman" w:eastAsia="宋体" w:cs="Times New Roman"/>
                <w:color w:val="000000" w:themeColor="text1"/>
                <w:kern w:val="0"/>
                <w:sz w:val="24"/>
                <w:highlight w:val="none"/>
                <w:lang w:bidi="ar"/>
                <w14:textFill>
                  <w14:solidFill>
                    <w14:schemeClr w14:val="tx1"/>
                  </w14:solidFill>
                </w14:textFill>
              </w:rPr>
              <w:t>通过预测系统预测NO</w:t>
            </w:r>
            <w:r>
              <w:rPr>
                <w:rFonts w:hint="default" w:ascii="Times New Roman" w:hAnsi="Times New Roman" w:eastAsia="宋体" w:cs="Times New Roman"/>
                <w:color w:val="000000" w:themeColor="text1"/>
                <w:kern w:val="0"/>
                <w:sz w:val="24"/>
                <w:highlight w:val="none"/>
                <w:vertAlign w:val="subscript"/>
                <w:lang w:bidi="ar"/>
                <w14:textFill>
                  <w14:solidFill>
                    <w14:schemeClr w14:val="tx1"/>
                  </w14:solidFill>
                </w14:textFill>
              </w:rPr>
              <w:t>x</w:t>
            </w:r>
            <w:r>
              <w:rPr>
                <w:rFonts w:hint="default" w:ascii="Times New Roman" w:hAnsi="Times New Roman" w:eastAsia="宋体" w:cs="Times New Roman"/>
                <w:color w:val="000000" w:themeColor="text1"/>
                <w:kern w:val="0"/>
                <w:sz w:val="24"/>
                <w:highlight w:val="none"/>
                <w:lang w:bidi="ar"/>
                <w14:textFill>
                  <w14:solidFill>
                    <w14:schemeClr w14:val="tx1"/>
                  </w14:solidFill>
                </w14:textFill>
              </w:rPr>
              <w:t>含量，结合实时CFD流程模拟，根据温度分布，气流速度，喷射器的喷雾情况，预测系统采用聚类分析的方法建立并实时优化各层喷枪相关优先级模型，独立调整每个喷射器的氨水流量，以最少的氨水（喷入后汽化为氨气）选择性地将烟气中NO</w:t>
            </w:r>
            <w:r>
              <w:rPr>
                <w:rFonts w:hint="default" w:ascii="Times New Roman" w:hAnsi="Times New Roman" w:eastAsia="宋体" w:cs="Times New Roman"/>
                <w:color w:val="000000" w:themeColor="text1"/>
                <w:kern w:val="0"/>
                <w:sz w:val="24"/>
                <w:highlight w:val="none"/>
                <w:vertAlign w:val="subscript"/>
                <w:lang w:bidi="ar"/>
                <w14:textFill>
                  <w14:solidFill>
                    <w14:schemeClr w14:val="tx1"/>
                  </w14:solidFill>
                </w14:textFill>
              </w:rPr>
              <w:t>X</w:t>
            </w:r>
            <w:r>
              <w:rPr>
                <w:rFonts w:hint="default" w:ascii="Times New Roman" w:hAnsi="Times New Roman" w:eastAsia="宋体" w:cs="Times New Roman"/>
                <w:color w:val="000000" w:themeColor="text1"/>
                <w:kern w:val="0"/>
                <w:sz w:val="24"/>
                <w:highlight w:val="none"/>
                <w:lang w:bidi="ar"/>
                <w14:textFill>
                  <w14:solidFill>
                    <w14:schemeClr w14:val="tx1"/>
                  </w14:solidFill>
                </w14:textFill>
              </w:rPr>
              <w:t>还原为N</w:t>
            </w:r>
            <w:r>
              <w:rPr>
                <w:rFonts w:hint="default" w:ascii="Times New Roman" w:hAnsi="Times New Roman" w:eastAsia="宋体" w:cs="Times New Roman"/>
                <w:color w:val="000000" w:themeColor="text1"/>
                <w:kern w:val="0"/>
                <w:sz w:val="24"/>
                <w:highlight w:val="none"/>
                <w:vertAlign w:val="subscript"/>
                <w:lang w:bidi="ar"/>
                <w14:textFill>
                  <w14:solidFill>
                    <w14:schemeClr w14:val="tx1"/>
                  </w14:solidFill>
                </w14:textFill>
              </w:rPr>
              <w:t>2</w:t>
            </w:r>
            <w:r>
              <w:rPr>
                <w:rFonts w:hint="default" w:ascii="Times New Roman" w:hAnsi="Times New Roman" w:eastAsia="宋体" w:cs="Times New Roman"/>
                <w:color w:val="000000" w:themeColor="text1"/>
                <w:kern w:val="0"/>
                <w:sz w:val="24"/>
                <w:highlight w:val="none"/>
                <w:lang w:bidi="ar"/>
                <w14:textFill>
                  <w14:solidFill>
                    <w14:schemeClr w14:val="tx1"/>
                  </w14:solidFill>
                </w14:textFill>
              </w:rPr>
              <w:t>和H</w:t>
            </w:r>
            <w:r>
              <w:rPr>
                <w:rFonts w:hint="default" w:ascii="Times New Roman" w:hAnsi="Times New Roman" w:eastAsia="宋体" w:cs="Times New Roman"/>
                <w:color w:val="000000" w:themeColor="text1"/>
                <w:kern w:val="0"/>
                <w:sz w:val="24"/>
                <w:highlight w:val="none"/>
                <w:vertAlign w:val="subscript"/>
                <w:lang w:bidi="ar"/>
                <w14:textFill>
                  <w14:solidFill>
                    <w14:schemeClr w14:val="tx1"/>
                  </w14:solidFill>
                </w14:textFill>
              </w:rPr>
              <w:t>2</w:t>
            </w:r>
            <w:r>
              <w:rPr>
                <w:rFonts w:hint="default" w:ascii="Times New Roman" w:hAnsi="Times New Roman" w:eastAsia="宋体" w:cs="Times New Roman"/>
                <w:color w:val="000000" w:themeColor="text1"/>
                <w:kern w:val="0"/>
                <w:sz w:val="24"/>
                <w:highlight w:val="none"/>
                <w:lang w:bidi="ar"/>
                <w14:textFill>
                  <w14:solidFill>
                    <w14:schemeClr w14:val="tx1"/>
                  </w14:solidFill>
                </w14:textFill>
              </w:rPr>
              <w:t>O，大幅度降低NO</w:t>
            </w:r>
            <w:r>
              <w:rPr>
                <w:rFonts w:hint="default" w:ascii="Times New Roman" w:hAnsi="Times New Roman" w:eastAsia="宋体" w:cs="Times New Roman"/>
                <w:color w:val="000000" w:themeColor="text1"/>
                <w:kern w:val="0"/>
                <w:sz w:val="24"/>
                <w:highlight w:val="none"/>
                <w:vertAlign w:val="subscript"/>
                <w:lang w:bidi="ar"/>
                <w14:textFill>
                  <w14:solidFill>
                    <w14:schemeClr w14:val="tx1"/>
                  </w14:solidFill>
                </w14:textFill>
              </w:rPr>
              <w:t>X</w:t>
            </w:r>
            <w:r>
              <w:rPr>
                <w:rFonts w:hint="default" w:ascii="Times New Roman" w:hAnsi="Times New Roman" w:eastAsia="宋体" w:cs="Times New Roman"/>
                <w:color w:val="000000" w:themeColor="text1"/>
                <w:kern w:val="0"/>
                <w:sz w:val="24"/>
                <w:highlight w:val="none"/>
                <w:lang w:bidi="ar"/>
                <w14:textFill>
                  <w14:solidFill>
                    <w14:schemeClr w14:val="tx1"/>
                  </w14:solidFill>
                </w14:textFill>
              </w:rPr>
              <w:t>排放浓度，脱除效率可达</w:t>
            </w:r>
            <w:r>
              <w:rPr>
                <w:rFonts w:hint="eastAsia" w:cs="Times New Roman"/>
                <w:color w:val="000000" w:themeColor="text1"/>
                <w:kern w:val="0"/>
                <w:sz w:val="24"/>
                <w:highlight w:val="none"/>
                <w:lang w:eastAsia="zh-CN" w:bidi="ar"/>
                <w14:textFill>
                  <w14:solidFill>
                    <w14:schemeClr w14:val="tx1"/>
                  </w14:solidFill>
                </w14:textFill>
              </w:rPr>
              <w:t>40%～60%</w:t>
            </w:r>
            <w:r>
              <w:rPr>
                <w:rFonts w:hint="default" w:ascii="Times New Roman" w:hAnsi="Times New Roman" w:eastAsia="宋体" w:cs="Times New Roman"/>
                <w:color w:val="000000" w:themeColor="text1"/>
                <w:kern w:val="0"/>
                <w:sz w:val="24"/>
                <w:highlight w:val="none"/>
                <w:lang w:bidi="ar"/>
                <w14:textFill>
                  <w14:solidFill>
                    <w14:schemeClr w14:val="tx1"/>
                  </w14:solidFill>
                </w14:textFill>
              </w:rPr>
              <w:t>。</w:t>
            </w:r>
          </w:p>
          <w:p w14:paraId="1455F90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SNCR</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脱硝技术在各类炉窑上已广泛应用，技术成熟可靠，根据同类工程运行效果来看，脱硝效率</w:t>
            </w:r>
            <w:r>
              <w:rPr>
                <w:rFonts w:hint="eastAsia" w:cs="Times New Roman"/>
                <w:color w:val="000000" w:themeColor="text1"/>
                <w:sz w:val="24"/>
                <w:highlight w:val="none"/>
                <w:lang w:val="en-US" w:eastAsia="zh-CN"/>
                <w14:textFill>
                  <w14:solidFill>
                    <w14:schemeClr w14:val="tx1"/>
                  </w14:solidFill>
                </w14:textFill>
              </w:rPr>
              <w:t>50%</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是可以保证的，经处理后烟气中的氮氧化物排放浓度为</w:t>
            </w:r>
            <w:r>
              <w:rPr>
                <w:rFonts w:hint="eastAsia" w:cs="Times New Roman"/>
                <w:color w:val="000000" w:themeColor="text1"/>
                <w:sz w:val="24"/>
                <w:highlight w:val="none"/>
                <w:lang w:val="en-US" w:eastAsia="zh-CN"/>
                <w14:textFill>
                  <w14:solidFill>
                    <w14:schemeClr w14:val="tx1"/>
                  </w14:solidFill>
                </w14:textFill>
              </w:rPr>
              <w:t>91.55</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mg/m</w:t>
            </w:r>
            <w:r>
              <w:rPr>
                <w:rFonts w:hint="default" w:ascii="Times New Roman" w:hAnsi="Times New Roman" w:eastAsia="宋体" w:cs="Times New Roman"/>
                <w:color w:val="000000" w:themeColor="text1"/>
                <w:sz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4"/>
                <w:highlight w:val="none"/>
                <w:vertAlign w:val="baseline"/>
                <w:lang w:val="en-US" w:eastAsia="zh-CN"/>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煅烧废气中NO</w:t>
            </w:r>
            <w:r>
              <w:rPr>
                <w:rFonts w:hint="default" w:ascii="Times New Roman" w:hAnsi="Times New Roman" w:eastAsia="宋体" w:cs="Times New Roman"/>
                <w:color w:val="000000" w:themeColor="text1"/>
                <w:sz w:val="24"/>
                <w:highlight w:val="none"/>
                <w:vertAlign w:val="subscript"/>
                <w:lang w:val="en-US" w:eastAsia="zh-CN"/>
                <w14:textFill>
                  <w14:solidFill>
                    <w14:schemeClr w14:val="tx1"/>
                  </w14:solidFill>
                </w14:textFill>
              </w:rPr>
              <w:t>X</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排放浓度参照执行</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《耐火材料工业大气污染物排放标准》（GB46790—2025）表</w:t>
            </w:r>
            <w:r>
              <w:rPr>
                <w:rFonts w:hint="eastAsia" w:cs="Times New Roman"/>
                <w:color w:val="000000" w:themeColor="text1"/>
                <w:sz w:val="24"/>
                <w:szCs w:val="24"/>
                <w:highlight w:val="none"/>
                <w:lang w:val="en-US" w:eastAsia="zh-CN"/>
                <w14:textFill>
                  <w14:solidFill>
                    <w14:schemeClr w14:val="tx1"/>
                  </w14:solidFill>
                </w14:textFill>
              </w:rPr>
              <w:t>1</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大气污染物排放标准</w:t>
            </w:r>
            <w:r>
              <w:rPr>
                <w:rFonts w:hint="eastAsia" w:cs="Times New Roman"/>
                <w:color w:val="000000" w:themeColor="text1"/>
                <w:sz w:val="24"/>
                <w:szCs w:val="24"/>
                <w:highlight w:val="none"/>
                <w:lang w:val="en-US" w:eastAsia="zh-CN"/>
                <w14:textFill>
                  <w14:solidFill>
                    <w14:schemeClr w14:val="tx1"/>
                  </w14:solidFill>
                </w14:textFill>
              </w:rPr>
              <w:t>（100</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mg/m</w:t>
            </w:r>
            <w:r>
              <w:rPr>
                <w:rFonts w:hint="default" w:ascii="Times New Roman" w:hAnsi="Times New Roman" w:eastAsia="宋体" w:cs="Times New Roman"/>
                <w:color w:val="000000" w:themeColor="text1"/>
                <w:sz w:val="24"/>
                <w:szCs w:val="24"/>
                <w:highlight w:val="none"/>
                <w:vertAlign w:val="superscript"/>
                <w:lang w:val="en-US" w:eastAsia="zh-CN"/>
                <w14:textFill>
                  <w14:solidFill>
                    <w14:schemeClr w14:val="tx1"/>
                  </w14:solidFill>
                </w14:textFill>
              </w:rPr>
              <w:t>3</w:t>
            </w:r>
            <w:r>
              <w:rPr>
                <w:rFonts w:hint="eastAsia"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达标排放，措施可行。</w:t>
            </w:r>
          </w:p>
          <w:p w14:paraId="3BB455D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2）无组织</w:t>
            </w:r>
          </w:p>
          <w:p w14:paraId="1BF3455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本项目无组织排放污染物主要为颗粒物，产生于</w:t>
            </w:r>
            <w:r>
              <w:rPr>
                <w:rFonts w:hint="eastAsia" w:cs="Times New Roman"/>
                <w:color w:val="000000" w:themeColor="text1"/>
                <w:sz w:val="24"/>
                <w:highlight w:val="none"/>
                <w:lang w:val="en-US" w:eastAsia="zh-CN"/>
                <w14:textFill>
                  <w14:solidFill>
                    <w14:schemeClr w14:val="tx1"/>
                  </w14:solidFill>
                </w14:textFill>
              </w:rPr>
              <w:t>产品包装、产品装卸过程</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时的</w:t>
            </w:r>
            <w:r>
              <w:rPr>
                <w:rFonts w:hint="eastAsia" w:cs="Times New Roman"/>
                <w:color w:val="000000" w:themeColor="text1"/>
                <w:sz w:val="24"/>
                <w:highlight w:val="none"/>
                <w:lang w:val="en-US" w:eastAsia="zh-CN"/>
                <w14:textFill>
                  <w14:solidFill>
                    <w14:schemeClr w14:val="tx1"/>
                  </w14:solidFill>
                </w14:textFill>
              </w:rPr>
              <w:t>少量</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扬尘，扬尘的大小与物料的块度、比重、落差湿度、风向、风速、堆棚的密封程度等诸多因素相关。</w:t>
            </w:r>
          </w:p>
          <w:p w14:paraId="43F47EE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本项目原料贮存和分选等工艺全部采取密封性良好的全封闭筒仓，严禁露天堆放：厂区内物料输送采用密闭皮带（皮带廊道密闭）、管道气力输送；本项目厂区内运输道路均硬化处理，厂区内运输装卸量较大，且易产生扬尘污染，要求配置机械化吸尘式清扫设施，定时对厂区进行清扫、保洁，并定期洒水；为杜绝运输车辆物料的撒落，要求对运输车辆进行厢式车辆运输。要求采用通过上述措施，本项目无组织扬尘将大大降低。</w:t>
            </w:r>
          </w:p>
          <w:p w14:paraId="6CBC5B6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本次评价中原料筒仓、成品转运筒仓在排气孔安装了</w:t>
            </w:r>
            <w:r>
              <w:rPr>
                <w:rFonts w:hint="eastAsia" w:cs="Times New Roman"/>
                <w:color w:val="000000" w:themeColor="text1"/>
                <w:sz w:val="24"/>
                <w:highlight w:val="none"/>
                <w:lang w:val="en-US" w:eastAsia="zh-CN"/>
                <w14:textFill>
                  <w14:solidFill>
                    <w14:schemeClr w14:val="tx1"/>
                  </w14:solidFill>
                </w14:textFill>
              </w:rPr>
              <w:t>布袋除尘器（覆膜袋式）</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，用于处理料仓内部气力进料产生的粉尘。料仓的粉尘上漂进入仓顶</w:t>
            </w:r>
            <w:r>
              <w:rPr>
                <w:rFonts w:hint="eastAsia" w:cs="Times New Roman"/>
                <w:color w:val="000000" w:themeColor="text1"/>
                <w:sz w:val="24"/>
                <w:highlight w:val="none"/>
                <w:lang w:val="en-US" w:eastAsia="zh-CN"/>
                <w14:textFill>
                  <w14:solidFill>
                    <w14:schemeClr w14:val="tx1"/>
                  </w14:solidFill>
                </w14:textFill>
              </w:rPr>
              <w:t>布袋除尘器（覆膜袋式）</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滤室过滤，灰尘</w:t>
            </w:r>
            <w:r>
              <w:rPr>
                <w:rFonts w:hint="eastAsia" w:cs="Times New Roman"/>
                <w:color w:val="000000" w:themeColor="text1"/>
                <w:sz w:val="24"/>
                <w:highlight w:val="none"/>
                <w:lang w:val="en-US" w:eastAsia="zh-CN"/>
                <w14:textFill>
                  <w14:solidFill>
                    <w14:schemeClr w14:val="tx1"/>
                  </w14:solidFill>
                </w14:textFill>
              </w:rPr>
              <w:t>黏附</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在滤筒表面，净气进入滤</w:t>
            </w:r>
            <w:r>
              <w:rPr>
                <w:rFonts w:hint="eastAsia" w:cs="Times New Roman"/>
                <w:color w:val="000000" w:themeColor="text1"/>
                <w:sz w:val="24"/>
                <w:highlight w:val="none"/>
                <w:lang w:val="en-US" w:eastAsia="zh-CN"/>
                <w14:textFill>
                  <w14:solidFill>
                    <w14:schemeClr w14:val="tx1"/>
                  </w14:solidFill>
                </w14:textFill>
              </w:rPr>
              <w:t>袋</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内部，上升到净气室，再由风机排到大气中。根据滤袋外表积灰厚度时间，来设定脉冲清灰时间，当脉冲清灰时脉冲阀打开，压缩空气通过脉冲阀、喷吹管、喷吹嘴、高强的压缩空气喷向滤筒内部，滤筒受到内压速膨，由于除尘设备是正常工作状态清灰的，除尘设备除尘过滤</w:t>
            </w:r>
            <w:r>
              <w:rPr>
                <w:rFonts w:hint="eastAsia" w:cs="Times New Roman"/>
                <w:color w:val="000000" w:themeColor="text1"/>
                <w:sz w:val="24"/>
                <w:highlight w:val="none"/>
                <w:lang w:val="en-US" w:eastAsia="zh-CN"/>
                <w14:textFill>
                  <w14:solidFill>
                    <w14:schemeClr w14:val="tx1"/>
                  </w14:solidFill>
                </w14:textFill>
              </w:rPr>
              <w:t>时</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，而脉冲清灰是正压清灰状态。滤筒受到正的阻力一次接连一次的抖动，把滤袋外表击落在下方灰斗内，通过溜槽返回至料仓内。滤</w:t>
            </w:r>
            <w:r>
              <w:rPr>
                <w:rFonts w:hint="eastAsia" w:cs="Times New Roman"/>
                <w:color w:val="000000" w:themeColor="text1"/>
                <w:sz w:val="24"/>
                <w:highlight w:val="none"/>
                <w:lang w:val="en-US" w:eastAsia="zh-CN"/>
                <w14:textFill>
                  <w14:solidFill>
                    <w14:schemeClr w14:val="tx1"/>
                  </w14:solidFill>
                </w14:textFill>
              </w:rPr>
              <w:t>袋</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采用进口聚酯纤维作为滤料把一层亚微米级的超细纤维黏附在一般滤料上，并且在该黏附层上纤维间的排列非常紧密，极小的筛孔可把大部分亚微米级的尘粒阻挡在滤料表面。</w:t>
            </w:r>
            <w:r>
              <w:rPr>
                <w:rFonts w:hint="eastAsia" w:cs="Times New Roman"/>
                <w:color w:val="000000" w:themeColor="text1"/>
                <w:sz w:val="24"/>
                <w:highlight w:val="none"/>
                <w:lang w:val="en-US" w:eastAsia="zh-CN"/>
                <w14:textFill>
                  <w14:solidFill>
                    <w14:schemeClr w14:val="tx1"/>
                  </w14:solidFill>
                </w14:textFill>
              </w:rPr>
              <w:t>布袋</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除尘器是一种用在料仓中的除尘设备，这种除尘器主要应用于采矿、冶金、建材、机械、化工、粮食加工等工矿企业，并广泛用于过滤气体中细小的，非纤维性的干燥粉尘或在工艺流程中回收干燥粉料的一种除尘设备。</w:t>
            </w:r>
          </w:p>
          <w:p w14:paraId="0D9C48F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同时要加强厂区、厂界的绿化工作，创造清洁生产工艺和文明生产企业，在厂区总体布局中应结合当地气候、土壤条件，加强车间周围及道路两旁的绿化，使厂区绿化面积达到可绿化面积的80%—90%；道路及厂界的防护绿化带能够发挥绿化隔音、除尘的作用，减少粉尘（尤</w:t>
            </w:r>
            <w:r>
              <w:rPr>
                <w:rFonts w:hint="eastAsia" w:cs="Times New Roman"/>
                <w:color w:val="000000" w:themeColor="text1"/>
                <w:sz w:val="24"/>
                <w:highlight w:val="none"/>
                <w:lang w:val="en-US" w:eastAsia="zh-CN"/>
                <w14:textFill>
                  <w14:solidFill>
                    <w14:schemeClr w14:val="tx1"/>
                  </w14:solidFill>
                </w14:textFill>
              </w:rPr>
              <w:t>其是</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无组织面源）对厂外的影响。所有绿化工程应与主体工程同步规划，同步施工，同步完成。</w:t>
            </w:r>
          </w:p>
          <w:p w14:paraId="465A114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以上措施是国内外生产实践中防止粉尘无组织排放而普遍采用、简易可行的成熟的技术和方法，经同类企业实践证明效果亦是较好的，尤其是对物料堆存粉尘的无组织排放的防治效果明显。本项目对上述措施应严格予以实施，措施可行。</w:t>
            </w:r>
          </w:p>
          <w:p w14:paraId="5D70418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煤矸石</w:t>
            </w:r>
            <w:r>
              <w:rPr>
                <w:rFonts w:hint="eastAsia" w:cs="Times New Roman"/>
                <w:color w:val="000000" w:themeColor="text1"/>
                <w:sz w:val="24"/>
                <w:highlight w:val="none"/>
                <w:lang w:val="en-US" w:eastAsia="zh-CN"/>
                <w14:textFill>
                  <w14:solidFill>
                    <w14:schemeClr w14:val="tx1"/>
                  </w14:solidFill>
                </w14:textFill>
              </w:rPr>
              <w:t>粉</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通过气力输到原料仓存储，</w:t>
            </w:r>
            <w:r>
              <w:rPr>
                <w:rFonts w:hint="eastAsia" w:cs="Times New Roman"/>
                <w:color w:val="000000" w:themeColor="text1"/>
                <w:sz w:val="24"/>
                <w:highlight w:val="none"/>
                <w:lang w:val="en-US" w:eastAsia="zh-CN"/>
                <w14:textFill>
                  <w14:solidFill>
                    <w14:schemeClr w14:val="tx1"/>
                  </w14:solidFill>
                </w14:textFill>
              </w:rPr>
              <w:t>原料及产品</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装卸、转运</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及包装</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过程产生的粉尘</w:t>
            </w:r>
            <w:r>
              <w:rPr>
                <w:rFonts w:hint="eastAsia" w:cs="Times New Roman"/>
                <w:color w:val="000000" w:themeColor="text1"/>
                <w:sz w:val="24"/>
                <w:highlight w:val="none"/>
                <w:lang w:val="en-US" w:eastAsia="zh-CN"/>
                <w14:textFill>
                  <w14:solidFill>
                    <w14:schemeClr w14:val="tx1"/>
                  </w14:solidFill>
                </w14:textFill>
              </w:rPr>
              <w:t>收集后经</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布袋除尘器（覆膜袋式）</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除尘后，</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使得</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粉尘无组织排放浓度可以满足《耐火材料工业大气污染物排放标准》（GB46790-2025）表1大气污染物排放限值要求。</w:t>
            </w:r>
          </w:p>
          <w:p w14:paraId="79CE4E9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w:t>
            </w:r>
            <w:r>
              <w:rPr>
                <w:rFonts w:hint="eastAsia" w:cs="Times New Roman"/>
                <w:color w:val="000000" w:themeColor="text1"/>
                <w:sz w:val="24"/>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）大气环境监测计划</w:t>
            </w:r>
          </w:p>
          <w:p w14:paraId="709F516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1）有组织排放监测</w:t>
            </w:r>
          </w:p>
          <w:p w14:paraId="0588BA8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本项目的各排放口均应定期监测，监测活动应做到常态化，监测应委托第三方进行，并由当地环保部门监督检查。参照《排污许可证申请与核发技术规范总则》（HJ942-2018）</w:t>
            </w:r>
            <w:r>
              <w:rPr>
                <w:rFonts w:hint="default" w:ascii="Times New Roman" w:hAnsi="Times New Roman" w:cs="Times New Roman"/>
                <w:color w:val="000000" w:themeColor="text1"/>
                <w:sz w:val="24"/>
                <w:highlight w:val="none"/>
                <w:lang w:val="en-US" w:eastAsia="zh-CN"/>
                <w14:textFill>
                  <w14:solidFill>
                    <w14:schemeClr w14:val="tx1"/>
                  </w14:solidFill>
                </w14:textFill>
              </w:rPr>
              <w:t>、《排污许可证申请与核发技术规范工业炉窑》（HJ1121-2020）</w:t>
            </w:r>
            <w:r>
              <w:rPr>
                <w:rFonts w:hint="eastAsia" w:cs="Times New Roman"/>
                <w:color w:val="000000" w:themeColor="text1"/>
                <w:sz w:val="24"/>
                <w:highlight w:val="none"/>
                <w:lang w:val="en-US" w:eastAsia="zh-CN"/>
                <w14:textFill>
                  <w14:solidFill>
                    <w14:schemeClr w14:val="tx1"/>
                  </w14:solidFill>
                </w14:textFill>
              </w:rPr>
              <w:t>等</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监测要求制定监测计划。</w:t>
            </w:r>
          </w:p>
          <w:p w14:paraId="6FF55F4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①主要大气污染源排放口及监测频次要求</w:t>
            </w:r>
          </w:p>
          <w:p w14:paraId="1933E69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本项目有组织污染源排放口及监测频次要求详见</w:t>
            </w:r>
            <w:r>
              <w:rPr>
                <w:rFonts w:hint="eastAsia" w:cs="Times New Roman"/>
                <w:color w:val="000000" w:themeColor="text1"/>
                <w:sz w:val="24"/>
                <w:highlight w:val="none"/>
                <w:lang w:val="en-US" w:eastAsia="zh-CN"/>
                <w14:textFill>
                  <w14:solidFill>
                    <w14:schemeClr w14:val="tx1"/>
                  </w14:solidFill>
                </w14:textFill>
              </w:rPr>
              <w:t>下</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表。</w:t>
            </w:r>
          </w:p>
          <w:p w14:paraId="203D74A9">
            <w:pPr>
              <w:keepNext w:val="0"/>
              <w:keepLines w:val="0"/>
              <w:pageBreakBefore w:val="0"/>
              <w:widowControl w:val="0"/>
              <w:kinsoku/>
              <w:wordWrap/>
              <w:overflowPunct/>
              <w:topLinePunct w:val="0"/>
              <w:autoSpaceDE/>
              <w:autoSpaceDN/>
              <w:bidi w:val="0"/>
              <w:adjustRightInd/>
              <w:snapToGrid/>
              <w:spacing w:line="240" w:lineRule="auto"/>
              <w:ind w:firstLine="482" w:firstLineChars="200"/>
              <w:jc w:val="center"/>
              <w:textAlignment w:val="auto"/>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t>表4-1</w:t>
            </w:r>
            <w:r>
              <w:rPr>
                <w:rFonts w:hint="eastAsia" w:cs="Times New Roman"/>
                <w:b/>
                <w:bCs/>
                <w:color w:val="000000" w:themeColor="text1"/>
                <w:sz w:val="24"/>
                <w:highlight w:val="none"/>
                <w:lang w:val="en-US" w:eastAsia="zh-CN"/>
                <w14:textFill>
                  <w14:solidFill>
                    <w14:schemeClr w14:val="tx1"/>
                  </w14:solidFill>
                </w14:textFill>
              </w:rPr>
              <w:t>2</w:t>
            </w:r>
            <w:r>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t>本项目有组织污染源及监测频次要求一览表</w:t>
            </w:r>
          </w:p>
          <w:tbl>
            <w:tblPr>
              <w:tblStyle w:val="2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7"/>
              <w:gridCol w:w="2999"/>
              <w:gridCol w:w="916"/>
              <w:gridCol w:w="712"/>
              <w:gridCol w:w="673"/>
              <w:gridCol w:w="1190"/>
              <w:gridCol w:w="576"/>
            </w:tblGrid>
            <w:tr w14:paraId="35EFF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77" w:type="dxa"/>
                  <w:noWrap w:val="0"/>
                  <w:vAlign w:val="center"/>
                </w:tcPr>
                <w:p w14:paraId="74A9F092">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eastAsia="zh-CN"/>
                      <w14:textFill>
                        <w14:solidFill>
                          <w14:schemeClr w14:val="tx1"/>
                        </w14:solidFill>
                      </w14:textFill>
                    </w:rPr>
                    <w:t>名称</w:t>
                  </w:r>
                </w:p>
              </w:tc>
              <w:tc>
                <w:tcPr>
                  <w:tcW w:w="2999" w:type="dxa"/>
                  <w:noWrap w:val="0"/>
                  <w:vAlign w:val="center"/>
                </w:tcPr>
                <w:p w14:paraId="3B98C9E2">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污染物</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种类</w:t>
                  </w:r>
                </w:p>
              </w:tc>
              <w:tc>
                <w:tcPr>
                  <w:tcW w:w="916" w:type="dxa"/>
                  <w:noWrap w:val="0"/>
                  <w:vAlign w:val="center"/>
                </w:tcPr>
                <w:p w14:paraId="0F130A6E">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排气</w:t>
                  </w:r>
                  <w:r>
                    <w:rPr>
                      <w:rFonts w:hint="eastAsia" w:cs="Times New Roman"/>
                      <w:color w:val="000000" w:themeColor="text1"/>
                      <w:sz w:val="24"/>
                      <w:szCs w:val="24"/>
                      <w:highlight w:val="none"/>
                      <w:lang w:val="en-US" w:eastAsia="zh-CN"/>
                      <w14:textFill>
                        <w14:solidFill>
                          <w14:schemeClr w14:val="tx1"/>
                        </w14:solidFill>
                      </w14:textFill>
                    </w:rPr>
                    <w:t>口</w:t>
                  </w:r>
                </w:p>
                <w:p w14:paraId="109849D3">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高度</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m</w:t>
                  </w:r>
                </w:p>
              </w:tc>
              <w:tc>
                <w:tcPr>
                  <w:tcW w:w="712" w:type="dxa"/>
                  <w:noWrap w:val="0"/>
                  <w:vAlign w:val="center"/>
                </w:tcPr>
                <w:p w14:paraId="65CB165D">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内径</w:t>
                  </w:r>
                </w:p>
                <w:p w14:paraId="2ABA3AF0">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m</w:t>
                  </w:r>
                </w:p>
              </w:tc>
              <w:tc>
                <w:tcPr>
                  <w:tcW w:w="673" w:type="dxa"/>
                  <w:noWrap w:val="0"/>
                  <w:vAlign w:val="center"/>
                </w:tcPr>
                <w:p w14:paraId="46481C7F">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温度</w:t>
                  </w:r>
                </w:p>
                <w:p w14:paraId="2FD76DA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w:t>
                  </w:r>
                </w:p>
              </w:tc>
              <w:tc>
                <w:tcPr>
                  <w:tcW w:w="1190" w:type="dxa"/>
                  <w:noWrap w:val="0"/>
                  <w:vAlign w:val="center"/>
                </w:tcPr>
                <w:p w14:paraId="6A3FBE3F">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检测频次</w:t>
                  </w:r>
                </w:p>
              </w:tc>
              <w:tc>
                <w:tcPr>
                  <w:tcW w:w="576" w:type="dxa"/>
                  <w:noWrap w:val="0"/>
                  <w:vAlign w:val="center"/>
                </w:tcPr>
                <w:p w14:paraId="1AD25CE8">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备注</w:t>
                  </w:r>
                </w:p>
              </w:tc>
            </w:tr>
            <w:tr w14:paraId="4DE1F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77" w:type="dxa"/>
                  <w:shd w:val="clear" w:color="auto" w:fill="auto"/>
                  <w:noWrap w:val="0"/>
                  <w:vAlign w:val="center"/>
                </w:tcPr>
                <w:p w14:paraId="7AAEB901">
                  <w:pPr>
                    <w:pStyle w:val="85"/>
                    <w:keepNext w:val="0"/>
                    <w:keepLines w:val="0"/>
                    <w:pageBreakBefore w:val="0"/>
                    <w:widowControl w:val="0"/>
                    <w:kinsoku w:val="0"/>
                    <w:wordWrap/>
                    <w:overflowPunct w:val="0"/>
                    <w:topLinePunct w:val="0"/>
                    <w:bidi w:val="0"/>
                    <w:adjustRightInd/>
                    <w:snapToGrid w:val="0"/>
                    <w:ind w:firstLine="0" w:firstLineChars="0"/>
                    <w:jc w:val="center"/>
                    <w:textAlignment w:val="auto"/>
                    <w:rPr>
                      <w:rFonts w:hint="default" w:ascii="Times New Roman" w:hAnsi="Times New Roman" w:eastAsia="宋体" w:cs="Times New Roman"/>
                      <w:b w:val="0"/>
                      <w:bCs w:val="0"/>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DA006</w:t>
                  </w:r>
                </w:p>
              </w:tc>
              <w:tc>
                <w:tcPr>
                  <w:tcW w:w="2999" w:type="dxa"/>
                  <w:shd w:val="clear" w:color="auto" w:fill="auto"/>
                  <w:noWrap w:val="0"/>
                  <w:vAlign w:val="center"/>
                </w:tcPr>
                <w:p w14:paraId="10FE151F">
                  <w:pPr>
                    <w:keepNext w:val="0"/>
                    <w:keepLines w:val="0"/>
                    <w:pageBreakBefore w:val="0"/>
                    <w:widowControl w:val="0"/>
                    <w:kinsoku/>
                    <w:wordWrap/>
                    <w:overflowPunct/>
                    <w:topLinePunct w:val="0"/>
                    <w:autoSpaceDE/>
                    <w:autoSpaceDN/>
                    <w:bidi w:val="0"/>
                    <w:adjustRightInd/>
                    <w:snapToGrid/>
                    <w:spacing w:line="240" w:lineRule="auto"/>
                    <w:ind w:left="0" w:leftChars="0"/>
                    <w:jc w:val="both"/>
                    <w:textAlignment w:val="auto"/>
                    <w:rPr>
                      <w:rFonts w:hint="default" w:ascii="Times New Roman" w:hAnsi="Times New Roman" w:eastAsia="宋体" w:cs="Times New Roman"/>
                      <w:b w:val="0"/>
                      <w:bCs w:val="0"/>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cs="Times New Roman"/>
                      <w:b w:val="0"/>
                      <w:bCs w:val="0"/>
                      <w:color w:val="000000" w:themeColor="text1"/>
                      <w:kern w:val="0"/>
                      <w:sz w:val="21"/>
                      <w:szCs w:val="21"/>
                      <w:highlight w:val="none"/>
                      <w:lang w:val="en-US" w:eastAsia="zh-CN"/>
                      <w14:textFill>
                        <w14:solidFill>
                          <w14:schemeClr w14:val="tx1"/>
                        </w14:solidFill>
                      </w14:textFill>
                    </w:rPr>
                    <w:t>颗粒物、氮氧化物、二氧化硫</w:t>
                  </w:r>
                  <w:r>
                    <w:rPr>
                      <w:rFonts w:hint="eastAsia" w:cs="Times New Roman"/>
                      <w:b w:val="0"/>
                      <w:bCs w:val="0"/>
                      <w:color w:val="000000" w:themeColor="text1"/>
                      <w:kern w:val="0"/>
                      <w:sz w:val="21"/>
                      <w:szCs w:val="21"/>
                      <w:highlight w:val="none"/>
                      <w:lang w:val="en-US" w:eastAsia="zh-CN"/>
                      <w14:textFill>
                        <w14:solidFill>
                          <w14:schemeClr w14:val="tx1"/>
                        </w14:solidFill>
                      </w14:textFill>
                    </w:rPr>
                    <w:t>、氨气</w:t>
                  </w:r>
                </w:p>
              </w:tc>
              <w:tc>
                <w:tcPr>
                  <w:tcW w:w="916" w:type="dxa"/>
                  <w:shd w:val="clear" w:color="auto" w:fill="auto"/>
                  <w:noWrap w:val="0"/>
                  <w:vAlign w:val="center"/>
                </w:tcPr>
                <w:p w14:paraId="364C144C">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cs="Times New Roman"/>
                      <w:b w:val="0"/>
                      <w:bCs w:val="0"/>
                      <w:color w:val="000000" w:themeColor="text1"/>
                      <w:szCs w:val="21"/>
                      <w:highlight w:val="none"/>
                      <w:lang w:val="en-US" w:eastAsia="zh-CN"/>
                      <w14:textFill>
                        <w14:solidFill>
                          <w14:schemeClr w14:val="tx1"/>
                        </w14:solidFill>
                      </w14:textFill>
                    </w:rPr>
                    <w:t>42</w:t>
                  </w:r>
                </w:p>
              </w:tc>
              <w:tc>
                <w:tcPr>
                  <w:tcW w:w="712" w:type="dxa"/>
                  <w:shd w:val="clear" w:color="auto" w:fill="auto"/>
                  <w:noWrap w:val="0"/>
                  <w:vAlign w:val="center"/>
                </w:tcPr>
                <w:p w14:paraId="71C5B44A">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b w:val="0"/>
                      <w:bCs w:val="0"/>
                      <w:color w:val="000000" w:themeColor="text1"/>
                      <w:kern w:val="0"/>
                      <w:sz w:val="21"/>
                      <w:szCs w:val="21"/>
                      <w:highlight w:val="none"/>
                      <w:lang w:val="en-US" w:eastAsia="zh-CN" w:bidi="ar-SA"/>
                      <w14:textFill>
                        <w14:solidFill>
                          <w14:schemeClr w14:val="tx1"/>
                        </w14:solidFill>
                      </w14:textFill>
                    </w:rPr>
                  </w:pPr>
                  <w:r>
                    <w:rPr>
                      <w:rFonts w:hint="eastAsia" w:cs="Times New Roman"/>
                      <w:b w:val="0"/>
                      <w:bCs w:val="0"/>
                      <w:color w:val="000000" w:themeColor="text1"/>
                      <w:kern w:val="0"/>
                      <w:sz w:val="21"/>
                      <w:szCs w:val="21"/>
                      <w:highlight w:val="none"/>
                      <w:lang w:val="en-US" w:eastAsia="zh-CN"/>
                      <w14:textFill>
                        <w14:solidFill>
                          <w14:schemeClr w14:val="tx1"/>
                        </w14:solidFill>
                      </w14:textFill>
                    </w:rPr>
                    <w:t>1</w:t>
                  </w:r>
                  <w:r>
                    <w:rPr>
                      <w:rFonts w:hint="default" w:ascii="Times New Roman" w:hAnsi="Times New Roman" w:cs="Times New Roman"/>
                      <w:b w:val="0"/>
                      <w:bCs w:val="0"/>
                      <w:color w:val="000000" w:themeColor="text1"/>
                      <w:kern w:val="0"/>
                      <w:sz w:val="21"/>
                      <w:szCs w:val="21"/>
                      <w:highlight w:val="none"/>
                      <w:lang w:val="en-US" w:eastAsia="zh-CN"/>
                      <w14:textFill>
                        <w14:solidFill>
                          <w14:schemeClr w14:val="tx1"/>
                        </w14:solidFill>
                      </w14:textFill>
                    </w:rPr>
                    <w:t>.6</w:t>
                  </w:r>
                </w:p>
              </w:tc>
              <w:tc>
                <w:tcPr>
                  <w:tcW w:w="673" w:type="dxa"/>
                  <w:shd w:val="clear" w:color="auto" w:fill="auto"/>
                  <w:noWrap w:val="0"/>
                  <w:vAlign w:val="center"/>
                </w:tcPr>
                <w:p w14:paraId="71D364C3">
                  <w:pPr>
                    <w:pStyle w:val="85"/>
                    <w:keepNext w:val="0"/>
                    <w:keepLines w:val="0"/>
                    <w:pageBreakBefore w:val="0"/>
                    <w:widowControl w:val="0"/>
                    <w:kinsoku w:val="0"/>
                    <w:wordWrap/>
                    <w:overflowPunct w:val="0"/>
                    <w:topLinePunct w:val="0"/>
                    <w:bidi w:val="0"/>
                    <w:adjustRightInd/>
                    <w:snapToGrid w:val="0"/>
                    <w:ind w:firstLine="0" w:firstLineChars="0"/>
                    <w:jc w:val="center"/>
                    <w:textAlignment w:val="auto"/>
                    <w:rPr>
                      <w:rFonts w:hint="default" w:ascii="Times New Roman" w:hAnsi="Times New Roman" w:eastAsia="宋体" w:cs="Times New Roman"/>
                      <w:b w:val="0"/>
                      <w:bCs w:val="0"/>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lang w:val="en-US" w:eastAsia="zh-CN"/>
                      <w14:textFill>
                        <w14:solidFill>
                          <w14:schemeClr w14:val="tx1"/>
                        </w14:solidFill>
                      </w14:textFill>
                    </w:rPr>
                    <w:t>200</w:t>
                  </w:r>
                </w:p>
              </w:tc>
              <w:tc>
                <w:tcPr>
                  <w:tcW w:w="1190" w:type="dxa"/>
                  <w:shd w:val="clear" w:color="auto" w:fill="auto"/>
                  <w:noWrap w:val="0"/>
                  <w:vAlign w:val="center"/>
                </w:tcPr>
                <w:p w14:paraId="3CA2A78D">
                  <w:pPr>
                    <w:pStyle w:val="85"/>
                    <w:keepNext w:val="0"/>
                    <w:keepLines w:val="0"/>
                    <w:pageBreakBefore w:val="0"/>
                    <w:widowControl w:val="0"/>
                    <w:kinsoku w:val="0"/>
                    <w:wordWrap/>
                    <w:overflowPunct w:val="0"/>
                    <w:topLinePunct w:val="0"/>
                    <w:bidi w:val="0"/>
                    <w:adjustRightInd/>
                    <w:snapToGrid w:val="0"/>
                    <w:ind w:firstLine="0" w:firstLineChars="0"/>
                    <w:jc w:val="center"/>
                    <w:textAlignment w:val="auto"/>
                    <w:rPr>
                      <w:rFonts w:hint="default" w:ascii="Times New Roman" w:hAnsi="Times New Roman" w:eastAsia="宋体" w:cs="Times New Roman"/>
                      <w:b w:val="0"/>
                      <w:bCs w:val="0"/>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1次/年</w:t>
                  </w:r>
                </w:p>
              </w:tc>
              <w:tc>
                <w:tcPr>
                  <w:tcW w:w="576" w:type="dxa"/>
                  <w:noWrap w:val="0"/>
                  <w:vAlign w:val="center"/>
                </w:tcPr>
                <w:p w14:paraId="51FF47DA">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b w:val="0"/>
                      <w:bCs w:val="0"/>
                      <w:color w:val="000000" w:themeColor="text1"/>
                      <w:sz w:val="21"/>
                      <w:szCs w:val="21"/>
                      <w:highlight w:val="none"/>
                      <w14:textFill>
                        <w14:solidFill>
                          <w14:schemeClr w14:val="tx1"/>
                        </w14:solidFill>
                      </w14:textFill>
                    </w:rPr>
                  </w:pPr>
                </w:p>
              </w:tc>
            </w:tr>
          </w:tbl>
          <w:p w14:paraId="542646C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②监测点位</w:t>
            </w:r>
          </w:p>
          <w:p w14:paraId="786070A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eastAsia" w:cs="Times New Roman"/>
                <w:color w:val="000000" w:themeColor="text1"/>
                <w:sz w:val="24"/>
                <w:highlight w:val="none"/>
                <w:lang w:val="en-US" w:eastAsia="zh-CN"/>
                <w14:textFill>
                  <w14:solidFill>
                    <w14:schemeClr w14:val="tx1"/>
                  </w14:solidFill>
                </w14:textFill>
              </w:rPr>
              <w:t>排气</w:t>
            </w:r>
            <w:r>
              <w:rPr>
                <w:rFonts w:hint="eastAsia" w:cs="Times New Roman"/>
                <w:color w:val="000000" w:themeColor="text1"/>
                <w:sz w:val="24"/>
                <w:szCs w:val="24"/>
                <w:highlight w:val="none"/>
                <w:lang w:val="en-US" w:eastAsia="zh-CN"/>
                <w14:textFill>
                  <w14:solidFill>
                    <w14:schemeClr w14:val="tx1"/>
                  </w14:solidFill>
                </w14:textFill>
              </w:rPr>
              <w:t>口</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上监测点位按照GB16297-1996、HJ942-2018、GB/T16157</w:t>
            </w:r>
            <w:r>
              <w:rPr>
                <w:rFonts w:hint="default" w:ascii="Times New Roman" w:hAnsi="Times New Roman" w:cs="Times New Roman"/>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HJ75等技术规范的要求设置。当污染物排放标准中有污染物处理效果要求时，可设置内部监测点位，在进入相应污染物处理设施单元的进出口设置监测点位。</w:t>
            </w:r>
          </w:p>
          <w:p w14:paraId="3F2B6C1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③监测指标</w:t>
            </w:r>
          </w:p>
          <w:p w14:paraId="2D7BE80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颗粒物、SO</w:t>
            </w:r>
            <w:r>
              <w:rPr>
                <w:rFonts w:hint="default" w:ascii="Times New Roman" w:hAnsi="Times New Roman" w:eastAsia="宋体" w:cs="Times New Roman"/>
                <w:color w:val="000000" w:themeColor="text1"/>
                <w:sz w:val="24"/>
                <w:highlight w:val="none"/>
                <w:vertAlign w:val="subscript"/>
                <w:lang w:val="en-US" w:eastAsia="zh-CN"/>
                <w14:textFill>
                  <w14:solidFill>
                    <w14:schemeClr w14:val="tx1"/>
                  </w14:solidFill>
                </w14:textFill>
              </w:rPr>
              <w:t>2</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、NOx</w:t>
            </w:r>
            <w:r>
              <w:rPr>
                <w:rFonts w:hint="eastAsia" w:cs="Times New Roman"/>
                <w:color w:val="000000" w:themeColor="text1"/>
                <w:sz w:val="24"/>
                <w:highlight w:val="none"/>
                <w:lang w:val="en-US" w:eastAsia="zh-CN"/>
                <w14:textFill>
                  <w14:solidFill>
                    <w14:schemeClr w14:val="tx1"/>
                  </w14:solidFill>
                </w14:textFill>
              </w:rPr>
              <w:t>、氨气</w:t>
            </w:r>
          </w:p>
          <w:p w14:paraId="0C83D85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④采样及监测分析方法</w:t>
            </w:r>
          </w:p>
          <w:p w14:paraId="3FD2E79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按照</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《耐火材料工业大气污染物排放标准》（GB46790-2025）</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及GB/T16157、HJ/T397等执行。</w:t>
            </w:r>
          </w:p>
          <w:p w14:paraId="146837E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2）无组织排放监测</w:t>
            </w:r>
          </w:p>
          <w:p w14:paraId="653EAD5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本项目无组织排放监控方案（厂界边界无组织排放监控点：上风向一个点，下风向三个点：监测指标为：颗粒物，监测频次：每年至少开展1次监测）。</w:t>
            </w:r>
          </w:p>
          <w:p w14:paraId="2E82FFD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w:t>
            </w:r>
            <w:r>
              <w:rPr>
                <w:rFonts w:hint="eastAsia" w:cs="Times New Roman"/>
                <w:color w:val="000000" w:themeColor="text1"/>
                <w:sz w:val="24"/>
                <w:highlight w:val="none"/>
                <w:lang w:val="en-US" w:eastAsia="zh-CN"/>
                <w14:textFill>
                  <w14:solidFill>
                    <w14:schemeClr w14:val="tx1"/>
                  </w14:solidFill>
                </w14:textFill>
              </w:rPr>
              <w:t>6</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）排放口基本情况</w:t>
            </w:r>
          </w:p>
          <w:p w14:paraId="733CDF7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highlight w:val="none"/>
                <w:lang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本项目排放口基本情</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况见下表。</w:t>
            </w:r>
          </w:p>
          <w:p w14:paraId="0AEB2CEF">
            <w:pPr>
              <w:pStyle w:val="8"/>
              <w:tabs>
                <w:tab w:val="left" w:pos="1180"/>
                <w:tab w:val="center" w:pos="4535"/>
              </w:tabs>
              <w:ind w:firstLineChars="200"/>
              <w:jc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eastAsia="宋体" w:cs="Times New Roman"/>
                <w:b/>
                <w:color w:val="000000" w:themeColor="text1"/>
                <w:highlight w:val="none"/>
                <w:lang w:eastAsia="zh-CN"/>
                <w14:textFill>
                  <w14:solidFill>
                    <w14:schemeClr w14:val="tx1"/>
                  </w14:solidFill>
                </w14:textFill>
              </w:rPr>
              <w:t>表</w:t>
            </w:r>
            <w:r>
              <w:rPr>
                <w:rFonts w:hint="default" w:ascii="Times New Roman" w:hAnsi="Times New Roman" w:eastAsia="宋体" w:cs="Times New Roman"/>
                <w:b/>
                <w:color w:val="000000" w:themeColor="text1"/>
                <w:highlight w:val="none"/>
                <w:lang w:val="en-US" w:eastAsia="zh-CN"/>
                <w14:textFill>
                  <w14:solidFill>
                    <w14:schemeClr w14:val="tx1"/>
                  </w14:solidFill>
                </w14:textFill>
              </w:rPr>
              <w:t>4-1</w:t>
            </w:r>
            <w:r>
              <w:rPr>
                <w:rFonts w:hint="eastAsia" w:cs="Times New Roman"/>
                <w:b/>
                <w:color w:val="000000" w:themeColor="text1"/>
                <w:highlight w:val="none"/>
                <w:lang w:val="en-US" w:eastAsia="zh-CN"/>
                <w14:textFill>
                  <w14:solidFill>
                    <w14:schemeClr w14:val="tx1"/>
                  </w14:solidFill>
                </w14:textFill>
              </w:rPr>
              <w:t>3</w:t>
            </w:r>
            <w:r>
              <w:rPr>
                <w:rFonts w:hint="default" w:ascii="Times New Roman" w:hAnsi="Times New Roman" w:eastAsia="宋体" w:cs="Times New Roman"/>
                <w:b/>
                <w:color w:val="000000" w:themeColor="text1"/>
                <w:highlight w:val="none"/>
                <w:lang w:eastAsia="zh-CN"/>
                <w14:textFill>
                  <w14:solidFill>
                    <w14:schemeClr w14:val="tx1"/>
                  </w14:solidFill>
                </w14:textFill>
              </w:rPr>
              <w:t>排</w:t>
            </w:r>
            <w:r>
              <w:rPr>
                <w:rFonts w:hint="default" w:ascii="Times New Roman" w:hAnsi="Times New Roman" w:cs="Times New Roman"/>
                <w:b/>
                <w:color w:val="000000" w:themeColor="text1"/>
                <w:highlight w:val="none"/>
                <w:lang w:eastAsia="zh-CN"/>
                <w14:textFill>
                  <w14:solidFill>
                    <w14:schemeClr w14:val="tx1"/>
                  </w14:solidFill>
                </w14:textFill>
              </w:rPr>
              <w:t>放口基本</w:t>
            </w:r>
            <w:r>
              <w:rPr>
                <w:rFonts w:hint="default" w:ascii="Times New Roman" w:hAnsi="Times New Roman" w:cs="Times New Roman"/>
                <w:b/>
                <w:color w:val="000000" w:themeColor="text1"/>
                <w:highlight w:val="none"/>
                <w14:textFill>
                  <w14:solidFill>
                    <w14:schemeClr w14:val="tx1"/>
                  </w14:solidFill>
                </w14:textFill>
              </w:rPr>
              <w:t>情况一览表</w:t>
            </w:r>
          </w:p>
          <w:tbl>
            <w:tblPr>
              <w:tblStyle w:val="2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0"/>
              <w:gridCol w:w="2145"/>
              <w:gridCol w:w="971"/>
              <w:gridCol w:w="798"/>
              <w:gridCol w:w="815"/>
              <w:gridCol w:w="1581"/>
              <w:gridCol w:w="673"/>
            </w:tblGrid>
            <w:tr w14:paraId="7B27B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60" w:type="dxa"/>
                  <w:noWrap w:val="0"/>
                  <w:vAlign w:val="center"/>
                </w:tcPr>
                <w:p w14:paraId="2B628B07">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eastAsia="zh-CN"/>
                      <w14:textFill>
                        <w14:solidFill>
                          <w14:schemeClr w14:val="tx1"/>
                        </w14:solidFill>
                      </w14:textFill>
                    </w:rPr>
                    <w:t>名称</w:t>
                  </w:r>
                </w:p>
              </w:tc>
              <w:tc>
                <w:tcPr>
                  <w:tcW w:w="2145" w:type="dxa"/>
                  <w:noWrap w:val="0"/>
                  <w:vAlign w:val="center"/>
                </w:tcPr>
                <w:p w14:paraId="0303F2CD">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污染物</w:t>
                  </w:r>
                </w:p>
                <w:p w14:paraId="2B3DE6DD">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种类</w:t>
                  </w:r>
                </w:p>
              </w:tc>
              <w:tc>
                <w:tcPr>
                  <w:tcW w:w="971" w:type="dxa"/>
                  <w:noWrap w:val="0"/>
                  <w:vAlign w:val="center"/>
                </w:tcPr>
                <w:p w14:paraId="0D92A1CC">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排气</w:t>
                  </w:r>
                  <w:r>
                    <w:rPr>
                      <w:rFonts w:hint="eastAsia" w:cs="Times New Roman"/>
                      <w:color w:val="000000" w:themeColor="text1"/>
                      <w:sz w:val="24"/>
                      <w:szCs w:val="24"/>
                      <w:highlight w:val="none"/>
                      <w:lang w:val="en-US" w:eastAsia="zh-CN"/>
                      <w14:textFill>
                        <w14:solidFill>
                          <w14:schemeClr w14:val="tx1"/>
                        </w14:solidFill>
                      </w14:textFill>
                    </w:rPr>
                    <w:t>口</w:t>
                  </w:r>
                </w:p>
                <w:p w14:paraId="0C68C387">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高度</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m</w:t>
                  </w:r>
                </w:p>
              </w:tc>
              <w:tc>
                <w:tcPr>
                  <w:tcW w:w="798" w:type="dxa"/>
                  <w:noWrap w:val="0"/>
                  <w:vAlign w:val="center"/>
                </w:tcPr>
                <w:p w14:paraId="42D5DC9D">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内径</w:t>
                  </w:r>
                </w:p>
                <w:p w14:paraId="1B4143EC">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m</w:t>
                  </w:r>
                </w:p>
              </w:tc>
              <w:tc>
                <w:tcPr>
                  <w:tcW w:w="815" w:type="dxa"/>
                  <w:noWrap w:val="0"/>
                  <w:vAlign w:val="center"/>
                </w:tcPr>
                <w:p w14:paraId="22BB4036">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温度</w:t>
                  </w:r>
                </w:p>
                <w:p w14:paraId="03255492">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w:t>
                  </w:r>
                </w:p>
              </w:tc>
              <w:tc>
                <w:tcPr>
                  <w:tcW w:w="1581" w:type="dxa"/>
                  <w:noWrap w:val="0"/>
                  <w:vAlign w:val="center"/>
                </w:tcPr>
                <w:p w14:paraId="7D69D5A5">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排放口</w:t>
                  </w:r>
                </w:p>
                <w:p w14:paraId="44DC6267">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类型</w:t>
                  </w:r>
                </w:p>
              </w:tc>
              <w:tc>
                <w:tcPr>
                  <w:tcW w:w="673" w:type="dxa"/>
                  <w:noWrap w:val="0"/>
                  <w:vAlign w:val="center"/>
                </w:tcPr>
                <w:p w14:paraId="4FC50C5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备注</w:t>
                  </w:r>
                </w:p>
              </w:tc>
            </w:tr>
            <w:tr w14:paraId="2D33E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60" w:type="dxa"/>
                  <w:shd w:val="clear" w:color="auto" w:fill="auto"/>
                  <w:noWrap w:val="0"/>
                  <w:vAlign w:val="center"/>
                </w:tcPr>
                <w:p w14:paraId="5F78293B">
                  <w:pPr>
                    <w:pStyle w:val="85"/>
                    <w:keepNext w:val="0"/>
                    <w:keepLines w:val="0"/>
                    <w:pageBreakBefore w:val="0"/>
                    <w:widowControl w:val="0"/>
                    <w:kinsoku w:val="0"/>
                    <w:wordWrap/>
                    <w:overflowPunct w:val="0"/>
                    <w:topLinePunct w:val="0"/>
                    <w:bidi w:val="0"/>
                    <w:adjustRightInd/>
                    <w:snapToGrid w:val="0"/>
                    <w:ind w:firstLine="0" w:firstLineChars="0"/>
                    <w:jc w:val="center"/>
                    <w:textAlignment w:val="auto"/>
                    <w:rPr>
                      <w:rFonts w:hint="default" w:ascii="Times New Roman" w:hAnsi="Times New Roman" w:eastAsia="宋体" w:cs="Times New Roman"/>
                      <w:b w:val="0"/>
                      <w:bCs w:val="0"/>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DA006</w:t>
                  </w:r>
                </w:p>
              </w:tc>
              <w:tc>
                <w:tcPr>
                  <w:tcW w:w="2145" w:type="dxa"/>
                  <w:shd w:val="clear" w:color="auto" w:fill="auto"/>
                  <w:noWrap w:val="0"/>
                  <w:vAlign w:val="center"/>
                </w:tcPr>
                <w:p w14:paraId="3C31E9C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b w:val="0"/>
                      <w:bCs w:val="0"/>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cs="Times New Roman"/>
                      <w:b w:val="0"/>
                      <w:bCs w:val="0"/>
                      <w:color w:val="000000" w:themeColor="text1"/>
                      <w:kern w:val="0"/>
                      <w:sz w:val="21"/>
                      <w:szCs w:val="21"/>
                      <w:highlight w:val="none"/>
                      <w:lang w:val="en-US" w:eastAsia="zh-CN"/>
                      <w14:textFill>
                        <w14:solidFill>
                          <w14:schemeClr w14:val="tx1"/>
                        </w14:solidFill>
                      </w14:textFill>
                    </w:rPr>
                    <w:t>颗粒物、氮氧化物、二氧化硫</w:t>
                  </w:r>
                  <w:r>
                    <w:rPr>
                      <w:rFonts w:hint="eastAsia" w:cs="Times New Roman"/>
                      <w:b w:val="0"/>
                      <w:bCs w:val="0"/>
                      <w:color w:val="000000" w:themeColor="text1"/>
                      <w:kern w:val="0"/>
                      <w:sz w:val="21"/>
                      <w:szCs w:val="21"/>
                      <w:highlight w:val="none"/>
                      <w:lang w:val="en-US" w:eastAsia="zh-CN"/>
                      <w14:textFill>
                        <w14:solidFill>
                          <w14:schemeClr w14:val="tx1"/>
                        </w14:solidFill>
                      </w14:textFill>
                    </w:rPr>
                    <w:t>、氨气</w:t>
                  </w:r>
                </w:p>
              </w:tc>
              <w:tc>
                <w:tcPr>
                  <w:tcW w:w="971" w:type="dxa"/>
                  <w:shd w:val="clear" w:color="auto" w:fill="auto"/>
                  <w:noWrap w:val="0"/>
                  <w:vAlign w:val="center"/>
                </w:tcPr>
                <w:p w14:paraId="4C251593">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cs="Times New Roman"/>
                      <w:b w:val="0"/>
                      <w:bCs w:val="0"/>
                      <w:color w:val="000000" w:themeColor="text1"/>
                      <w:szCs w:val="21"/>
                      <w:highlight w:val="none"/>
                      <w:lang w:val="en-US" w:eastAsia="zh-CN"/>
                      <w14:textFill>
                        <w14:solidFill>
                          <w14:schemeClr w14:val="tx1"/>
                        </w14:solidFill>
                      </w14:textFill>
                    </w:rPr>
                    <w:t>42</w:t>
                  </w:r>
                </w:p>
              </w:tc>
              <w:tc>
                <w:tcPr>
                  <w:tcW w:w="798" w:type="dxa"/>
                  <w:shd w:val="clear" w:color="auto" w:fill="auto"/>
                  <w:noWrap w:val="0"/>
                  <w:vAlign w:val="center"/>
                </w:tcPr>
                <w:p w14:paraId="1DE06046">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b w:val="0"/>
                      <w:bCs w:val="0"/>
                      <w:color w:val="000000" w:themeColor="text1"/>
                      <w:kern w:val="0"/>
                      <w:sz w:val="21"/>
                      <w:szCs w:val="21"/>
                      <w:highlight w:val="none"/>
                      <w:lang w:val="en-US" w:eastAsia="zh-CN" w:bidi="ar-SA"/>
                      <w14:textFill>
                        <w14:solidFill>
                          <w14:schemeClr w14:val="tx1"/>
                        </w14:solidFill>
                      </w14:textFill>
                    </w:rPr>
                  </w:pPr>
                  <w:r>
                    <w:rPr>
                      <w:rFonts w:hint="eastAsia" w:cs="Times New Roman"/>
                      <w:b w:val="0"/>
                      <w:bCs w:val="0"/>
                      <w:color w:val="000000" w:themeColor="text1"/>
                      <w:kern w:val="0"/>
                      <w:sz w:val="21"/>
                      <w:szCs w:val="21"/>
                      <w:highlight w:val="none"/>
                      <w:lang w:val="en-US" w:eastAsia="zh-CN"/>
                      <w14:textFill>
                        <w14:solidFill>
                          <w14:schemeClr w14:val="tx1"/>
                        </w14:solidFill>
                      </w14:textFill>
                    </w:rPr>
                    <w:t>1</w:t>
                  </w:r>
                  <w:r>
                    <w:rPr>
                      <w:rFonts w:hint="default" w:ascii="Times New Roman" w:hAnsi="Times New Roman" w:cs="Times New Roman"/>
                      <w:b w:val="0"/>
                      <w:bCs w:val="0"/>
                      <w:color w:val="000000" w:themeColor="text1"/>
                      <w:kern w:val="0"/>
                      <w:sz w:val="21"/>
                      <w:szCs w:val="21"/>
                      <w:highlight w:val="none"/>
                      <w:lang w:val="en-US" w:eastAsia="zh-CN"/>
                      <w14:textFill>
                        <w14:solidFill>
                          <w14:schemeClr w14:val="tx1"/>
                        </w14:solidFill>
                      </w14:textFill>
                    </w:rPr>
                    <w:t>.6</w:t>
                  </w:r>
                </w:p>
              </w:tc>
              <w:tc>
                <w:tcPr>
                  <w:tcW w:w="815" w:type="dxa"/>
                  <w:shd w:val="clear" w:color="auto" w:fill="auto"/>
                  <w:noWrap w:val="0"/>
                  <w:vAlign w:val="center"/>
                </w:tcPr>
                <w:p w14:paraId="170D3680">
                  <w:pPr>
                    <w:pStyle w:val="85"/>
                    <w:keepNext w:val="0"/>
                    <w:keepLines w:val="0"/>
                    <w:pageBreakBefore w:val="0"/>
                    <w:widowControl w:val="0"/>
                    <w:kinsoku w:val="0"/>
                    <w:wordWrap/>
                    <w:overflowPunct w:val="0"/>
                    <w:topLinePunct w:val="0"/>
                    <w:bidi w:val="0"/>
                    <w:adjustRightInd/>
                    <w:snapToGrid w:val="0"/>
                    <w:ind w:firstLine="0" w:firstLineChars="0"/>
                    <w:jc w:val="center"/>
                    <w:textAlignment w:val="auto"/>
                    <w:rPr>
                      <w:rFonts w:hint="default" w:ascii="Times New Roman" w:hAnsi="Times New Roman" w:eastAsia="宋体" w:cs="Times New Roman"/>
                      <w:b w:val="0"/>
                      <w:bCs w:val="0"/>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lang w:val="en-US" w:eastAsia="zh-CN"/>
                      <w14:textFill>
                        <w14:solidFill>
                          <w14:schemeClr w14:val="tx1"/>
                        </w14:solidFill>
                      </w14:textFill>
                    </w:rPr>
                    <w:t>200</w:t>
                  </w:r>
                </w:p>
              </w:tc>
              <w:tc>
                <w:tcPr>
                  <w:tcW w:w="1581" w:type="dxa"/>
                  <w:shd w:val="clear" w:color="auto" w:fill="auto"/>
                  <w:noWrap w:val="0"/>
                  <w:vAlign w:val="center"/>
                </w:tcPr>
                <w:p w14:paraId="3EC459D4">
                  <w:pPr>
                    <w:pStyle w:val="85"/>
                    <w:keepNext w:val="0"/>
                    <w:keepLines w:val="0"/>
                    <w:pageBreakBefore w:val="0"/>
                    <w:widowControl w:val="0"/>
                    <w:kinsoku w:val="0"/>
                    <w:wordWrap/>
                    <w:overflowPunct w:val="0"/>
                    <w:topLinePunct w:val="0"/>
                    <w:bidi w:val="0"/>
                    <w:adjustRightInd/>
                    <w:snapToGrid w:val="0"/>
                    <w:ind w:firstLine="0" w:firstLineChars="0"/>
                    <w:jc w:val="center"/>
                    <w:textAlignment w:val="auto"/>
                    <w:rPr>
                      <w:rFonts w:hint="default" w:ascii="Times New Roman" w:hAnsi="Times New Roman" w:eastAsia="宋体" w:cs="Times New Roman"/>
                      <w:b w:val="0"/>
                      <w:bCs w:val="0"/>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lang w:val="en-US" w:eastAsia="zh-CN"/>
                      <w14:textFill>
                        <w14:solidFill>
                          <w14:schemeClr w14:val="tx1"/>
                        </w14:solidFill>
                      </w14:textFill>
                    </w:rPr>
                    <w:t>主要</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排放口</w:t>
                  </w:r>
                </w:p>
              </w:tc>
              <w:tc>
                <w:tcPr>
                  <w:tcW w:w="673" w:type="dxa"/>
                  <w:noWrap w:val="0"/>
                  <w:vAlign w:val="center"/>
                </w:tcPr>
                <w:p w14:paraId="20C2A992">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b w:val="0"/>
                      <w:bCs w:val="0"/>
                      <w:color w:val="000000" w:themeColor="text1"/>
                      <w:sz w:val="21"/>
                      <w:szCs w:val="21"/>
                      <w:highlight w:val="none"/>
                      <w14:textFill>
                        <w14:solidFill>
                          <w14:schemeClr w14:val="tx1"/>
                        </w14:solidFill>
                      </w14:textFill>
                    </w:rPr>
                  </w:pPr>
                </w:p>
              </w:tc>
            </w:tr>
          </w:tbl>
          <w:p w14:paraId="2BCFD70F">
            <w:pPr>
              <w:pStyle w:val="14"/>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综上所述，本项目运营期产生的废气均得到有效处置，不会对环境造成二次污染，对周围环境影响不大。</w:t>
            </w:r>
          </w:p>
          <w:p w14:paraId="1C400454">
            <w:pPr>
              <w:keepNext w:val="0"/>
              <w:keepLines w:val="0"/>
              <w:pageBreakBefore w:val="0"/>
              <w:widowControl/>
              <w:kinsoku/>
              <w:wordWrap/>
              <w:overflowPunct/>
              <w:topLinePunct w:val="0"/>
              <w:autoSpaceDE/>
              <w:autoSpaceDN/>
              <w:bidi w:val="0"/>
              <w:adjustRightInd/>
              <w:snapToGrid/>
              <w:spacing w:line="360" w:lineRule="auto"/>
              <w:ind w:firstLine="482"/>
              <w:jc w:val="both"/>
              <w:textAlignment w:val="auto"/>
              <w:outlineLvl w:val="1"/>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4"/>
                <w:highlight w:val="none"/>
                <w:lang w:eastAsia="zh-CN"/>
                <w14:textFill>
                  <w14:solidFill>
                    <w14:schemeClr w14:val="tx1"/>
                  </w14:solidFill>
                </w14:textFill>
              </w:rPr>
              <w:t>2.</w:t>
            </w:r>
            <w:r>
              <w:rPr>
                <w:rFonts w:hint="default" w:ascii="Times New Roman" w:hAnsi="Times New Roman" w:eastAsia="宋体" w:cs="Times New Roman"/>
                <w:b/>
                <w:bCs/>
                <w:color w:val="000000" w:themeColor="text1"/>
                <w:sz w:val="24"/>
                <w:highlight w:val="none"/>
                <w14:textFill>
                  <w14:solidFill>
                    <w14:schemeClr w14:val="tx1"/>
                  </w14:solidFill>
                </w14:textFill>
              </w:rPr>
              <w:t>水环境影响分析</w:t>
            </w:r>
            <w:r>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t>及环境保护措施</w:t>
            </w:r>
          </w:p>
          <w:p w14:paraId="7294C37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（1）</w:t>
            </w:r>
            <w:r>
              <w:rPr>
                <w:rFonts w:hint="default" w:ascii="Times New Roman" w:hAnsi="Times New Roman" w:eastAsia="宋体" w:cs="Times New Roman"/>
                <w:color w:val="000000" w:themeColor="text1"/>
                <w:sz w:val="24"/>
                <w:szCs w:val="24"/>
                <w:highlight w:val="none"/>
                <w14:textFill>
                  <w14:solidFill>
                    <w14:schemeClr w14:val="tx1"/>
                  </w14:solidFill>
                </w14:textFill>
              </w:rPr>
              <w:t>水污染源及其影响分析</w:t>
            </w:r>
          </w:p>
          <w:p w14:paraId="2342F7B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项目运营期废水源强见</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下</w:t>
            </w:r>
            <w:r>
              <w:rPr>
                <w:rFonts w:hint="default" w:ascii="Times New Roman" w:hAnsi="Times New Roman" w:eastAsia="宋体" w:cs="Times New Roman"/>
                <w:color w:val="000000" w:themeColor="text1"/>
                <w:sz w:val="24"/>
                <w:szCs w:val="24"/>
                <w:highlight w:val="none"/>
                <w14:textFill>
                  <w14:solidFill>
                    <w14:schemeClr w14:val="tx1"/>
                  </w14:solidFill>
                </w14:textFill>
              </w:rPr>
              <w:t>表。</w:t>
            </w:r>
          </w:p>
          <w:p w14:paraId="76EABDF9">
            <w:pPr>
              <w:keepNext w:val="0"/>
              <w:keepLines w:val="0"/>
              <w:pageBreakBefore w:val="0"/>
              <w:widowControl w:val="0"/>
              <w:kinsoku/>
              <w:wordWrap/>
              <w:overflowPunct/>
              <w:topLinePunct w:val="0"/>
              <w:autoSpaceDE/>
              <w:autoSpaceDN/>
              <w:bidi w:val="0"/>
              <w:adjustRightInd/>
              <w:snapToGrid/>
              <w:spacing w:line="240" w:lineRule="auto"/>
              <w:ind w:firstLine="466" w:firstLineChars="200"/>
              <w:jc w:val="center"/>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cs="Times New Roman"/>
                <w:b/>
                <w:bCs/>
                <w:color w:val="000000" w:themeColor="text1"/>
                <w:spacing w:val="-4"/>
                <w:sz w:val="24"/>
                <w:szCs w:val="24"/>
                <w:highlight w:val="none"/>
                <w14:textFill>
                  <w14:solidFill>
                    <w14:schemeClr w14:val="tx1"/>
                  </w14:solidFill>
                </w14:textFill>
              </w:rPr>
              <w:t>表4</w:t>
            </w:r>
            <w:r>
              <w:rPr>
                <w:rFonts w:hint="default" w:ascii="Times New Roman" w:hAnsi="Times New Roman" w:cs="Times New Roman"/>
                <w:b/>
                <w:bCs/>
                <w:color w:val="000000" w:themeColor="text1"/>
                <w:spacing w:val="-4"/>
                <w:sz w:val="24"/>
                <w:szCs w:val="24"/>
                <w:highlight w:val="none"/>
                <w:lang w:val="en-US" w:eastAsia="zh-CN"/>
                <w14:textFill>
                  <w14:solidFill>
                    <w14:schemeClr w14:val="tx1"/>
                  </w14:solidFill>
                </w14:textFill>
              </w:rPr>
              <w:t>-1</w:t>
            </w:r>
            <w:r>
              <w:rPr>
                <w:rFonts w:hint="eastAsia" w:cs="Times New Roman"/>
                <w:b/>
                <w:bCs/>
                <w:color w:val="000000" w:themeColor="text1"/>
                <w:spacing w:val="-4"/>
                <w:sz w:val="24"/>
                <w:szCs w:val="24"/>
                <w:highlight w:val="none"/>
                <w:lang w:val="en-US" w:eastAsia="zh-CN"/>
                <w14:textFill>
                  <w14:solidFill>
                    <w14:schemeClr w14:val="tx1"/>
                  </w14:solidFill>
                </w14:textFill>
              </w:rPr>
              <w:t>4</w:t>
            </w:r>
            <w:r>
              <w:rPr>
                <w:rFonts w:hint="default" w:ascii="Times New Roman" w:hAnsi="Times New Roman" w:cs="Times New Roman"/>
                <w:b/>
                <w:bCs/>
                <w:color w:val="000000" w:themeColor="text1"/>
                <w:spacing w:val="-4"/>
                <w:sz w:val="24"/>
                <w:szCs w:val="24"/>
                <w:highlight w:val="none"/>
                <w14:textFill>
                  <w14:solidFill>
                    <w14:schemeClr w14:val="tx1"/>
                  </w14:solidFill>
                </w14:textFill>
              </w:rPr>
              <w:t>废水水质水量状况</w:t>
            </w:r>
          </w:p>
          <w:tbl>
            <w:tblPr>
              <w:tblStyle w:val="25"/>
              <w:tblW w:w="7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
              <w:gridCol w:w="1288"/>
              <w:gridCol w:w="1188"/>
              <w:gridCol w:w="1081"/>
              <w:gridCol w:w="1091"/>
              <w:gridCol w:w="2448"/>
            </w:tblGrid>
            <w:tr w14:paraId="57201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noWrap w:val="0"/>
                  <w:vAlign w:val="center"/>
                </w:tcPr>
                <w:p w14:paraId="06080A86">
                  <w:pPr>
                    <w:pStyle w:val="116"/>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000000" w:themeColor="text1"/>
                      <w:kern w:val="2"/>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pacing w:val="3"/>
                      <w:sz w:val="21"/>
                      <w:szCs w:val="21"/>
                      <w:highlight w:val="none"/>
                      <w14:textFill>
                        <w14:solidFill>
                          <w14:schemeClr w14:val="tx1"/>
                        </w14:solidFill>
                      </w14:textFill>
                    </w:rPr>
                    <w:t>污染源</w:t>
                  </w:r>
                </w:p>
              </w:tc>
              <w:tc>
                <w:tcPr>
                  <w:tcW w:w="1288" w:type="dxa"/>
                  <w:noWrap w:val="0"/>
                  <w:vAlign w:val="center"/>
                </w:tcPr>
                <w:p w14:paraId="0643E2D1">
                  <w:pPr>
                    <w:pStyle w:val="116"/>
                    <w:keepNext w:val="0"/>
                    <w:keepLines w:val="0"/>
                    <w:pageBreakBefore w:val="0"/>
                    <w:widowControl w:val="0"/>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pacing w:val="-2"/>
                      <w:sz w:val="21"/>
                      <w:szCs w:val="21"/>
                      <w:highlight w:val="none"/>
                      <w14:textFill>
                        <w14:solidFill>
                          <w14:schemeClr w14:val="tx1"/>
                        </w14:solidFill>
                      </w14:textFill>
                    </w:rPr>
                    <w:t>废水量</w:t>
                  </w:r>
                </w:p>
                <w:p w14:paraId="4530278C">
                  <w:pPr>
                    <w:pStyle w:val="116"/>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000000" w:themeColor="text1"/>
                      <w:kern w:val="2"/>
                      <w:sz w:val="21"/>
                      <w:szCs w:val="21"/>
                      <w:highlight w:val="none"/>
                      <w:vertAlign w:val="baseline"/>
                      <w:lang w:val="en-US" w:eastAsia="zh-CN"/>
                      <w14:textFill>
                        <w14:solidFill>
                          <w14:schemeClr w14:val="tx1"/>
                        </w14:solidFill>
                      </w14:textFill>
                    </w:rPr>
                  </w:pPr>
                  <w:r>
                    <w:rPr>
                      <w:rFonts w:hint="eastAsia" w:ascii="Times New Roman" w:hAnsi="Times New Roman" w:cs="Times New Roman"/>
                      <w:color w:val="000000" w:themeColor="text1"/>
                      <w:spacing w:val="-7"/>
                      <w:sz w:val="21"/>
                      <w:szCs w:val="21"/>
                      <w:highlight w:val="none"/>
                      <w:lang w:eastAsia="zh-CN"/>
                      <w14:textFill>
                        <w14:solidFill>
                          <w14:schemeClr w14:val="tx1"/>
                        </w14:solidFill>
                      </w14:textFill>
                    </w:rPr>
                    <w:t>(</w:t>
                  </w:r>
                  <w:r>
                    <w:rPr>
                      <w:rFonts w:hint="default" w:ascii="Times New Roman" w:hAnsi="Times New Roman" w:cs="Times New Roman"/>
                      <w:color w:val="000000" w:themeColor="text1"/>
                      <w:spacing w:val="-7"/>
                      <w:sz w:val="21"/>
                      <w:szCs w:val="21"/>
                      <w:highlight w:val="none"/>
                      <w14:textFill>
                        <w14:solidFill>
                          <w14:schemeClr w14:val="tx1"/>
                        </w14:solidFill>
                      </w14:textFill>
                    </w:rPr>
                    <w:t>m³/a</w:t>
                  </w:r>
                  <w:r>
                    <w:rPr>
                      <w:rFonts w:hint="eastAsia" w:ascii="Times New Roman" w:hAnsi="Times New Roman" w:cs="Times New Roman"/>
                      <w:color w:val="000000" w:themeColor="text1"/>
                      <w:spacing w:val="-7"/>
                      <w:sz w:val="21"/>
                      <w:szCs w:val="21"/>
                      <w:highlight w:val="none"/>
                      <w:lang w:eastAsia="zh-CN"/>
                      <w14:textFill>
                        <w14:solidFill>
                          <w14:schemeClr w14:val="tx1"/>
                        </w14:solidFill>
                      </w14:textFill>
                    </w:rPr>
                    <w:t>)</w:t>
                  </w:r>
                </w:p>
              </w:tc>
              <w:tc>
                <w:tcPr>
                  <w:tcW w:w="1188" w:type="dxa"/>
                  <w:noWrap w:val="0"/>
                  <w:vAlign w:val="center"/>
                </w:tcPr>
                <w:p w14:paraId="7A661DE4">
                  <w:pPr>
                    <w:pStyle w:val="116"/>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000000" w:themeColor="text1"/>
                      <w:spacing w:val="3"/>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3"/>
                      <w:sz w:val="21"/>
                      <w:szCs w:val="21"/>
                      <w:highlight w:val="none"/>
                      <w14:textFill>
                        <w14:solidFill>
                          <w14:schemeClr w14:val="tx1"/>
                        </w14:solidFill>
                      </w14:textFill>
                    </w:rPr>
                    <w:t>主要</w:t>
                  </w:r>
                </w:p>
                <w:p w14:paraId="13B178A5">
                  <w:pPr>
                    <w:pStyle w:val="116"/>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000000" w:themeColor="text1"/>
                      <w:spacing w:val="3"/>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3"/>
                      <w:sz w:val="21"/>
                      <w:szCs w:val="21"/>
                      <w:highlight w:val="none"/>
                      <w14:textFill>
                        <w14:solidFill>
                          <w14:schemeClr w14:val="tx1"/>
                        </w14:solidFill>
                      </w14:textFill>
                    </w:rPr>
                    <w:t>污染物</w:t>
                  </w:r>
                </w:p>
              </w:tc>
              <w:tc>
                <w:tcPr>
                  <w:tcW w:w="1081" w:type="dxa"/>
                  <w:noWrap w:val="0"/>
                  <w:vAlign w:val="center"/>
                </w:tcPr>
                <w:p w14:paraId="0DE1CABB">
                  <w:pPr>
                    <w:pStyle w:val="116"/>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000000" w:themeColor="text1"/>
                      <w:spacing w:val="3"/>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3"/>
                      <w:sz w:val="21"/>
                      <w:szCs w:val="21"/>
                      <w:highlight w:val="none"/>
                      <w14:textFill>
                        <w14:solidFill>
                          <w14:schemeClr w14:val="tx1"/>
                        </w14:solidFill>
                      </w14:textFill>
                    </w:rPr>
                    <w:t>产生浓度</w:t>
                  </w:r>
                </w:p>
                <w:p w14:paraId="009947A4">
                  <w:pPr>
                    <w:pStyle w:val="116"/>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000000" w:themeColor="text1"/>
                      <w:spacing w:val="3"/>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pacing w:val="3"/>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3"/>
                      <w:sz w:val="21"/>
                      <w:szCs w:val="21"/>
                      <w:highlight w:val="none"/>
                      <w14:textFill>
                        <w14:solidFill>
                          <w14:schemeClr w14:val="tx1"/>
                        </w14:solidFill>
                      </w14:textFill>
                    </w:rPr>
                    <w:t>mg/L</w:t>
                  </w:r>
                  <w:r>
                    <w:rPr>
                      <w:rFonts w:hint="eastAsia" w:ascii="Times New Roman" w:hAnsi="Times New Roman" w:cs="Times New Roman"/>
                      <w:color w:val="000000" w:themeColor="text1"/>
                      <w:spacing w:val="3"/>
                      <w:sz w:val="21"/>
                      <w:szCs w:val="21"/>
                      <w:highlight w:val="none"/>
                      <w:lang w:eastAsia="zh-CN"/>
                      <w14:textFill>
                        <w14:solidFill>
                          <w14:schemeClr w14:val="tx1"/>
                        </w14:solidFill>
                      </w14:textFill>
                    </w:rPr>
                    <w:t>)</w:t>
                  </w:r>
                </w:p>
              </w:tc>
              <w:tc>
                <w:tcPr>
                  <w:tcW w:w="1091" w:type="dxa"/>
                  <w:noWrap w:val="0"/>
                  <w:vAlign w:val="center"/>
                </w:tcPr>
                <w:p w14:paraId="2482662D">
                  <w:pPr>
                    <w:pStyle w:val="116"/>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000000" w:themeColor="text1"/>
                      <w:spacing w:val="3"/>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3"/>
                      <w:sz w:val="21"/>
                      <w:szCs w:val="21"/>
                      <w:highlight w:val="none"/>
                      <w14:textFill>
                        <w14:solidFill>
                          <w14:schemeClr w14:val="tx1"/>
                        </w14:solidFill>
                      </w14:textFill>
                    </w:rPr>
                    <w:t>产生量</w:t>
                  </w:r>
                </w:p>
                <w:p w14:paraId="361C2703">
                  <w:pPr>
                    <w:pStyle w:val="116"/>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000000" w:themeColor="text1"/>
                      <w:spacing w:val="3"/>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pacing w:val="3"/>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3"/>
                      <w:sz w:val="21"/>
                      <w:szCs w:val="21"/>
                      <w:highlight w:val="none"/>
                      <w14:textFill>
                        <w14:solidFill>
                          <w14:schemeClr w14:val="tx1"/>
                        </w14:solidFill>
                      </w14:textFill>
                    </w:rPr>
                    <w:t>t/a</w:t>
                  </w:r>
                  <w:r>
                    <w:rPr>
                      <w:rFonts w:hint="eastAsia" w:ascii="Times New Roman" w:hAnsi="Times New Roman" w:cs="Times New Roman"/>
                      <w:color w:val="000000" w:themeColor="text1"/>
                      <w:spacing w:val="3"/>
                      <w:sz w:val="21"/>
                      <w:szCs w:val="21"/>
                      <w:highlight w:val="none"/>
                      <w:lang w:eastAsia="zh-CN"/>
                      <w14:textFill>
                        <w14:solidFill>
                          <w14:schemeClr w14:val="tx1"/>
                        </w14:solidFill>
                      </w14:textFill>
                    </w:rPr>
                    <w:t>)</w:t>
                  </w:r>
                </w:p>
              </w:tc>
              <w:tc>
                <w:tcPr>
                  <w:tcW w:w="2448" w:type="dxa"/>
                  <w:noWrap w:val="0"/>
                  <w:vAlign w:val="center"/>
                </w:tcPr>
                <w:p w14:paraId="53D715B9">
                  <w:pPr>
                    <w:pStyle w:val="116"/>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000000" w:themeColor="text1"/>
                      <w:kern w:val="2"/>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pacing w:val="3"/>
                      <w:sz w:val="21"/>
                      <w:szCs w:val="21"/>
                      <w:highlight w:val="none"/>
                      <w14:textFill>
                        <w14:solidFill>
                          <w14:schemeClr w14:val="tx1"/>
                        </w14:solidFill>
                      </w14:textFill>
                    </w:rPr>
                    <w:t>拟处置方案及去向</w:t>
                  </w:r>
                </w:p>
              </w:tc>
            </w:tr>
            <w:tr w14:paraId="3FA45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noWrap w:val="0"/>
                  <w:vAlign w:val="center"/>
                </w:tcPr>
                <w:p w14:paraId="68FFF812">
                  <w:pPr>
                    <w:pStyle w:val="116"/>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000000" w:themeColor="text1"/>
                      <w:kern w:val="2"/>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pacing w:val="2"/>
                      <w:sz w:val="21"/>
                      <w:szCs w:val="21"/>
                      <w:highlight w:val="none"/>
                      <w14:textFill>
                        <w14:solidFill>
                          <w14:schemeClr w14:val="tx1"/>
                        </w14:solidFill>
                      </w14:textFill>
                    </w:rPr>
                    <w:t>脱硫废水</w:t>
                  </w:r>
                </w:p>
              </w:tc>
              <w:tc>
                <w:tcPr>
                  <w:tcW w:w="1288" w:type="dxa"/>
                  <w:noWrap w:val="0"/>
                  <w:vAlign w:val="center"/>
                </w:tcPr>
                <w:p w14:paraId="18E102FA">
                  <w:pPr>
                    <w:pStyle w:val="116"/>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000000" w:themeColor="text1"/>
                      <w:kern w:val="2"/>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kern w:val="2"/>
                      <w:sz w:val="21"/>
                      <w:szCs w:val="21"/>
                      <w:highlight w:val="none"/>
                      <w:vertAlign w:val="baseline"/>
                      <w:lang w:val="en-US" w:eastAsia="zh-CN"/>
                      <w14:textFill>
                        <w14:solidFill>
                          <w14:schemeClr w14:val="tx1"/>
                        </w14:solidFill>
                      </w14:textFill>
                    </w:rPr>
                    <w:t>300</w:t>
                  </w:r>
                </w:p>
              </w:tc>
              <w:tc>
                <w:tcPr>
                  <w:tcW w:w="1188" w:type="dxa"/>
                  <w:noWrap w:val="0"/>
                  <w:vAlign w:val="center"/>
                </w:tcPr>
                <w:p w14:paraId="1153641A">
                  <w:pPr>
                    <w:pStyle w:val="116"/>
                    <w:keepNext w:val="0"/>
                    <w:keepLines w:val="0"/>
                    <w:pageBreakBefore w:val="0"/>
                    <w:widowControl w:val="0"/>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cs="Times New Roman"/>
                      <w:color w:val="000000" w:themeColor="text1"/>
                      <w:spacing w:val="-4"/>
                      <w:sz w:val="21"/>
                      <w:szCs w:val="21"/>
                      <w:highlight w:val="none"/>
                      <w14:textFill>
                        <w14:solidFill>
                          <w14:schemeClr w14:val="tx1"/>
                        </w14:solidFill>
                      </w14:textFill>
                    </w:rPr>
                    <w:t>pH</w:t>
                  </w:r>
                </w:p>
                <w:p w14:paraId="6B956257">
                  <w:pPr>
                    <w:pStyle w:val="116"/>
                    <w:keepNext w:val="0"/>
                    <w:keepLines w:val="0"/>
                    <w:pageBreakBefore w:val="0"/>
                    <w:widowControl w:val="0"/>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000000" w:themeColor="text1"/>
                      <w:spacing w:val="1"/>
                      <w:sz w:val="21"/>
                      <w:szCs w:val="21"/>
                      <w:highlight w:val="none"/>
                      <w:lang w:eastAsia="zh-CN"/>
                      <w14:textFill>
                        <w14:solidFill>
                          <w14:schemeClr w14:val="tx1"/>
                        </w14:solidFill>
                      </w14:textFill>
                    </w:rPr>
                  </w:pPr>
                  <w:r>
                    <w:rPr>
                      <w:rFonts w:hint="default" w:ascii="Times New Roman" w:hAnsi="Times New Roman" w:cs="Times New Roman"/>
                      <w:color w:val="000000" w:themeColor="text1"/>
                      <w:spacing w:val="-3"/>
                      <w:sz w:val="21"/>
                      <w:szCs w:val="21"/>
                      <w:highlight w:val="none"/>
                      <w14:textFill>
                        <w14:solidFill>
                          <w14:schemeClr w14:val="tx1"/>
                        </w14:solidFill>
                      </w14:textFill>
                    </w:rPr>
                    <w:t>TDS</w:t>
                  </w:r>
                </w:p>
                <w:p w14:paraId="64A93C04">
                  <w:pPr>
                    <w:pStyle w:val="116"/>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000000" w:themeColor="text1"/>
                      <w:spacing w:val="25"/>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pacing w:val="25"/>
                      <w:sz w:val="21"/>
                      <w:szCs w:val="21"/>
                      <w:highlight w:val="none"/>
                      <w14:textFill>
                        <w14:solidFill>
                          <w14:schemeClr w14:val="tx1"/>
                        </w14:solidFill>
                      </w14:textFill>
                    </w:rPr>
                    <w:t>SS</w:t>
                  </w:r>
                </w:p>
                <w:p w14:paraId="6A7ABAE6">
                  <w:pPr>
                    <w:pStyle w:val="116"/>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000000" w:themeColor="text1"/>
                      <w:spacing w:val="25"/>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pacing w:val="25"/>
                      <w:sz w:val="21"/>
                      <w:szCs w:val="21"/>
                      <w:highlight w:val="none"/>
                      <w:lang w:val="en-US" w:eastAsia="zh-CN"/>
                      <w14:textFill>
                        <w14:solidFill>
                          <w14:schemeClr w14:val="tx1"/>
                        </w14:solidFill>
                      </w14:textFill>
                    </w:rPr>
                    <w:t>微量</w:t>
                  </w:r>
                </w:p>
                <w:p w14:paraId="636E8B69">
                  <w:pPr>
                    <w:pStyle w:val="116"/>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000000" w:themeColor="text1"/>
                      <w:kern w:val="2"/>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pacing w:val="25"/>
                      <w:sz w:val="21"/>
                      <w:szCs w:val="21"/>
                      <w:highlight w:val="none"/>
                      <w:lang w:val="en-US" w:eastAsia="zh-CN"/>
                      <w14:textFill>
                        <w14:solidFill>
                          <w14:schemeClr w14:val="tx1"/>
                        </w14:solidFill>
                      </w14:textFill>
                    </w:rPr>
                    <w:t>金属</w:t>
                  </w:r>
                </w:p>
              </w:tc>
              <w:tc>
                <w:tcPr>
                  <w:tcW w:w="1081" w:type="dxa"/>
                  <w:noWrap w:val="0"/>
                  <w:vAlign w:val="center"/>
                </w:tcPr>
                <w:p w14:paraId="780ECF46">
                  <w:pPr>
                    <w:pStyle w:val="116"/>
                    <w:keepNext w:val="0"/>
                    <w:keepLines w:val="0"/>
                    <w:pageBreakBefore w:val="0"/>
                    <w:widowControl w:val="0"/>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color w:val="000000" w:themeColor="text1"/>
                      <w:sz w:val="21"/>
                      <w:szCs w:val="21"/>
                      <w:highlight w:val="none"/>
                      <w14:textFill>
                        <w14:solidFill>
                          <w14:schemeClr w14:val="tx1"/>
                        </w14:solidFill>
                      </w14:textFill>
                    </w:rPr>
                  </w:pPr>
                  <w:r>
                    <w:rPr>
                      <w:rFonts w:hint="eastAsia" w:ascii="Times New Roman" w:hAnsi="Times New Roman" w:cs="Times New Roman"/>
                      <w:color w:val="000000" w:themeColor="text1"/>
                      <w:spacing w:val="-4"/>
                      <w:sz w:val="21"/>
                      <w:szCs w:val="21"/>
                      <w:highlight w:val="none"/>
                      <w:lang w:val="en-US" w:eastAsia="zh-CN"/>
                      <w14:textFill>
                        <w14:solidFill>
                          <w14:schemeClr w14:val="tx1"/>
                        </w14:solidFill>
                      </w14:textFill>
                    </w:rPr>
                    <w:t>6</w:t>
                  </w:r>
                  <w:r>
                    <w:rPr>
                      <w:rFonts w:hint="default" w:ascii="Times New Roman" w:hAnsi="Times New Roman" w:cs="Times New Roman"/>
                      <w:color w:val="000000" w:themeColor="text1"/>
                      <w:spacing w:val="-4"/>
                      <w:sz w:val="21"/>
                      <w:szCs w:val="21"/>
                      <w:highlight w:val="none"/>
                      <w14:textFill>
                        <w14:solidFill>
                          <w14:schemeClr w14:val="tx1"/>
                        </w14:solidFill>
                      </w14:textFill>
                    </w:rPr>
                    <w:t>~</w:t>
                  </w:r>
                  <w:r>
                    <w:rPr>
                      <w:rFonts w:hint="eastAsia" w:ascii="Times New Roman" w:hAnsi="Times New Roman" w:cs="Times New Roman"/>
                      <w:color w:val="000000" w:themeColor="text1"/>
                      <w:spacing w:val="-4"/>
                      <w:sz w:val="21"/>
                      <w:szCs w:val="21"/>
                      <w:highlight w:val="none"/>
                      <w:lang w:val="en-US" w:eastAsia="zh-CN"/>
                      <w14:textFill>
                        <w14:solidFill>
                          <w14:schemeClr w14:val="tx1"/>
                        </w14:solidFill>
                      </w14:textFill>
                    </w:rPr>
                    <w:t>9</w:t>
                  </w:r>
                </w:p>
                <w:p w14:paraId="2FA779D2">
                  <w:pPr>
                    <w:pStyle w:val="116"/>
                    <w:keepNext w:val="0"/>
                    <w:keepLines w:val="0"/>
                    <w:pageBreakBefore w:val="0"/>
                    <w:widowControl w:val="0"/>
                    <w:tabs>
                      <w:tab w:val="left" w:pos="355"/>
                    </w:tabs>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cs="Times New Roman"/>
                      <w:color w:val="000000" w:themeColor="text1"/>
                      <w:spacing w:val="-4"/>
                      <w:sz w:val="21"/>
                      <w:szCs w:val="21"/>
                      <w:highlight w:val="none"/>
                      <w:lang w:val="en-US" w:eastAsia="zh-CN"/>
                      <w14:textFill>
                        <w14:solidFill>
                          <w14:schemeClr w14:val="tx1"/>
                        </w14:solidFill>
                      </w14:textFill>
                    </w:rPr>
                    <w:t>~</w:t>
                  </w:r>
                  <w:r>
                    <w:rPr>
                      <w:rFonts w:hint="eastAsia" w:ascii="Times New Roman" w:hAnsi="Times New Roman" w:cs="Times New Roman"/>
                      <w:color w:val="000000" w:themeColor="text1"/>
                      <w:spacing w:val="-4"/>
                      <w:sz w:val="21"/>
                      <w:szCs w:val="21"/>
                      <w:highlight w:val="none"/>
                      <w:lang w:val="en-US" w:eastAsia="zh-CN"/>
                      <w14:textFill>
                        <w14:solidFill>
                          <w14:schemeClr w14:val="tx1"/>
                        </w14:solidFill>
                      </w14:textFill>
                    </w:rPr>
                    <w:t>2</w:t>
                  </w:r>
                  <w:r>
                    <w:rPr>
                      <w:rFonts w:hint="default" w:ascii="Times New Roman" w:hAnsi="Times New Roman" w:cs="Times New Roman"/>
                      <w:color w:val="000000" w:themeColor="text1"/>
                      <w:spacing w:val="-4"/>
                      <w:sz w:val="21"/>
                      <w:szCs w:val="21"/>
                      <w:highlight w:val="none"/>
                      <w14:textFill>
                        <w14:solidFill>
                          <w14:schemeClr w14:val="tx1"/>
                        </w14:solidFill>
                      </w14:textFill>
                    </w:rPr>
                    <w:t>500</w:t>
                  </w:r>
                </w:p>
                <w:p w14:paraId="1B2AF08F">
                  <w:pPr>
                    <w:pStyle w:val="116"/>
                    <w:keepNext w:val="0"/>
                    <w:keepLines w:val="0"/>
                    <w:pageBreakBefore w:val="0"/>
                    <w:widowControl w:val="0"/>
                    <w:tabs>
                      <w:tab w:val="left" w:pos="355"/>
                    </w:tabs>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000000" w:themeColor="text1"/>
                      <w:spacing w:val="-6"/>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3</w:t>
                  </w:r>
                  <w:r>
                    <w:rPr>
                      <w:rFonts w:hint="default" w:ascii="Times New Roman" w:hAnsi="Times New Roman" w:cs="Times New Roman"/>
                      <w:color w:val="000000" w:themeColor="text1"/>
                      <w:spacing w:val="-6"/>
                      <w:sz w:val="21"/>
                      <w:szCs w:val="21"/>
                      <w:highlight w:val="none"/>
                      <w14:textFill>
                        <w14:solidFill>
                          <w14:schemeClr w14:val="tx1"/>
                        </w14:solidFill>
                      </w14:textFill>
                    </w:rPr>
                    <w:t>000</w:t>
                  </w:r>
                </w:p>
                <w:p w14:paraId="6BC1B31F">
                  <w:pPr>
                    <w:pStyle w:val="116"/>
                    <w:keepNext w:val="0"/>
                    <w:keepLines w:val="0"/>
                    <w:pageBreakBefore w:val="0"/>
                    <w:widowControl w:val="0"/>
                    <w:tabs>
                      <w:tab w:val="left" w:pos="355"/>
                    </w:tabs>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000000" w:themeColor="text1"/>
                      <w:spacing w:val="-6"/>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pacing w:val="-6"/>
                      <w:sz w:val="21"/>
                      <w:szCs w:val="21"/>
                      <w:highlight w:val="none"/>
                      <w:lang w:val="en-US" w:eastAsia="zh-CN"/>
                      <w14:textFill>
                        <w14:solidFill>
                          <w14:schemeClr w14:val="tx1"/>
                        </w14:solidFill>
                      </w14:textFill>
                    </w:rPr>
                    <w:t>~0.1</w:t>
                  </w:r>
                </w:p>
                <w:p w14:paraId="48A43770">
                  <w:pPr>
                    <w:pStyle w:val="116"/>
                    <w:keepNext w:val="0"/>
                    <w:keepLines w:val="0"/>
                    <w:pageBreakBefore w:val="0"/>
                    <w:widowControl w:val="0"/>
                    <w:tabs>
                      <w:tab w:val="left" w:pos="355"/>
                    </w:tabs>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000000" w:themeColor="text1"/>
                      <w:spacing w:val="-6"/>
                      <w:sz w:val="21"/>
                      <w:szCs w:val="21"/>
                      <w:highlight w:val="none"/>
                      <w:lang w:val="en-US" w:eastAsia="zh-CN"/>
                      <w14:textFill>
                        <w14:solidFill>
                          <w14:schemeClr w14:val="tx1"/>
                        </w14:solidFill>
                      </w14:textFill>
                    </w:rPr>
                  </w:pPr>
                </w:p>
              </w:tc>
              <w:tc>
                <w:tcPr>
                  <w:tcW w:w="1091" w:type="dxa"/>
                  <w:noWrap w:val="0"/>
                  <w:vAlign w:val="center"/>
                </w:tcPr>
                <w:p w14:paraId="250F6F01">
                  <w:pPr>
                    <w:pStyle w:val="116"/>
                    <w:keepNext w:val="0"/>
                    <w:keepLines w:val="0"/>
                    <w:pageBreakBefore w:val="0"/>
                    <w:widowControl w:val="0"/>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color w:val="000000" w:themeColor="text1"/>
                      <w:sz w:val="21"/>
                      <w:szCs w:val="21"/>
                      <w:highlight w:val="none"/>
                      <w14:textFill>
                        <w14:solidFill>
                          <w14:schemeClr w14:val="tx1"/>
                        </w14:solidFill>
                      </w14:textFill>
                    </w:rPr>
                  </w:pPr>
                  <w:r>
                    <w:rPr>
                      <w:rFonts w:hint="eastAsia" w:ascii="Times New Roman" w:hAnsi="Times New Roman" w:cs="Times New Roman"/>
                      <w:color w:val="000000" w:themeColor="text1"/>
                      <w:spacing w:val="-4"/>
                      <w:sz w:val="21"/>
                      <w:szCs w:val="21"/>
                      <w:highlight w:val="none"/>
                      <w:lang w:val="en-US" w:eastAsia="zh-CN"/>
                      <w14:textFill>
                        <w14:solidFill>
                          <w14:schemeClr w14:val="tx1"/>
                        </w14:solidFill>
                      </w14:textFill>
                    </w:rPr>
                    <w:t>6</w:t>
                  </w:r>
                  <w:r>
                    <w:rPr>
                      <w:rFonts w:hint="default" w:ascii="Times New Roman" w:hAnsi="Times New Roman" w:cs="Times New Roman"/>
                      <w:color w:val="000000" w:themeColor="text1"/>
                      <w:spacing w:val="-4"/>
                      <w:sz w:val="21"/>
                      <w:szCs w:val="21"/>
                      <w:highlight w:val="none"/>
                      <w14:textFill>
                        <w14:solidFill>
                          <w14:schemeClr w14:val="tx1"/>
                        </w14:solidFill>
                      </w14:textFill>
                    </w:rPr>
                    <w:t>~</w:t>
                  </w:r>
                  <w:r>
                    <w:rPr>
                      <w:rFonts w:hint="eastAsia" w:ascii="Times New Roman" w:hAnsi="Times New Roman" w:cs="Times New Roman"/>
                      <w:color w:val="000000" w:themeColor="text1"/>
                      <w:spacing w:val="-4"/>
                      <w:sz w:val="21"/>
                      <w:szCs w:val="21"/>
                      <w:highlight w:val="none"/>
                      <w:lang w:val="en-US" w:eastAsia="zh-CN"/>
                      <w14:textFill>
                        <w14:solidFill>
                          <w14:schemeClr w14:val="tx1"/>
                        </w14:solidFill>
                      </w14:textFill>
                    </w:rPr>
                    <w:t>9</w:t>
                  </w:r>
                </w:p>
                <w:p w14:paraId="7B88A5D8">
                  <w:pPr>
                    <w:pStyle w:val="116"/>
                    <w:keepNext w:val="0"/>
                    <w:keepLines w:val="0"/>
                    <w:pageBreakBefore w:val="0"/>
                    <w:widowControl w:val="0"/>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color w:val="000000" w:themeColor="text1"/>
                      <w:sz w:val="21"/>
                      <w:szCs w:val="21"/>
                      <w:highlight w:val="none"/>
                      <w14:textFill>
                        <w14:solidFill>
                          <w14:schemeClr w14:val="tx1"/>
                        </w14:solidFill>
                      </w14:textFill>
                    </w:rPr>
                  </w:pPr>
                  <w:r>
                    <w:rPr>
                      <w:rFonts w:hint="eastAsia" w:ascii="Times New Roman" w:hAnsi="Times New Roman" w:cs="Times New Roman"/>
                      <w:color w:val="000000" w:themeColor="text1"/>
                      <w:spacing w:val="-2"/>
                      <w:sz w:val="21"/>
                      <w:szCs w:val="21"/>
                      <w:highlight w:val="none"/>
                      <w:lang w:val="en-US" w:eastAsia="zh-CN"/>
                      <w14:textFill>
                        <w14:solidFill>
                          <w14:schemeClr w14:val="tx1"/>
                        </w14:solidFill>
                      </w14:textFill>
                    </w:rPr>
                    <w:t>5</w:t>
                  </w:r>
                  <w:r>
                    <w:rPr>
                      <w:rFonts w:hint="default" w:ascii="Times New Roman" w:hAnsi="Times New Roman" w:cs="Times New Roman"/>
                      <w:color w:val="000000" w:themeColor="text1"/>
                      <w:spacing w:val="-2"/>
                      <w:sz w:val="21"/>
                      <w:szCs w:val="21"/>
                      <w:highlight w:val="none"/>
                      <w14:textFill>
                        <w14:solidFill>
                          <w14:schemeClr w14:val="tx1"/>
                        </w14:solidFill>
                      </w14:textFill>
                    </w:rPr>
                    <w:t>.07</w:t>
                  </w:r>
                </w:p>
                <w:p w14:paraId="6118EFC3">
                  <w:pPr>
                    <w:pStyle w:val="116"/>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000000" w:themeColor="text1"/>
                      <w:spacing w:val="-2"/>
                      <w:position w:val="-3"/>
                      <w:sz w:val="21"/>
                      <w:szCs w:val="21"/>
                      <w:highlight w:val="none"/>
                      <w14:textFill>
                        <w14:solidFill>
                          <w14:schemeClr w14:val="tx1"/>
                        </w14:solidFill>
                      </w14:textFill>
                    </w:rPr>
                  </w:pPr>
                  <w:r>
                    <w:rPr>
                      <w:rFonts w:hint="eastAsia" w:ascii="Times New Roman" w:hAnsi="Times New Roman" w:cs="Times New Roman"/>
                      <w:color w:val="000000" w:themeColor="text1"/>
                      <w:spacing w:val="-2"/>
                      <w:position w:val="-3"/>
                      <w:sz w:val="21"/>
                      <w:szCs w:val="21"/>
                      <w:highlight w:val="none"/>
                      <w:lang w:val="en-US" w:eastAsia="zh-CN"/>
                      <w14:textFill>
                        <w14:solidFill>
                          <w14:schemeClr w14:val="tx1"/>
                        </w14:solidFill>
                      </w14:textFill>
                    </w:rPr>
                    <w:t>6</w:t>
                  </w:r>
                  <w:r>
                    <w:rPr>
                      <w:rFonts w:hint="default" w:ascii="Times New Roman" w:hAnsi="Times New Roman" w:cs="Times New Roman"/>
                      <w:color w:val="000000" w:themeColor="text1"/>
                      <w:spacing w:val="-2"/>
                      <w:position w:val="-3"/>
                      <w:sz w:val="21"/>
                      <w:szCs w:val="21"/>
                      <w:highlight w:val="none"/>
                      <w14:textFill>
                        <w14:solidFill>
                          <w14:schemeClr w14:val="tx1"/>
                        </w14:solidFill>
                      </w14:textFill>
                    </w:rPr>
                    <w:t>.16</w:t>
                  </w:r>
                </w:p>
                <w:p w14:paraId="4A365C81">
                  <w:pPr>
                    <w:pStyle w:val="116"/>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000000" w:themeColor="text1"/>
                      <w:spacing w:val="-2"/>
                      <w:position w:val="-3"/>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pacing w:val="-2"/>
                      <w:position w:val="-3"/>
                      <w:sz w:val="21"/>
                      <w:szCs w:val="21"/>
                      <w:highlight w:val="none"/>
                      <w:lang w:val="en-US" w:eastAsia="zh-CN"/>
                      <w14:textFill>
                        <w14:solidFill>
                          <w14:schemeClr w14:val="tx1"/>
                        </w14:solidFill>
                      </w14:textFill>
                    </w:rPr>
                    <w:t>0.0001</w:t>
                  </w:r>
                </w:p>
              </w:tc>
              <w:tc>
                <w:tcPr>
                  <w:tcW w:w="2448" w:type="dxa"/>
                  <w:noWrap w:val="0"/>
                  <w:vAlign w:val="center"/>
                </w:tcPr>
                <w:p w14:paraId="3C31778D">
                  <w:pPr>
                    <w:pStyle w:val="116"/>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right="0" w:rightChars="0" w:firstLine="0" w:firstLineChars="0"/>
                    <w:jc w:val="both"/>
                    <w:textAlignment w:val="baseline"/>
                    <w:rPr>
                      <w:rFonts w:hint="default" w:ascii="Times New Roman" w:hAnsi="Times New Roman" w:eastAsia="宋体" w:cs="Times New Roman"/>
                      <w:color w:val="000000" w:themeColor="text1"/>
                      <w:spacing w:val="-2"/>
                      <w:sz w:val="21"/>
                      <w:szCs w:val="21"/>
                      <w:highlight w:val="none"/>
                      <w:lang w:val="en-US" w:eastAsia="zh-CN"/>
                      <w14:textFill>
                        <w14:solidFill>
                          <w14:schemeClr w14:val="tx1"/>
                        </w14:solidFill>
                      </w14:textFill>
                    </w:rPr>
                  </w:pPr>
                  <w:r>
                    <w:rPr>
                      <w:rFonts w:hint="default" w:ascii="宋体" w:hAnsi="宋体" w:eastAsia="宋体" w:cs="宋体"/>
                      <w:color w:val="000000" w:themeColor="text1"/>
                      <w:kern w:val="0"/>
                      <w:sz w:val="21"/>
                      <w:szCs w:val="21"/>
                      <w:highlight w:val="none"/>
                      <w:lang w:val="en-US" w:eastAsia="zh-CN" w:bidi="ar"/>
                      <w14:textFill>
                        <w14:solidFill>
                          <w14:schemeClr w14:val="tx1"/>
                        </w14:solidFill>
                      </w14:textFill>
                    </w:rPr>
                    <w:t>经三联箱装置处理后</w:t>
                  </w:r>
                  <w:r>
                    <w:rPr>
                      <w:rFonts w:hint="eastAsia" w:cs="宋体"/>
                      <w:color w:val="000000" w:themeColor="text1"/>
                      <w:kern w:val="0"/>
                      <w:sz w:val="21"/>
                      <w:szCs w:val="21"/>
                      <w:highlight w:val="none"/>
                      <w:lang w:val="en-US" w:eastAsia="zh-CN" w:bidi="ar"/>
                      <w14:textFill>
                        <w14:solidFill>
                          <w14:schemeClr w14:val="tx1"/>
                        </w14:solidFill>
                      </w14:textFill>
                    </w:rPr>
                    <w:t>回用</w:t>
                  </w:r>
                </w:p>
              </w:tc>
            </w:tr>
            <w:tr w14:paraId="4808F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noWrap w:val="0"/>
                  <w:vAlign w:val="center"/>
                </w:tcPr>
                <w:p w14:paraId="59192E5E">
                  <w:pPr>
                    <w:pStyle w:val="116"/>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cs="Times New Roman"/>
                      <w:color w:val="000000" w:themeColor="text1"/>
                      <w:spacing w:val="2"/>
                      <w:sz w:val="21"/>
                      <w:szCs w:val="21"/>
                      <w:highlight w:val="none"/>
                      <w:lang w:val="en-US" w:eastAsia="zh-CN"/>
                      <w14:textFill>
                        <w14:solidFill>
                          <w14:schemeClr w14:val="tx1"/>
                        </w14:solidFill>
                      </w14:textFill>
                    </w:rPr>
                    <w:t>余热锅炉排水</w:t>
                  </w:r>
                </w:p>
              </w:tc>
              <w:tc>
                <w:tcPr>
                  <w:tcW w:w="1288" w:type="dxa"/>
                  <w:noWrap w:val="0"/>
                  <w:vAlign w:val="center"/>
                </w:tcPr>
                <w:p w14:paraId="25C0B9DB">
                  <w:pPr>
                    <w:pStyle w:val="116"/>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pacing w:val="-4"/>
                      <w:sz w:val="21"/>
                      <w:szCs w:val="21"/>
                      <w:highlight w:val="none"/>
                      <w:lang w:val="en-US" w:eastAsia="zh-CN"/>
                      <w14:textFill>
                        <w14:solidFill>
                          <w14:schemeClr w14:val="tx1"/>
                        </w14:solidFill>
                      </w14:textFill>
                    </w:rPr>
                    <w:t>5432.4</w:t>
                  </w:r>
                </w:p>
              </w:tc>
              <w:tc>
                <w:tcPr>
                  <w:tcW w:w="1188" w:type="dxa"/>
                  <w:noWrap w:val="0"/>
                  <w:vAlign w:val="center"/>
                </w:tcPr>
                <w:p w14:paraId="6D1D6F33">
                  <w:pPr>
                    <w:pStyle w:val="116"/>
                    <w:keepNext w:val="0"/>
                    <w:keepLines w:val="0"/>
                    <w:pageBreakBefore w:val="0"/>
                    <w:widowControl w:val="0"/>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cs="Times New Roman"/>
                      <w:color w:val="000000" w:themeColor="text1"/>
                      <w:spacing w:val="-4"/>
                      <w:sz w:val="21"/>
                      <w:szCs w:val="21"/>
                      <w:highlight w:val="none"/>
                      <w14:textFill>
                        <w14:solidFill>
                          <w14:schemeClr w14:val="tx1"/>
                        </w14:solidFill>
                      </w14:textFill>
                    </w:rPr>
                    <w:t>pH</w:t>
                  </w:r>
                </w:p>
                <w:p w14:paraId="160A30C5">
                  <w:pPr>
                    <w:pStyle w:val="116"/>
                    <w:keepNext w:val="0"/>
                    <w:keepLines w:val="0"/>
                    <w:pageBreakBefore w:val="0"/>
                    <w:widowControl w:val="0"/>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000000" w:themeColor="text1"/>
                      <w:spacing w:val="1"/>
                      <w:sz w:val="21"/>
                      <w:szCs w:val="21"/>
                      <w:highlight w:val="none"/>
                      <w:lang w:eastAsia="zh-CN"/>
                      <w14:textFill>
                        <w14:solidFill>
                          <w14:schemeClr w14:val="tx1"/>
                        </w14:solidFill>
                      </w14:textFill>
                    </w:rPr>
                  </w:pPr>
                  <w:r>
                    <w:rPr>
                      <w:rFonts w:hint="default" w:ascii="Times New Roman" w:hAnsi="Times New Roman" w:cs="Times New Roman"/>
                      <w:color w:val="000000" w:themeColor="text1"/>
                      <w:spacing w:val="-3"/>
                      <w:sz w:val="21"/>
                      <w:szCs w:val="21"/>
                      <w:highlight w:val="none"/>
                      <w14:textFill>
                        <w14:solidFill>
                          <w14:schemeClr w14:val="tx1"/>
                        </w14:solidFill>
                      </w14:textFill>
                    </w:rPr>
                    <w:t>TDS</w:t>
                  </w:r>
                </w:p>
                <w:p w14:paraId="5CE4A4A1">
                  <w:pPr>
                    <w:pStyle w:val="116"/>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cs="Times New Roman"/>
                      <w:color w:val="000000" w:themeColor="text1"/>
                      <w:spacing w:val="25"/>
                      <w:sz w:val="21"/>
                      <w:szCs w:val="21"/>
                      <w:highlight w:val="none"/>
                      <w14:textFill>
                        <w14:solidFill>
                          <w14:schemeClr w14:val="tx1"/>
                        </w14:solidFill>
                      </w14:textFill>
                    </w:rPr>
                    <w:t>SS</w:t>
                  </w:r>
                </w:p>
              </w:tc>
              <w:tc>
                <w:tcPr>
                  <w:tcW w:w="1081" w:type="dxa"/>
                  <w:noWrap w:val="0"/>
                  <w:vAlign w:val="center"/>
                </w:tcPr>
                <w:p w14:paraId="1EB30561">
                  <w:pPr>
                    <w:pStyle w:val="116"/>
                    <w:keepNext w:val="0"/>
                    <w:keepLines w:val="0"/>
                    <w:pageBreakBefore w:val="0"/>
                    <w:widowControl w:val="0"/>
                    <w:tabs>
                      <w:tab w:val="left" w:pos="355"/>
                    </w:tabs>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cs="Times New Roman"/>
                      <w:color w:val="000000" w:themeColor="text1"/>
                      <w:spacing w:val="-5"/>
                      <w:sz w:val="21"/>
                      <w:szCs w:val="21"/>
                      <w:highlight w:val="none"/>
                      <w14:textFill>
                        <w14:solidFill>
                          <w14:schemeClr w14:val="tx1"/>
                        </w14:solidFill>
                      </w14:textFill>
                    </w:rPr>
                    <w:t>5~</w:t>
                  </w:r>
                  <w:r>
                    <w:rPr>
                      <w:rFonts w:hint="eastAsia" w:ascii="Times New Roman" w:hAnsi="Times New Roman" w:cs="Times New Roman"/>
                      <w:color w:val="000000" w:themeColor="text1"/>
                      <w:spacing w:val="-5"/>
                      <w:sz w:val="21"/>
                      <w:szCs w:val="21"/>
                      <w:highlight w:val="none"/>
                      <w:lang w:val="en-US" w:eastAsia="zh-CN"/>
                      <w14:textFill>
                        <w14:solidFill>
                          <w14:schemeClr w14:val="tx1"/>
                        </w14:solidFill>
                      </w14:textFill>
                    </w:rPr>
                    <w:t>8</w:t>
                  </w:r>
                </w:p>
                <w:p w14:paraId="4FD0C389">
                  <w:pPr>
                    <w:pStyle w:val="116"/>
                    <w:keepNext w:val="0"/>
                    <w:keepLines w:val="0"/>
                    <w:pageBreakBefore w:val="0"/>
                    <w:widowControl w:val="0"/>
                    <w:tabs>
                      <w:tab w:val="left" w:pos="355"/>
                    </w:tabs>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cs="Times New Roman"/>
                      <w:color w:val="000000" w:themeColor="text1"/>
                      <w:spacing w:val="-4"/>
                      <w:sz w:val="21"/>
                      <w:szCs w:val="21"/>
                      <w:highlight w:val="none"/>
                      <w:lang w:val="en-US" w:eastAsia="zh-CN"/>
                      <w14:textFill>
                        <w14:solidFill>
                          <w14:schemeClr w14:val="tx1"/>
                        </w14:solidFill>
                      </w14:textFill>
                    </w:rPr>
                    <w:t>~</w:t>
                  </w:r>
                  <w:r>
                    <w:rPr>
                      <w:rFonts w:hint="eastAsia" w:ascii="Times New Roman" w:hAnsi="Times New Roman" w:cs="Times New Roman"/>
                      <w:color w:val="000000" w:themeColor="text1"/>
                      <w:spacing w:val="-4"/>
                      <w:sz w:val="21"/>
                      <w:szCs w:val="21"/>
                      <w:highlight w:val="none"/>
                      <w:lang w:val="en-US" w:eastAsia="zh-CN"/>
                      <w14:textFill>
                        <w14:solidFill>
                          <w14:schemeClr w14:val="tx1"/>
                        </w14:solidFill>
                      </w14:textFill>
                    </w:rPr>
                    <w:t>20</w:t>
                  </w:r>
                  <w:r>
                    <w:rPr>
                      <w:rFonts w:hint="default" w:ascii="Times New Roman" w:hAnsi="Times New Roman" w:cs="Times New Roman"/>
                      <w:color w:val="000000" w:themeColor="text1"/>
                      <w:spacing w:val="-4"/>
                      <w:sz w:val="21"/>
                      <w:szCs w:val="21"/>
                      <w:highlight w:val="none"/>
                      <w14:textFill>
                        <w14:solidFill>
                          <w14:schemeClr w14:val="tx1"/>
                        </w14:solidFill>
                      </w14:textFill>
                    </w:rPr>
                    <w:t>00</w:t>
                  </w:r>
                </w:p>
                <w:p w14:paraId="1390A282">
                  <w:pPr>
                    <w:pStyle w:val="116"/>
                    <w:keepNext w:val="0"/>
                    <w:keepLines w:val="0"/>
                    <w:pageBreakBefore w:val="0"/>
                    <w:widowControl w:val="0"/>
                    <w:tabs>
                      <w:tab w:val="left" w:pos="355"/>
                    </w:tabs>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w:t>
                  </w:r>
                  <w:r>
                    <w:rPr>
                      <w:rFonts w:hint="eastAsia" w:ascii="Times New Roman" w:hAnsi="Times New Roman" w:cs="Times New Roman"/>
                      <w:color w:val="000000" w:themeColor="text1"/>
                      <w:spacing w:val="-6"/>
                      <w:sz w:val="21"/>
                      <w:szCs w:val="21"/>
                      <w:highlight w:val="none"/>
                      <w:lang w:val="en-US" w:eastAsia="zh-CN"/>
                      <w14:textFill>
                        <w14:solidFill>
                          <w14:schemeClr w14:val="tx1"/>
                        </w14:solidFill>
                      </w14:textFill>
                    </w:rPr>
                    <w:t>5</w:t>
                  </w:r>
                  <w:r>
                    <w:rPr>
                      <w:rFonts w:hint="default" w:ascii="Times New Roman" w:hAnsi="Times New Roman" w:cs="Times New Roman"/>
                      <w:color w:val="000000" w:themeColor="text1"/>
                      <w:spacing w:val="-6"/>
                      <w:sz w:val="21"/>
                      <w:szCs w:val="21"/>
                      <w:highlight w:val="none"/>
                      <w14:textFill>
                        <w14:solidFill>
                          <w14:schemeClr w14:val="tx1"/>
                        </w14:solidFill>
                      </w14:textFill>
                    </w:rPr>
                    <w:t>00</w:t>
                  </w:r>
                </w:p>
              </w:tc>
              <w:tc>
                <w:tcPr>
                  <w:tcW w:w="1091" w:type="dxa"/>
                  <w:noWrap w:val="0"/>
                  <w:vAlign w:val="center"/>
                </w:tcPr>
                <w:p w14:paraId="690B5462">
                  <w:pPr>
                    <w:pStyle w:val="116"/>
                    <w:keepNext w:val="0"/>
                    <w:keepLines w:val="0"/>
                    <w:pageBreakBefore w:val="0"/>
                    <w:widowControl w:val="0"/>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cs="Times New Roman"/>
                      <w:color w:val="000000" w:themeColor="text1"/>
                      <w:spacing w:val="-4"/>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pacing w:val="-4"/>
                      <w:sz w:val="21"/>
                      <w:szCs w:val="21"/>
                      <w:highlight w:val="none"/>
                      <w14:textFill>
                        <w14:solidFill>
                          <w14:schemeClr w14:val="tx1"/>
                        </w14:solidFill>
                      </w14:textFill>
                    </w:rPr>
                    <w:t>5~</w:t>
                  </w:r>
                  <w:r>
                    <w:rPr>
                      <w:rFonts w:hint="eastAsia" w:ascii="Times New Roman" w:hAnsi="Times New Roman" w:cs="Times New Roman"/>
                      <w:color w:val="000000" w:themeColor="text1"/>
                      <w:spacing w:val="-4"/>
                      <w:sz w:val="21"/>
                      <w:szCs w:val="21"/>
                      <w:highlight w:val="none"/>
                      <w:lang w:val="en-US" w:eastAsia="zh-CN"/>
                      <w14:textFill>
                        <w14:solidFill>
                          <w14:schemeClr w14:val="tx1"/>
                        </w14:solidFill>
                      </w14:textFill>
                    </w:rPr>
                    <w:t>8</w:t>
                  </w:r>
                </w:p>
                <w:p w14:paraId="0A8EF9A5">
                  <w:pPr>
                    <w:pStyle w:val="116"/>
                    <w:keepNext w:val="0"/>
                    <w:keepLines w:val="0"/>
                    <w:pageBreakBefore w:val="0"/>
                    <w:widowControl w:val="0"/>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eastAsia" w:ascii="Times New Roman" w:hAnsi="Times New Roman" w:cs="Times New Roman"/>
                      <w:color w:val="000000" w:themeColor="text1"/>
                      <w:spacing w:val="-2"/>
                      <w:sz w:val="21"/>
                      <w:szCs w:val="21"/>
                      <w:highlight w:val="none"/>
                      <w:lang w:val="en-US" w:eastAsia="zh-CN"/>
                      <w14:textFill>
                        <w14:solidFill>
                          <w14:schemeClr w14:val="tx1"/>
                        </w14:solidFill>
                      </w14:textFill>
                    </w:rPr>
                    <w:t>4</w:t>
                  </w:r>
                  <w:r>
                    <w:rPr>
                      <w:rFonts w:hint="default" w:ascii="Times New Roman" w:hAnsi="Times New Roman" w:cs="Times New Roman"/>
                      <w:color w:val="000000" w:themeColor="text1"/>
                      <w:spacing w:val="-2"/>
                      <w:sz w:val="21"/>
                      <w:szCs w:val="21"/>
                      <w:highlight w:val="none"/>
                      <w14:textFill>
                        <w14:solidFill>
                          <w14:schemeClr w14:val="tx1"/>
                        </w14:solidFill>
                      </w14:textFill>
                    </w:rPr>
                    <w:t>.0</w:t>
                  </w:r>
                  <w:r>
                    <w:rPr>
                      <w:rFonts w:hint="eastAsia" w:ascii="Times New Roman" w:hAnsi="Times New Roman" w:cs="Times New Roman"/>
                      <w:color w:val="000000" w:themeColor="text1"/>
                      <w:spacing w:val="-2"/>
                      <w:sz w:val="21"/>
                      <w:szCs w:val="21"/>
                      <w:highlight w:val="none"/>
                      <w:lang w:val="en-US" w:eastAsia="zh-CN"/>
                      <w14:textFill>
                        <w14:solidFill>
                          <w14:schemeClr w14:val="tx1"/>
                        </w14:solidFill>
                      </w14:textFill>
                    </w:rPr>
                    <w:t>2</w:t>
                  </w:r>
                </w:p>
                <w:p w14:paraId="1442388E">
                  <w:pPr>
                    <w:pStyle w:val="116"/>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eastAsia" w:ascii="Times New Roman" w:hAnsi="Times New Roman" w:cs="Times New Roman"/>
                      <w:color w:val="000000" w:themeColor="text1"/>
                      <w:spacing w:val="-2"/>
                      <w:position w:val="-3"/>
                      <w:sz w:val="21"/>
                      <w:szCs w:val="21"/>
                      <w:highlight w:val="none"/>
                      <w:lang w:val="en-US" w:eastAsia="zh-CN"/>
                      <w14:textFill>
                        <w14:solidFill>
                          <w14:schemeClr w14:val="tx1"/>
                        </w14:solidFill>
                      </w14:textFill>
                    </w:rPr>
                    <w:t>0.1</w:t>
                  </w:r>
                  <w:r>
                    <w:rPr>
                      <w:rFonts w:hint="default" w:ascii="Times New Roman" w:hAnsi="Times New Roman" w:cs="Times New Roman"/>
                      <w:color w:val="000000" w:themeColor="text1"/>
                      <w:spacing w:val="-2"/>
                      <w:position w:val="-3"/>
                      <w:sz w:val="21"/>
                      <w:szCs w:val="21"/>
                      <w:highlight w:val="none"/>
                      <w14:textFill>
                        <w14:solidFill>
                          <w14:schemeClr w14:val="tx1"/>
                        </w14:solidFill>
                      </w14:textFill>
                    </w:rPr>
                    <w:t>16</w:t>
                  </w:r>
                </w:p>
              </w:tc>
              <w:tc>
                <w:tcPr>
                  <w:tcW w:w="2448" w:type="dxa"/>
                  <w:noWrap w:val="0"/>
                  <w:vAlign w:val="center"/>
                </w:tcPr>
                <w:p w14:paraId="2BE37276">
                  <w:pPr>
                    <w:pStyle w:val="116"/>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right="0" w:rightChars="0" w:firstLine="0" w:firstLineChars="0"/>
                    <w:jc w:val="both"/>
                    <w:textAlignment w:val="baseline"/>
                    <w:rPr>
                      <w:rFonts w:hint="default" w:ascii="Times New Roman" w:hAnsi="Times New Roman" w:eastAsia="宋体" w:cs="Times New Roman"/>
                      <w:color w:val="000000" w:themeColor="text1"/>
                      <w:spacing w:val="-2"/>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2"/>
                      <w:sz w:val="21"/>
                      <w:szCs w:val="21"/>
                      <w:highlight w:val="none"/>
                      <w:lang w:val="en-US" w:eastAsia="zh-CN"/>
                      <w14:textFill>
                        <w14:solidFill>
                          <w14:schemeClr w14:val="tx1"/>
                        </w14:solidFill>
                      </w14:textFill>
                    </w:rPr>
                    <w:t>通过罐车拉运至污水处理厂</w:t>
                  </w:r>
                </w:p>
              </w:tc>
            </w:tr>
            <w:tr w14:paraId="70377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noWrap w:val="0"/>
                  <w:vAlign w:val="center"/>
                </w:tcPr>
                <w:p w14:paraId="40941CCA">
                  <w:pPr>
                    <w:pStyle w:val="116"/>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000000" w:themeColor="text1"/>
                      <w:kern w:val="2"/>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kern w:val="2"/>
                      <w:sz w:val="21"/>
                      <w:szCs w:val="21"/>
                      <w:highlight w:val="none"/>
                      <w:vertAlign w:val="baseline"/>
                      <w:lang w:val="en-US" w:eastAsia="zh-CN"/>
                      <w14:textFill>
                        <w14:solidFill>
                          <w14:schemeClr w14:val="tx1"/>
                        </w14:solidFill>
                      </w14:textFill>
                    </w:rPr>
                    <w:t>软水</w:t>
                  </w:r>
                </w:p>
                <w:p w14:paraId="64CD6BD4">
                  <w:pPr>
                    <w:pStyle w:val="116"/>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000000" w:themeColor="text1"/>
                      <w:kern w:val="2"/>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kern w:val="2"/>
                      <w:sz w:val="21"/>
                      <w:szCs w:val="21"/>
                      <w:highlight w:val="none"/>
                      <w:vertAlign w:val="baseline"/>
                      <w:lang w:val="en-US" w:eastAsia="zh-CN"/>
                      <w14:textFill>
                        <w14:solidFill>
                          <w14:schemeClr w14:val="tx1"/>
                        </w14:solidFill>
                      </w14:textFill>
                    </w:rPr>
                    <w:t>制备废水</w:t>
                  </w:r>
                </w:p>
              </w:tc>
              <w:tc>
                <w:tcPr>
                  <w:tcW w:w="1288" w:type="dxa"/>
                  <w:noWrap w:val="0"/>
                  <w:vAlign w:val="center"/>
                </w:tcPr>
                <w:p w14:paraId="5E356E57">
                  <w:pPr>
                    <w:pStyle w:val="116"/>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000000" w:themeColor="text1"/>
                      <w:kern w:val="2"/>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pacing w:val="-4"/>
                      <w:sz w:val="21"/>
                      <w:szCs w:val="21"/>
                      <w:highlight w:val="none"/>
                      <w:lang w:val="en-US" w:eastAsia="zh-CN"/>
                      <w14:textFill>
                        <w14:solidFill>
                          <w14:schemeClr w14:val="tx1"/>
                        </w14:solidFill>
                      </w14:textFill>
                    </w:rPr>
                    <w:t>5432.4</w:t>
                  </w:r>
                </w:p>
              </w:tc>
              <w:tc>
                <w:tcPr>
                  <w:tcW w:w="1188" w:type="dxa"/>
                  <w:noWrap w:val="0"/>
                  <w:vAlign w:val="center"/>
                </w:tcPr>
                <w:p w14:paraId="1911DFAA">
                  <w:pPr>
                    <w:pStyle w:val="116"/>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cs="Times New Roman"/>
                      <w:color w:val="000000" w:themeColor="text1"/>
                      <w:spacing w:val="-5"/>
                      <w:sz w:val="21"/>
                      <w:szCs w:val="21"/>
                      <w:highlight w:val="none"/>
                      <w14:textFill>
                        <w14:solidFill>
                          <w14:schemeClr w14:val="tx1"/>
                        </w14:solidFill>
                      </w14:textFill>
                    </w:rPr>
                    <w:t>SS</w:t>
                  </w:r>
                </w:p>
                <w:p w14:paraId="1376558A">
                  <w:pPr>
                    <w:pStyle w:val="116"/>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000000" w:themeColor="text1"/>
                      <w:kern w:val="2"/>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pacing w:val="-3"/>
                      <w:sz w:val="21"/>
                      <w:szCs w:val="21"/>
                      <w:highlight w:val="none"/>
                      <w14:textFill>
                        <w14:solidFill>
                          <w14:schemeClr w14:val="tx1"/>
                        </w14:solidFill>
                      </w14:textFill>
                    </w:rPr>
                    <w:t>TDS</w:t>
                  </w:r>
                </w:p>
              </w:tc>
              <w:tc>
                <w:tcPr>
                  <w:tcW w:w="1081" w:type="dxa"/>
                  <w:noWrap w:val="0"/>
                  <w:vAlign w:val="center"/>
                </w:tcPr>
                <w:p w14:paraId="040C2F63">
                  <w:pPr>
                    <w:pStyle w:val="116"/>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000000" w:themeColor="text1"/>
                      <w:spacing w:val="-13"/>
                      <w:sz w:val="21"/>
                      <w:szCs w:val="21"/>
                      <w:highlight w:val="none"/>
                      <w14:textFill>
                        <w14:solidFill>
                          <w14:schemeClr w14:val="tx1"/>
                        </w14:solidFill>
                      </w14:textFill>
                    </w:rPr>
                  </w:pPr>
                  <w:r>
                    <w:rPr>
                      <w:rFonts w:hint="default" w:ascii="Times New Roman" w:hAnsi="Times New Roman" w:cs="Times New Roman"/>
                      <w:color w:val="000000" w:themeColor="text1"/>
                      <w:spacing w:val="-13"/>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spacing w:val="-13"/>
                      <w:sz w:val="21"/>
                      <w:szCs w:val="21"/>
                      <w:highlight w:val="none"/>
                      <w14:textFill>
                        <w14:solidFill>
                          <w14:schemeClr w14:val="tx1"/>
                        </w14:solidFill>
                      </w14:textFill>
                    </w:rPr>
                    <w:t>200</w:t>
                  </w:r>
                </w:p>
                <w:p w14:paraId="6A9DAB4A">
                  <w:pPr>
                    <w:pStyle w:val="116"/>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000000" w:themeColor="text1"/>
                      <w:kern w:val="2"/>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pacing w:val="-13"/>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spacing w:val="-3"/>
                      <w:sz w:val="21"/>
                      <w:szCs w:val="21"/>
                      <w:highlight w:val="none"/>
                      <w14:textFill>
                        <w14:solidFill>
                          <w14:schemeClr w14:val="tx1"/>
                        </w14:solidFill>
                      </w14:textFill>
                    </w:rPr>
                    <w:t>2000</w:t>
                  </w:r>
                </w:p>
              </w:tc>
              <w:tc>
                <w:tcPr>
                  <w:tcW w:w="1091" w:type="dxa"/>
                  <w:noWrap w:val="0"/>
                  <w:vAlign w:val="center"/>
                </w:tcPr>
                <w:p w14:paraId="3A02735A">
                  <w:pPr>
                    <w:pStyle w:val="116"/>
                    <w:keepNext w:val="0"/>
                    <w:keepLines w:val="0"/>
                    <w:pageBreakBefore w:val="0"/>
                    <w:widowControl w:val="0"/>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pacing w:val="-3"/>
                      <w:sz w:val="21"/>
                      <w:szCs w:val="21"/>
                      <w:highlight w:val="none"/>
                      <w14:textFill>
                        <w14:solidFill>
                          <w14:schemeClr w14:val="tx1"/>
                        </w14:solidFill>
                      </w14:textFill>
                    </w:rPr>
                    <w:t>0.66</w:t>
                  </w:r>
                </w:p>
                <w:p w14:paraId="06DD248B">
                  <w:pPr>
                    <w:pStyle w:val="116"/>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000000" w:themeColor="text1"/>
                      <w:kern w:val="2"/>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pacing w:val="-3"/>
                      <w:position w:val="-2"/>
                      <w:sz w:val="21"/>
                      <w:szCs w:val="21"/>
                      <w:highlight w:val="none"/>
                      <w14:textFill>
                        <w14:solidFill>
                          <w14:schemeClr w14:val="tx1"/>
                        </w14:solidFill>
                      </w14:textFill>
                    </w:rPr>
                    <w:t>6.55</w:t>
                  </w:r>
                </w:p>
              </w:tc>
              <w:tc>
                <w:tcPr>
                  <w:tcW w:w="2448" w:type="dxa"/>
                  <w:noWrap w:val="0"/>
                  <w:vAlign w:val="center"/>
                </w:tcPr>
                <w:p w14:paraId="3C5B58BE">
                  <w:pPr>
                    <w:pStyle w:val="116"/>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right="0" w:rightChars="0" w:firstLine="0" w:firstLineChars="0"/>
                    <w:jc w:val="both"/>
                    <w:textAlignment w:val="baseline"/>
                    <w:rPr>
                      <w:rFonts w:hint="default" w:ascii="Times New Roman" w:hAnsi="Times New Roman" w:eastAsia="宋体" w:cs="Times New Roman"/>
                      <w:color w:val="000000" w:themeColor="text1"/>
                      <w:spacing w:val="-2"/>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2"/>
                      <w:sz w:val="21"/>
                      <w:szCs w:val="21"/>
                      <w:highlight w:val="none"/>
                      <w:lang w:val="en-US" w:eastAsia="zh-CN"/>
                      <w14:textFill>
                        <w14:solidFill>
                          <w14:schemeClr w14:val="tx1"/>
                        </w14:solidFill>
                      </w14:textFill>
                    </w:rPr>
                    <w:t>通过罐车拉运至污水处理厂</w:t>
                  </w:r>
                </w:p>
              </w:tc>
            </w:tr>
            <w:tr w14:paraId="22D70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noWrap w:val="0"/>
                  <w:vAlign w:val="center"/>
                </w:tcPr>
                <w:p w14:paraId="7CE051E1">
                  <w:pPr>
                    <w:pStyle w:val="116"/>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000000" w:themeColor="text1"/>
                      <w:kern w:val="2"/>
                      <w:sz w:val="21"/>
                      <w:szCs w:val="21"/>
                      <w:highlight w:val="none"/>
                      <w:vertAlign w:val="baseline"/>
                      <w:lang w:val="en-US" w:eastAsia="zh-CN"/>
                      <w14:textFill>
                        <w14:solidFill>
                          <w14:schemeClr w14:val="tx1"/>
                        </w14:solidFill>
                      </w14:textFill>
                    </w:rPr>
                  </w:pPr>
                  <w:r>
                    <w:rPr>
                      <w:rFonts w:hint="eastAsia" w:ascii="Times New Roman" w:hAnsi="Times New Roman" w:cs="Times New Roman"/>
                      <w:color w:val="000000" w:themeColor="text1"/>
                      <w:kern w:val="2"/>
                      <w:sz w:val="21"/>
                      <w:szCs w:val="21"/>
                      <w:highlight w:val="none"/>
                      <w:vertAlign w:val="baseline"/>
                      <w:lang w:val="en-US" w:eastAsia="zh-CN"/>
                      <w14:textFill>
                        <w14:solidFill>
                          <w14:schemeClr w14:val="tx1"/>
                        </w14:solidFill>
                      </w14:textFill>
                    </w:rPr>
                    <w:t>循环冷却水排水</w:t>
                  </w:r>
                </w:p>
              </w:tc>
              <w:tc>
                <w:tcPr>
                  <w:tcW w:w="1288" w:type="dxa"/>
                  <w:noWrap w:val="0"/>
                  <w:vAlign w:val="center"/>
                </w:tcPr>
                <w:p w14:paraId="06C89402">
                  <w:pPr>
                    <w:pStyle w:val="116"/>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000000" w:themeColor="text1"/>
                      <w:spacing w:val="-4"/>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pacing w:val="-4"/>
                      <w:sz w:val="21"/>
                      <w:szCs w:val="21"/>
                      <w:highlight w:val="none"/>
                      <w:lang w:val="en-US" w:eastAsia="zh-CN"/>
                      <w14:textFill>
                        <w14:solidFill>
                          <w14:schemeClr w14:val="tx1"/>
                        </w14:solidFill>
                      </w14:textFill>
                    </w:rPr>
                    <w:t>5904</w:t>
                  </w:r>
                </w:p>
              </w:tc>
              <w:tc>
                <w:tcPr>
                  <w:tcW w:w="1188" w:type="dxa"/>
                  <w:noWrap w:val="0"/>
                  <w:vAlign w:val="center"/>
                </w:tcPr>
                <w:p w14:paraId="0E0E1C3E">
                  <w:pPr>
                    <w:pStyle w:val="116"/>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cs="Times New Roman"/>
                      <w:color w:val="000000" w:themeColor="text1"/>
                      <w:spacing w:val="-5"/>
                      <w:sz w:val="21"/>
                      <w:szCs w:val="21"/>
                      <w:highlight w:val="none"/>
                      <w14:textFill>
                        <w14:solidFill>
                          <w14:schemeClr w14:val="tx1"/>
                        </w14:solidFill>
                      </w14:textFill>
                    </w:rPr>
                    <w:t>SS</w:t>
                  </w:r>
                </w:p>
                <w:p w14:paraId="05199DA0">
                  <w:pPr>
                    <w:pStyle w:val="116"/>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cs="Times New Roman"/>
                      <w:color w:val="000000" w:themeColor="text1"/>
                      <w:spacing w:val="-3"/>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pacing w:val="-3"/>
                      <w:sz w:val="21"/>
                      <w:szCs w:val="21"/>
                      <w:highlight w:val="none"/>
                      <w:lang w:val="en-US" w:eastAsia="zh-CN"/>
                      <w14:textFill>
                        <w14:solidFill>
                          <w14:schemeClr w14:val="tx1"/>
                        </w14:solidFill>
                      </w14:textFill>
                    </w:rPr>
                    <w:t>COD</w:t>
                  </w:r>
                </w:p>
                <w:p w14:paraId="6A42CF2B">
                  <w:pPr>
                    <w:pStyle w:val="116"/>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000000" w:themeColor="text1"/>
                      <w:spacing w:val="-3"/>
                      <w:sz w:val="21"/>
                      <w:szCs w:val="21"/>
                      <w:highlight w:val="none"/>
                      <w14:textFill>
                        <w14:solidFill>
                          <w14:schemeClr w14:val="tx1"/>
                        </w14:solidFill>
                      </w14:textFill>
                    </w:rPr>
                  </w:pPr>
                  <w:r>
                    <w:rPr>
                      <w:rFonts w:hint="default" w:ascii="Times New Roman" w:hAnsi="Times New Roman" w:cs="Times New Roman"/>
                      <w:color w:val="000000" w:themeColor="text1"/>
                      <w:spacing w:val="-3"/>
                      <w:sz w:val="21"/>
                      <w:szCs w:val="21"/>
                      <w:highlight w:val="none"/>
                      <w14:textFill>
                        <w14:solidFill>
                          <w14:schemeClr w14:val="tx1"/>
                        </w14:solidFill>
                      </w14:textFill>
                    </w:rPr>
                    <w:t>TDS</w:t>
                  </w:r>
                </w:p>
              </w:tc>
              <w:tc>
                <w:tcPr>
                  <w:tcW w:w="1081" w:type="dxa"/>
                  <w:noWrap w:val="0"/>
                  <w:vAlign w:val="center"/>
                </w:tcPr>
                <w:p w14:paraId="077E4676">
                  <w:pPr>
                    <w:pStyle w:val="116"/>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000000" w:themeColor="text1"/>
                      <w:spacing w:val="-13"/>
                      <w:sz w:val="21"/>
                      <w:szCs w:val="21"/>
                      <w:highlight w:val="none"/>
                      <w14:textFill>
                        <w14:solidFill>
                          <w14:schemeClr w14:val="tx1"/>
                        </w14:solidFill>
                      </w14:textFill>
                    </w:rPr>
                  </w:pPr>
                  <w:r>
                    <w:rPr>
                      <w:rFonts w:hint="default" w:ascii="Times New Roman" w:hAnsi="Times New Roman" w:cs="Times New Roman"/>
                      <w:color w:val="000000" w:themeColor="text1"/>
                      <w:spacing w:val="-13"/>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spacing w:val="-13"/>
                      <w:sz w:val="21"/>
                      <w:szCs w:val="21"/>
                      <w:highlight w:val="none"/>
                      <w14:textFill>
                        <w14:solidFill>
                          <w14:schemeClr w14:val="tx1"/>
                        </w14:solidFill>
                      </w14:textFill>
                    </w:rPr>
                    <w:t>200</w:t>
                  </w:r>
                </w:p>
                <w:p w14:paraId="25007665">
                  <w:pPr>
                    <w:pStyle w:val="116"/>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000000" w:themeColor="text1"/>
                      <w:spacing w:val="-13"/>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pacing w:val="-13"/>
                      <w:sz w:val="21"/>
                      <w:szCs w:val="21"/>
                      <w:highlight w:val="none"/>
                      <w:lang w:val="en-US" w:eastAsia="zh-CN"/>
                      <w14:textFill>
                        <w14:solidFill>
                          <w14:schemeClr w14:val="tx1"/>
                        </w14:solidFill>
                      </w14:textFill>
                    </w:rPr>
                    <w:t>~20</w:t>
                  </w:r>
                </w:p>
                <w:p w14:paraId="15FFCDC0">
                  <w:pPr>
                    <w:pStyle w:val="116"/>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000000" w:themeColor="text1"/>
                      <w:spacing w:val="-13"/>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pacing w:val="-13"/>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spacing w:val="-3"/>
                      <w:sz w:val="21"/>
                      <w:szCs w:val="21"/>
                      <w:highlight w:val="none"/>
                      <w14:textFill>
                        <w14:solidFill>
                          <w14:schemeClr w14:val="tx1"/>
                        </w14:solidFill>
                      </w14:textFill>
                    </w:rPr>
                    <w:t>2000</w:t>
                  </w:r>
                </w:p>
              </w:tc>
              <w:tc>
                <w:tcPr>
                  <w:tcW w:w="1091" w:type="dxa"/>
                  <w:noWrap w:val="0"/>
                  <w:vAlign w:val="center"/>
                </w:tcPr>
                <w:p w14:paraId="0E84E71D">
                  <w:pPr>
                    <w:pStyle w:val="116"/>
                    <w:keepNext w:val="0"/>
                    <w:keepLines w:val="0"/>
                    <w:pageBreakBefore w:val="0"/>
                    <w:widowControl w:val="0"/>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pacing w:val="-3"/>
                      <w:sz w:val="21"/>
                      <w:szCs w:val="21"/>
                      <w:highlight w:val="none"/>
                      <w14:textFill>
                        <w14:solidFill>
                          <w14:schemeClr w14:val="tx1"/>
                        </w14:solidFill>
                      </w14:textFill>
                    </w:rPr>
                    <w:t>0.66</w:t>
                  </w:r>
                </w:p>
                <w:p w14:paraId="66B4F148">
                  <w:pPr>
                    <w:pStyle w:val="116"/>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000000" w:themeColor="text1"/>
                      <w:spacing w:val="-3"/>
                      <w:position w:val="-2"/>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pacing w:val="-3"/>
                      <w:position w:val="-2"/>
                      <w:sz w:val="21"/>
                      <w:szCs w:val="21"/>
                      <w:highlight w:val="none"/>
                      <w:lang w:val="en-US" w:eastAsia="zh-CN"/>
                      <w14:textFill>
                        <w14:solidFill>
                          <w14:schemeClr w14:val="tx1"/>
                        </w14:solidFill>
                      </w14:textFill>
                    </w:rPr>
                    <w:t>0.07</w:t>
                  </w:r>
                </w:p>
                <w:p w14:paraId="4D86EF71">
                  <w:pPr>
                    <w:pStyle w:val="116"/>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000000" w:themeColor="text1"/>
                      <w:spacing w:val="-3"/>
                      <w:position w:val="-2"/>
                      <w:sz w:val="21"/>
                      <w:szCs w:val="21"/>
                      <w:highlight w:val="none"/>
                      <w14:textFill>
                        <w14:solidFill>
                          <w14:schemeClr w14:val="tx1"/>
                        </w14:solidFill>
                      </w14:textFill>
                    </w:rPr>
                  </w:pPr>
                  <w:r>
                    <w:rPr>
                      <w:rFonts w:hint="default" w:ascii="Times New Roman" w:hAnsi="Times New Roman" w:cs="Times New Roman"/>
                      <w:color w:val="000000" w:themeColor="text1"/>
                      <w:spacing w:val="-3"/>
                      <w:position w:val="-2"/>
                      <w:sz w:val="21"/>
                      <w:szCs w:val="21"/>
                      <w:highlight w:val="none"/>
                      <w14:textFill>
                        <w14:solidFill>
                          <w14:schemeClr w14:val="tx1"/>
                        </w14:solidFill>
                      </w14:textFill>
                    </w:rPr>
                    <w:t>6.55</w:t>
                  </w:r>
                </w:p>
              </w:tc>
              <w:tc>
                <w:tcPr>
                  <w:tcW w:w="2448" w:type="dxa"/>
                  <w:noWrap w:val="0"/>
                  <w:vAlign w:val="center"/>
                </w:tcPr>
                <w:p w14:paraId="4A2B6BDF">
                  <w:pPr>
                    <w:pStyle w:val="116"/>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right="0" w:rightChars="0" w:firstLine="0" w:firstLineChars="0"/>
                    <w:jc w:val="both"/>
                    <w:textAlignment w:val="baseline"/>
                    <w:rPr>
                      <w:rFonts w:hint="default" w:ascii="Times New Roman" w:hAnsi="Times New Roman" w:eastAsia="宋体" w:cs="Times New Roman"/>
                      <w:color w:val="000000" w:themeColor="text1"/>
                      <w:spacing w:val="-2"/>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2"/>
                      <w:sz w:val="21"/>
                      <w:szCs w:val="21"/>
                      <w:highlight w:val="none"/>
                      <w:lang w:val="en-US" w:eastAsia="zh-CN"/>
                      <w14:textFill>
                        <w14:solidFill>
                          <w14:schemeClr w14:val="tx1"/>
                        </w14:solidFill>
                      </w14:textFill>
                    </w:rPr>
                    <w:t>通过罐车拉运至污水处理厂</w:t>
                  </w:r>
                </w:p>
              </w:tc>
            </w:tr>
            <w:tr w14:paraId="6D5F0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noWrap w:val="0"/>
                  <w:vAlign w:val="center"/>
                </w:tcPr>
                <w:p w14:paraId="150A0C02">
                  <w:pPr>
                    <w:pStyle w:val="116"/>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000000" w:themeColor="text1"/>
                      <w:kern w:val="2"/>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pacing w:val="2"/>
                      <w:sz w:val="21"/>
                      <w:szCs w:val="21"/>
                      <w:highlight w:val="none"/>
                      <w14:textFill>
                        <w14:solidFill>
                          <w14:schemeClr w14:val="tx1"/>
                        </w14:solidFill>
                      </w14:textFill>
                    </w:rPr>
                    <w:t>生活污水</w:t>
                  </w:r>
                </w:p>
              </w:tc>
              <w:tc>
                <w:tcPr>
                  <w:tcW w:w="1288" w:type="dxa"/>
                  <w:noWrap w:val="0"/>
                  <w:vAlign w:val="center"/>
                </w:tcPr>
                <w:p w14:paraId="46CA8D40">
                  <w:pPr>
                    <w:pStyle w:val="116"/>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000000" w:themeColor="text1"/>
                      <w:kern w:val="2"/>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kern w:val="2"/>
                      <w:sz w:val="21"/>
                      <w:szCs w:val="21"/>
                      <w:highlight w:val="none"/>
                      <w:vertAlign w:val="baseline"/>
                      <w:lang w:val="en-US" w:eastAsia="zh-CN"/>
                      <w14:textFill>
                        <w14:solidFill>
                          <w14:schemeClr w14:val="tx1"/>
                        </w14:solidFill>
                      </w14:textFill>
                    </w:rPr>
                    <w:t>504</w:t>
                  </w:r>
                </w:p>
              </w:tc>
              <w:tc>
                <w:tcPr>
                  <w:tcW w:w="1188" w:type="dxa"/>
                  <w:noWrap w:val="0"/>
                  <w:vAlign w:val="center"/>
                </w:tcPr>
                <w:p w14:paraId="49D92032">
                  <w:pPr>
                    <w:pStyle w:val="116"/>
                    <w:keepNext w:val="0"/>
                    <w:keepLines w:val="0"/>
                    <w:pageBreakBefore w:val="0"/>
                    <w:widowControl w:val="0"/>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cs="Times New Roman"/>
                      <w:color w:val="000000" w:themeColor="text1"/>
                      <w:spacing w:val="-4"/>
                      <w:sz w:val="21"/>
                      <w:szCs w:val="21"/>
                      <w:highlight w:val="none"/>
                      <w14:textFill>
                        <w14:solidFill>
                          <w14:schemeClr w14:val="tx1"/>
                        </w14:solidFill>
                      </w14:textFill>
                    </w:rPr>
                    <w:t>pH</w:t>
                  </w:r>
                </w:p>
                <w:p w14:paraId="51A87F43">
                  <w:pPr>
                    <w:pStyle w:val="116"/>
                    <w:keepNext w:val="0"/>
                    <w:keepLines w:val="0"/>
                    <w:pageBreakBefore w:val="0"/>
                    <w:widowControl w:val="0"/>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color w:val="000000" w:themeColor="text1"/>
                      <w:spacing w:val="1"/>
                      <w:sz w:val="21"/>
                      <w:szCs w:val="21"/>
                      <w:highlight w:val="none"/>
                      <w:lang w:eastAsia="zh-CN"/>
                      <w14:textFill>
                        <w14:solidFill>
                          <w14:schemeClr w14:val="tx1"/>
                        </w14:solidFill>
                      </w14:textFill>
                    </w:rPr>
                  </w:pPr>
                  <w:r>
                    <w:rPr>
                      <w:rFonts w:hint="eastAsia" w:ascii="Times New Roman" w:hAnsi="Times New Roman" w:cs="Times New Roman"/>
                      <w:color w:val="000000" w:themeColor="text1"/>
                      <w:spacing w:val="-2"/>
                      <w:sz w:val="21"/>
                      <w:szCs w:val="21"/>
                      <w:highlight w:val="none"/>
                      <w:lang w:eastAsia="zh-CN"/>
                      <w14:textFill>
                        <w14:solidFill>
                          <w14:schemeClr w14:val="tx1"/>
                        </w14:solidFill>
                      </w14:textFill>
                    </w:rPr>
                    <w:t>COD</w:t>
                  </w:r>
                </w:p>
                <w:p w14:paraId="721D36B6">
                  <w:pPr>
                    <w:pStyle w:val="116"/>
                    <w:keepNext w:val="0"/>
                    <w:keepLines w:val="0"/>
                    <w:pageBreakBefore w:val="0"/>
                    <w:widowControl w:val="0"/>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Calibri"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pacing w:val="-1"/>
                      <w:sz w:val="21"/>
                      <w:szCs w:val="21"/>
                      <w:highlight w:val="none"/>
                      <w14:textFill>
                        <w14:solidFill>
                          <w14:schemeClr w14:val="tx1"/>
                        </w14:solidFill>
                      </w14:textFill>
                    </w:rPr>
                    <w:t>BOD</w:t>
                  </w:r>
                  <w:r>
                    <w:rPr>
                      <w:rFonts w:hint="default" w:ascii="Times New Roman" w:hAnsi="Times New Roman" w:eastAsia="Calibri" w:cs="Times New Roman"/>
                      <w:color w:val="000000" w:themeColor="text1"/>
                      <w:spacing w:val="-1"/>
                      <w:sz w:val="21"/>
                      <w:szCs w:val="21"/>
                      <w:highlight w:val="none"/>
                      <w14:textFill>
                        <w14:solidFill>
                          <w14:schemeClr w14:val="tx1"/>
                        </w14:solidFill>
                      </w14:textFill>
                    </w:rPr>
                    <w:t>₅</w:t>
                  </w:r>
                </w:p>
                <w:p w14:paraId="663942F7">
                  <w:pPr>
                    <w:pStyle w:val="116"/>
                    <w:keepNext w:val="0"/>
                    <w:keepLines w:val="0"/>
                    <w:pageBreakBefore w:val="0"/>
                    <w:widowControl w:val="0"/>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pacing w:val="-3"/>
                      <w:position w:val="-3"/>
                      <w:sz w:val="21"/>
                      <w:szCs w:val="21"/>
                      <w:highlight w:val="none"/>
                      <w14:textFill>
                        <w14:solidFill>
                          <w14:schemeClr w14:val="tx1"/>
                        </w14:solidFill>
                      </w14:textFill>
                    </w:rPr>
                    <w:t>SS</w:t>
                  </w:r>
                </w:p>
                <w:p w14:paraId="5D7B8545">
                  <w:pPr>
                    <w:pStyle w:val="116"/>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000000" w:themeColor="text1"/>
                      <w:kern w:val="2"/>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pacing w:val="-3"/>
                      <w:sz w:val="21"/>
                      <w:szCs w:val="21"/>
                      <w:highlight w:val="none"/>
                      <w14:textFill>
                        <w14:solidFill>
                          <w14:schemeClr w14:val="tx1"/>
                        </w14:solidFill>
                      </w14:textFill>
                    </w:rPr>
                    <w:t>氨氮</w:t>
                  </w:r>
                </w:p>
              </w:tc>
              <w:tc>
                <w:tcPr>
                  <w:tcW w:w="1081" w:type="dxa"/>
                  <w:noWrap w:val="0"/>
                  <w:vAlign w:val="center"/>
                </w:tcPr>
                <w:p w14:paraId="363F5CEA">
                  <w:pPr>
                    <w:pStyle w:val="116"/>
                    <w:keepNext w:val="0"/>
                    <w:keepLines w:val="0"/>
                    <w:pageBreakBefore w:val="0"/>
                    <w:widowControl w:val="0"/>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pacing w:val="-3"/>
                      <w:sz w:val="21"/>
                      <w:szCs w:val="21"/>
                      <w:highlight w:val="none"/>
                      <w14:textFill>
                        <w14:solidFill>
                          <w14:schemeClr w14:val="tx1"/>
                        </w14:solidFill>
                      </w14:textFill>
                    </w:rPr>
                    <w:t>6</w:t>
                  </w:r>
                  <w:r>
                    <w:rPr>
                      <w:rFonts w:hint="default" w:ascii="Times New Roman" w:hAnsi="Times New Roman" w:cs="Times New Roman"/>
                      <w:color w:val="000000" w:themeColor="text1"/>
                      <w:spacing w:val="-3"/>
                      <w:sz w:val="21"/>
                      <w:szCs w:val="21"/>
                      <w:highlight w:val="none"/>
                      <w:lang w:eastAsia="zh-CN"/>
                      <w14:textFill>
                        <w14:solidFill>
                          <w14:schemeClr w14:val="tx1"/>
                        </w14:solidFill>
                      </w14:textFill>
                    </w:rPr>
                    <w:t>~</w:t>
                  </w:r>
                  <w:r>
                    <w:rPr>
                      <w:rFonts w:hint="default" w:ascii="Times New Roman" w:hAnsi="Times New Roman" w:cs="Times New Roman"/>
                      <w:color w:val="000000" w:themeColor="text1"/>
                      <w:spacing w:val="-3"/>
                      <w:sz w:val="21"/>
                      <w:szCs w:val="21"/>
                      <w:highlight w:val="none"/>
                      <w14:textFill>
                        <w14:solidFill>
                          <w14:schemeClr w14:val="tx1"/>
                        </w14:solidFill>
                      </w14:textFill>
                    </w:rPr>
                    <w:t>9</w:t>
                  </w:r>
                </w:p>
                <w:p w14:paraId="67621206">
                  <w:pPr>
                    <w:pStyle w:val="116"/>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000000" w:themeColor="text1"/>
                      <w:kern w:val="2"/>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kern w:val="2"/>
                      <w:sz w:val="21"/>
                      <w:szCs w:val="21"/>
                      <w:highlight w:val="none"/>
                      <w:vertAlign w:val="baseline"/>
                      <w:lang w:val="en-US" w:eastAsia="zh-CN"/>
                      <w14:textFill>
                        <w14:solidFill>
                          <w14:schemeClr w14:val="tx1"/>
                        </w14:solidFill>
                      </w14:textFill>
                    </w:rPr>
                    <w:t>~400</w:t>
                  </w:r>
                </w:p>
                <w:p w14:paraId="08F95B59">
                  <w:pPr>
                    <w:pStyle w:val="116"/>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000000" w:themeColor="text1"/>
                      <w:kern w:val="2"/>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kern w:val="2"/>
                      <w:sz w:val="21"/>
                      <w:szCs w:val="21"/>
                      <w:highlight w:val="none"/>
                      <w:vertAlign w:val="baseline"/>
                      <w:lang w:val="en-US" w:eastAsia="zh-CN"/>
                      <w14:textFill>
                        <w14:solidFill>
                          <w14:schemeClr w14:val="tx1"/>
                        </w14:solidFill>
                      </w14:textFill>
                    </w:rPr>
                    <w:t>~300</w:t>
                  </w:r>
                </w:p>
                <w:p w14:paraId="09A3FB30">
                  <w:pPr>
                    <w:pStyle w:val="116"/>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000000" w:themeColor="text1"/>
                      <w:kern w:val="2"/>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kern w:val="2"/>
                      <w:sz w:val="21"/>
                      <w:szCs w:val="21"/>
                      <w:highlight w:val="none"/>
                      <w:vertAlign w:val="baseline"/>
                      <w:lang w:val="en-US" w:eastAsia="zh-CN"/>
                      <w14:textFill>
                        <w14:solidFill>
                          <w14:schemeClr w14:val="tx1"/>
                        </w14:solidFill>
                      </w14:textFill>
                    </w:rPr>
                    <w:t>250</w:t>
                  </w:r>
                </w:p>
                <w:p w14:paraId="403A4D8E">
                  <w:pPr>
                    <w:pStyle w:val="116"/>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000000" w:themeColor="text1"/>
                      <w:kern w:val="2"/>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kern w:val="2"/>
                      <w:sz w:val="21"/>
                      <w:szCs w:val="21"/>
                      <w:highlight w:val="none"/>
                      <w:vertAlign w:val="baseline"/>
                      <w:lang w:val="en-US" w:eastAsia="zh-CN"/>
                      <w14:textFill>
                        <w14:solidFill>
                          <w14:schemeClr w14:val="tx1"/>
                        </w14:solidFill>
                      </w14:textFill>
                    </w:rPr>
                    <w:t>~35</w:t>
                  </w:r>
                </w:p>
              </w:tc>
              <w:tc>
                <w:tcPr>
                  <w:tcW w:w="1091" w:type="dxa"/>
                  <w:noWrap w:val="0"/>
                  <w:vAlign w:val="center"/>
                </w:tcPr>
                <w:p w14:paraId="34ECC6B4">
                  <w:pPr>
                    <w:pStyle w:val="116"/>
                    <w:keepNext w:val="0"/>
                    <w:keepLines w:val="0"/>
                    <w:pageBreakBefore w:val="0"/>
                    <w:widowControl w:val="0"/>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pacing w:val="-3"/>
                      <w:sz w:val="21"/>
                      <w:szCs w:val="21"/>
                      <w:highlight w:val="none"/>
                      <w14:textFill>
                        <w14:solidFill>
                          <w14:schemeClr w14:val="tx1"/>
                        </w14:solidFill>
                      </w14:textFill>
                    </w:rPr>
                    <w:t>6</w:t>
                  </w:r>
                  <w:r>
                    <w:rPr>
                      <w:rFonts w:hint="default" w:ascii="Times New Roman" w:hAnsi="Times New Roman" w:cs="Times New Roman"/>
                      <w:color w:val="000000" w:themeColor="text1"/>
                      <w:spacing w:val="-3"/>
                      <w:sz w:val="21"/>
                      <w:szCs w:val="21"/>
                      <w:highlight w:val="none"/>
                      <w:lang w:eastAsia="zh-CN"/>
                      <w14:textFill>
                        <w14:solidFill>
                          <w14:schemeClr w14:val="tx1"/>
                        </w14:solidFill>
                      </w14:textFill>
                    </w:rPr>
                    <w:t>~</w:t>
                  </w:r>
                  <w:r>
                    <w:rPr>
                      <w:rFonts w:hint="default" w:ascii="Times New Roman" w:hAnsi="Times New Roman" w:cs="Times New Roman"/>
                      <w:color w:val="000000" w:themeColor="text1"/>
                      <w:spacing w:val="-3"/>
                      <w:sz w:val="21"/>
                      <w:szCs w:val="21"/>
                      <w:highlight w:val="none"/>
                      <w14:textFill>
                        <w14:solidFill>
                          <w14:schemeClr w14:val="tx1"/>
                        </w14:solidFill>
                      </w14:textFill>
                    </w:rPr>
                    <w:t>9</w:t>
                  </w:r>
                </w:p>
                <w:p w14:paraId="2BDB2DEC">
                  <w:pPr>
                    <w:pStyle w:val="116"/>
                    <w:keepNext w:val="0"/>
                    <w:keepLines w:val="0"/>
                    <w:pageBreakBefore w:val="0"/>
                    <w:widowControl w:val="0"/>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000000" w:themeColor="text1"/>
                      <w:spacing w:val="3"/>
                      <w:sz w:val="21"/>
                      <w:szCs w:val="21"/>
                      <w:highlight w:val="none"/>
                      <w:lang w:eastAsia="zh-CN"/>
                      <w14:textFill>
                        <w14:solidFill>
                          <w14:schemeClr w14:val="tx1"/>
                        </w14:solidFill>
                      </w14:textFill>
                    </w:rPr>
                  </w:pPr>
                  <w:r>
                    <w:rPr>
                      <w:rFonts w:hint="default" w:ascii="Times New Roman" w:hAnsi="Times New Roman" w:cs="Times New Roman"/>
                      <w:color w:val="000000" w:themeColor="text1"/>
                      <w:spacing w:val="-3"/>
                      <w:sz w:val="21"/>
                      <w:szCs w:val="21"/>
                      <w:highlight w:val="none"/>
                      <w14:textFill>
                        <w14:solidFill>
                          <w14:schemeClr w14:val="tx1"/>
                        </w14:solidFill>
                      </w14:textFill>
                    </w:rPr>
                    <w:t>0.432</w:t>
                  </w:r>
                </w:p>
                <w:p w14:paraId="7E7CA1B2">
                  <w:pPr>
                    <w:pStyle w:val="116"/>
                    <w:keepNext w:val="0"/>
                    <w:keepLines w:val="0"/>
                    <w:pageBreakBefore w:val="0"/>
                    <w:widowControl w:val="0"/>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000000" w:themeColor="text1"/>
                      <w:spacing w:val="3"/>
                      <w:sz w:val="21"/>
                      <w:szCs w:val="21"/>
                      <w:highlight w:val="none"/>
                      <w:lang w:eastAsia="zh-CN"/>
                      <w14:textFill>
                        <w14:solidFill>
                          <w14:schemeClr w14:val="tx1"/>
                        </w14:solidFill>
                      </w14:textFill>
                    </w:rPr>
                  </w:pPr>
                  <w:r>
                    <w:rPr>
                      <w:rFonts w:hint="default" w:ascii="Times New Roman" w:hAnsi="Times New Roman" w:cs="Times New Roman"/>
                      <w:color w:val="000000" w:themeColor="text1"/>
                      <w:spacing w:val="-3"/>
                      <w:sz w:val="21"/>
                      <w:szCs w:val="21"/>
                      <w:highlight w:val="none"/>
                      <w14:textFill>
                        <w14:solidFill>
                          <w14:schemeClr w14:val="tx1"/>
                        </w14:solidFill>
                      </w14:textFill>
                    </w:rPr>
                    <w:t>0.324</w:t>
                  </w:r>
                </w:p>
                <w:p w14:paraId="665BE209">
                  <w:pPr>
                    <w:pStyle w:val="116"/>
                    <w:keepNext w:val="0"/>
                    <w:keepLines w:val="0"/>
                    <w:pageBreakBefore w:val="0"/>
                    <w:widowControl w:val="0"/>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pacing w:val="-3"/>
                      <w:sz w:val="21"/>
                      <w:szCs w:val="21"/>
                      <w:highlight w:val="none"/>
                      <w14:textFill>
                        <w14:solidFill>
                          <w14:schemeClr w14:val="tx1"/>
                        </w14:solidFill>
                      </w14:textFill>
                    </w:rPr>
                    <w:t>0.270</w:t>
                  </w:r>
                </w:p>
                <w:p w14:paraId="13BE6B75">
                  <w:pPr>
                    <w:pStyle w:val="116"/>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000000" w:themeColor="text1"/>
                      <w:kern w:val="2"/>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pacing w:val="-2"/>
                      <w:position w:val="-2"/>
                      <w:sz w:val="21"/>
                      <w:szCs w:val="21"/>
                      <w:highlight w:val="none"/>
                      <w14:textFill>
                        <w14:solidFill>
                          <w14:schemeClr w14:val="tx1"/>
                        </w14:solidFill>
                      </w14:textFill>
                    </w:rPr>
                    <w:t>0.038</w:t>
                  </w:r>
                </w:p>
              </w:tc>
              <w:tc>
                <w:tcPr>
                  <w:tcW w:w="2448" w:type="dxa"/>
                  <w:noWrap w:val="0"/>
                  <w:vAlign w:val="center"/>
                </w:tcPr>
                <w:p w14:paraId="6A4AC732">
                  <w:pPr>
                    <w:pStyle w:val="116"/>
                    <w:keepNext w:val="0"/>
                    <w:keepLines w:val="0"/>
                    <w:pageBreakBefore w:val="0"/>
                    <w:widowControl w:val="0"/>
                    <w:kinsoku w:val="0"/>
                    <w:wordWrap/>
                    <w:overflowPunct/>
                    <w:topLinePunct w:val="0"/>
                    <w:autoSpaceDE w:val="0"/>
                    <w:autoSpaceDN w:val="0"/>
                    <w:bidi w:val="0"/>
                    <w:adjustRightInd w:val="0"/>
                    <w:snapToGrid w:val="0"/>
                    <w:spacing w:line="240" w:lineRule="auto"/>
                    <w:ind w:left="0" w:right="0" w:firstLine="0"/>
                    <w:jc w:val="both"/>
                    <w:textAlignment w:val="baseline"/>
                    <w:rPr>
                      <w:rFonts w:hint="default" w:ascii="Times New Roman" w:hAnsi="Times New Roman" w:eastAsia="宋体" w:cs="Times New Roman"/>
                      <w:color w:val="000000" w:themeColor="text1"/>
                      <w:kern w:val="2"/>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pacing w:val="-2"/>
                      <w:sz w:val="21"/>
                      <w:szCs w:val="21"/>
                      <w:highlight w:val="none"/>
                      <w14:textFill>
                        <w14:solidFill>
                          <w14:schemeClr w14:val="tx1"/>
                        </w14:solidFill>
                      </w14:textFill>
                    </w:rPr>
                    <w:t>厂区内</w:t>
                  </w:r>
                  <w:r>
                    <w:rPr>
                      <w:rFonts w:hint="eastAsia" w:ascii="Times New Roman" w:hAnsi="Times New Roman" w:cs="Times New Roman"/>
                      <w:color w:val="000000" w:themeColor="text1"/>
                      <w:spacing w:val="-2"/>
                      <w:sz w:val="21"/>
                      <w:szCs w:val="21"/>
                      <w:highlight w:val="none"/>
                      <w:lang w:val="en-US" w:eastAsia="zh-CN"/>
                      <w14:textFill>
                        <w14:solidFill>
                          <w14:schemeClr w14:val="tx1"/>
                        </w14:solidFill>
                      </w14:textFill>
                    </w:rPr>
                    <w:t>防渗</w:t>
                  </w:r>
                  <w:r>
                    <w:rPr>
                      <w:rFonts w:hint="default" w:ascii="Times New Roman" w:hAnsi="Times New Roman" w:cs="Times New Roman"/>
                      <w:color w:val="000000" w:themeColor="text1"/>
                      <w:spacing w:val="-2"/>
                      <w:sz w:val="21"/>
                      <w:szCs w:val="21"/>
                      <w:highlight w:val="none"/>
                      <w14:textFill>
                        <w14:solidFill>
                          <w14:schemeClr w14:val="tx1"/>
                        </w14:solidFill>
                      </w14:textFill>
                    </w:rPr>
                    <w:t>化粪池处理后</w:t>
                  </w:r>
                  <w:r>
                    <w:rPr>
                      <w:rFonts w:hint="default" w:ascii="Times New Roman" w:hAnsi="Times New Roman" w:cs="Times New Roman"/>
                      <w:color w:val="000000" w:themeColor="text1"/>
                      <w:spacing w:val="-2"/>
                      <w:sz w:val="21"/>
                      <w:szCs w:val="21"/>
                      <w:highlight w:val="none"/>
                      <w:lang w:val="en-US" w:eastAsia="zh-CN"/>
                      <w14:textFill>
                        <w14:solidFill>
                          <w14:schemeClr w14:val="tx1"/>
                        </w14:solidFill>
                      </w14:textFill>
                    </w:rPr>
                    <w:t>罐车拉运至</w:t>
                  </w:r>
                  <w:r>
                    <w:rPr>
                      <w:rFonts w:hint="default" w:ascii="Times New Roman" w:hAnsi="Times New Roman" w:cs="Times New Roman"/>
                      <w:color w:val="000000" w:themeColor="text1"/>
                      <w:spacing w:val="-2"/>
                      <w:sz w:val="21"/>
                      <w:szCs w:val="21"/>
                      <w:highlight w:val="none"/>
                      <w14:textFill>
                        <w14:solidFill>
                          <w14:schemeClr w14:val="tx1"/>
                        </w14:solidFill>
                      </w14:textFill>
                    </w:rPr>
                    <w:t>园</w:t>
                  </w:r>
                  <w:r>
                    <w:rPr>
                      <w:rFonts w:hint="eastAsia" w:ascii="Times New Roman" w:hAnsi="Times New Roman" w:cs="Times New Roman"/>
                      <w:color w:val="000000" w:themeColor="text1"/>
                      <w:spacing w:val="-2"/>
                      <w:sz w:val="21"/>
                      <w:szCs w:val="21"/>
                      <w:highlight w:val="none"/>
                      <w:lang w:val="en-US" w:eastAsia="zh-CN"/>
                      <w14:textFill>
                        <w14:solidFill>
                          <w14:schemeClr w14:val="tx1"/>
                        </w14:solidFill>
                      </w14:textFill>
                    </w:rPr>
                    <w:t>区</w:t>
                  </w:r>
                  <w:r>
                    <w:rPr>
                      <w:rFonts w:hint="default" w:ascii="Times New Roman" w:hAnsi="Times New Roman" w:cs="Times New Roman"/>
                      <w:color w:val="000000" w:themeColor="text1"/>
                      <w:spacing w:val="-2"/>
                      <w:sz w:val="21"/>
                      <w:szCs w:val="21"/>
                      <w:highlight w:val="none"/>
                      <w14:textFill>
                        <w14:solidFill>
                          <w14:schemeClr w14:val="tx1"/>
                        </w14:solidFill>
                      </w14:textFill>
                    </w:rPr>
                    <w:t>污水处理</w:t>
                  </w:r>
                  <w:r>
                    <w:rPr>
                      <w:rFonts w:hint="default" w:ascii="Times New Roman" w:hAnsi="Times New Roman" w:cs="Times New Roman"/>
                      <w:color w:val="000000" w:themeColor="text1"/>
                      <w:spacing w:val="-3"/>
                      <w:sz w:val="21"/>
                      <w:szCs w:val="21"/>
                      <w:highlight w:val="none"/>
                      <w14:textFill>
                        <w14:solidFill>
                          <w14:schemeClr w14:val="tx1"/>
                        </w14:solidFill>
                      </w14:textFill>
                    </w:rPr>
                    <w:t>厂处理</w:t>
                  </w:r>
                </w:p>
              </w:tc>
            </w:tr>
          </w:tbl>
          <w:p w14:paraId="753FF37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根据表4-</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12</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所述，生活污水依托厂区内化粪池</w:t>
            </w:r>
            <w:r>
              <w:rPr>
                <w:rFonts w:hint="eastAsia" w:cs="Times New Roman"/>
                <w:color w:val="000000" w:themeColor="text1"/>
                <w:sz w:val="24"/>
                <w:szCs w:val="24"/>
                <w:highlight w:val="none"/>
                <w:lang w:val="en-US" w:eastAsia="zh-CN"/>
                <w14:textFill>
                  <w14:solidFill>
                    <w14:schemeClr w14:val="tx1"/>
                  </w14:solidFill>
                </w14:textFill>
              </w:rPr>
              <w:t>收集处理</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后，</w:t>
            </w:r>
            <w:r>
              <w:rPr>
                <w:rFonts w:hint="eastAsia" w:cs="Times New Roman"/>
                <w:color w:val="000000" w:themeColor="text1"/>
                <w:sz w:val="24"/>
                <w:szCs w:val="24"/>
                <w:highlight w:val="none"/>
                <w:lang w:val="en-US" w:eastAsia="zh-CN"/>
                <w14:textFill>
                  <w14:solidFill>
                    <w14:schemeClr w14:val="tx1"/>
                  </w14:solidFill>
                </w14:textFill>
              </w:rPr>
              <w:t>通过灌区拉运</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进入</w:t>
            </w:r>
            <w:r>
              <w:rPr>
                <w:rFonts w:hint="eastAsia" w:cs="Times New Roman"/>
                <w:color w:val="000000" w:themeColor="text1"/>
                <w:sz w:val="24"/>
                <w:szCs w:val="24"/>
                <w:highlight w:val="none"/>
                <w:lang w:val="en-US" w:eastAsia="zh-CN"/>
                <w14:textFill>
                  <w14:solidFill>
                    <w14:schemeClr w14:val="tx1"/>
                  </w14:solidFill>
                </w14:textFill>
              </w:rPr>
              <w:t>园区</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污水处理厂处理，对周边环境基本无影响。</w:t>
            </w:r>
          </w:p>
          <w:p w14:paraId="023BFA5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本项目</w:t>
            </w:r>
            <w:r>
              <w:rPr>
                <w:rFonts w:hint="eastAsia" w:cs="Times New Roman"/>
                <w:color w:val="000000" w:themeColor="text1"/>
                <w:sz w:val="24"/>
                <w:szCs w:val="24"/>
                <w:highlight w:val="none"/>
                <w:lang w:val="en-US" w:eastAsia="zh-CN"/>
                <w14:textFill>
                  <w14:solidFill>
                    <w14:schemeClr w14:val="tx1"/>
                  </w14:solidFill>
                </w14:textFill>
              </w:rPr>
              <w:t>脱硫装置</w:t>
            </w:r>
            <w:r>
              <w:rPr>
                <w:rFonts w:hint="default" w:ascii="宋体" w:hAnsi="宋体" w:eastAsia="宋体" w:cs="宋体"/>
                <w:color w:val="000000" w:themeColor="text1"/>
                <w:kern w:val="0"/>
                <w:sz w:val="24"/>
                <w:szCs w:val="24"/>
                <w:highlight w:val="none"/>
                <w:lang w:val="en-US" w:eastAsia="zh-CN" w:bidi="ar"/>
                <w14:textFill>
                  <w14:solidFill>
                    <w14:schemeClr w14:val="tx1"/>
                  </w14:solidFill>
                </w14:textFill>
              </w:rPr>
              <w:t>经三联箱装置处理后</w:t>
            </w:r>
            <w:r>
              <w:rPr>
                <w:rFonts w:hint="eastAsia" w:ascii="宋体" w:hAnsi="宋体" w:cs="宋体"/>
                <w:color w:val="000000" w:themeColor="text1"/>
                <w:kern w:val="0"/>
                <w:sz w:val="24"/>
                <w:szCs w:val="24"/>
                <w:highlight w:val="none"/>
                <w:lang w:val="en-US" w:eastAsia="zh-CN" w:bidi="ar"/>
                <w14:textFill>
                  <w14:solidFill>
                    <w14:schemeClr w14:val="tx1"/>
                  </w14:solidFill>
                </w14:textFill>
              </w:rPr>
              <w:t>脱硫废水满足</w:t>
            </w:r>
            <w:r>
              <w:rPr>
                <w:rFonts w:hint="eastAsia" w:cs="Times New Roman"/>
                <w:b w:val="0"/>
                <w:bCs w:val="0"/>
                <w:color w:val="000000" w:themeColor="text1"/>
                <w:kern w:val="2"/>
                <w:sz w:val="24"/>
                <w:szCs w:val="24"/>
                <w:highlight w:val="none"/>
                <w:lang w:val="en-US" w:eastAsia="zh-CN" w:bidi="ar-SA"/>
                <w14:textFill>
                  <w14:solidFill>
                    <w14:schemeClr w14:val="tx1"/>
                  </w14:solidFill>
                </w14:textFill>
              </w:rPr>
              <w:t>《城市污水再生利用 工业用水水质》（GB/T 19923-2024）</w:t>
            </w:r>
            <w:r>
              <w:rPr>
                <w:rFonts w:hint="eastAsia" w:ascii="Times New Roman" w:hAnsi="Times New Roman" w:eastAsia="宋体" w:cs="Times New Roman"/>
                <w:b w:val="0"/>
                <w:bCs w:val="0"/>
                <w:color w:val="000000" w:themeColor="text1"/>
                <w:kern w:val="2"/>
                <w:sz w:val="24"/>
                <w:szCs w:val="24"/>
                <w:highlight w:val="none"/>
                <w:lang w:val="en-US" w:eastAsia="zh-CN" w:bidi="ar-SA"/>
                <w14:textFill>
                  <w14:solidFill>
                    <w14:schemeClr w14:val="tx1"/>
                  </w14:solidFill>
                </w14:textFill>
              </w:rPr>
              <w:t>后</w:t>
            </w:r>
            <w:r>
              <w:rPr>
                <w:rFonts w:hint="eastAsia" w:ascii="宋体" w:hAnsi="宋体" w:cs="宋体"/>
                <w:color w:val="000000" w:themeColor="text1"/>
                <w:kern w:val="0"/>
                <w:sz w:val="24"/>
                <w:szCs w:val="24"/>
                <w:highlight w:val="none"/>
                <w:lang w:val="en-US" w:eastAsia="zh-CN" w:bidi="ar"/>
                <w14:textFill>
                  <w14:solidFill>
                    <w14:schemeClr w14:val="tx1"/>
                  </w14:solidFill>
                </w14:textFill>
              </w:rPr>
              <w:t>回用于脱硫浆液制备用水；</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循环冷却水</w:t>
            </w:r>
            <w:r>
              <w:rPr>
                <w:rFonts w:hint="eastAsia" w:cs="Times New Roman"/>
                <w:color w:val="000000" w:themeColor="text1"/>
                <w:sz w:val="24"/>
                <w:szCs w:val="24"/>
                <w:highlight w:val="none"/>
                <w:lang w:val="en-US" w:eastAsia="zh-CN"/>
                <w14:textFill>
                  <w14:solidFill>
                    <w14:schemeClr w14:val="tx1"/>
                  </w14:solidFill>
                </w14:textFill>
              </w:rPr>
              <w:t>系统</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排污水</w:t>
            </w:r>
            <w:r>
              <w:rPr>
                <w:rFonts w:hint="eastAsia"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软水排水和余热锅炉排水</w:t>
            </w:r>
            <w:r>
              <w:rPr>
                <w:rFonts w:hint="eastAsia" w:cs="Times New Roman"/>
                <w:color w:val="000000" w:themeColor="text1"/>
                <w:sz w:val="24"/>
                <w:szCs w:val="24"/>
                <w:highlight w:val="none"/>
                <w:lang w:val="en-US" w:eastAsia="zh-CN"/>
                <w14:textFill>
                  <w14:solidFill>
                    <w14:schemeClr w14:val="tx1"/>
                  </w14:solidFill>
                </w14:textFill>
              </w:rPr>
              <w:t>通过罐</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车拉</w:t>
            </w:r>
            <w:r>
              <w:rPr>
                <w:rFonts w:hint="eastAsia" w:cs="Times New Roman"/>
                <w:color w:val="000000" w:themeColor="text1"/>
                <w:sz w:val="24"/>
                <w:szCs w:val="24"/>
                <w:highlight w:val="none"/>
                <w:lang w:val="en-US" w:eastAsia="zh-CN"/>
                <w14:textFill>
                  <w14:solidFill>
                    <w14:schemeClr w14:val="tx1"/>
                  </w14:solidFill>
                </w14:textFill>
              </w:rPr>
              <w:t>运至</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园区污水处理厂处理；生活污水经厂区防渗化粪池处理后</w:t>
            </w:r>
            <w:r>
              <w:rPr>
                <w:rFonts w:hint="eastAsia" w:cs="Times New Roman"/>
                <w:color w:val="000000" w:themeColor="text1"/>
                <w:sz w:val="24"/>
                <w:szCs w:val="24"/>
                <w:highlight w:val="none"/>
                <w:lang w:val="en-US" w:eastAsia="zh-CN"/>
                <w14:textFill>
                  <w14:solidFill>
                    <w14:schemeClr w14:val="tx1"/>
                  </w14:solidFill>
                </w14:textFill>
              </w:rPr>
              <w:t>罐车拉运到园区</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污水处理厂处理。</w:t>
            </w:r>
          </w:p>
          <w:p w14:paraId="4068564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（2）水环境保护措施</w:t>
            </w:r>
          </w:p>
          <w:p w14:paraId="51DAC41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1）生产废水</w:t>
            </w:r>
          </w:p>
          <w:p w14:paraId="5F17076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①循环冷却水排水</w:t>
            </w:r>
          </w:p>
          <w:p w14:paraId="75E42BF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本项目</w:t>
            </w:r>
            <w:r>
              <w:rPr>
                <w:rFonts w:hint="default" w:ascii="Times New Roman" w:hAnsi="Times New Roman" w:eastAsia="宋体" w:cs="Times New Roman"/>
                <w:color w:val="000000" w:themeColor="text1"/>
                <w:sz w:val="24"/>
                <w:szCs w:val="24"/>
                <w:highlight w:val="none"/>
                <w14:textFill>
                  <w14:solidFill>
                    <w14:schemeClr w14:val="tx1"/>
                  </w14:solidFill>
                </w14:textFill>
              </w:rPr>
              <w:t>循环冷却水站排水，主要污</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染物为</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少量</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钙镁化合物和悬浮物，</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通过罐车拉运至</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污水处理厂处理，措施可行。</w:t>
            </w:r>
          </w:p>
          <w:p w14:paraId="49C6F22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②脱硫废水</w:t>
            </w:r>
          </w:p>
          <w:p w14:paraId="3F9376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由于脱硫装置浆液内的水在不断循环的过程中会富集重金属元素、Cl和微细的颗粒等，加速脱硫设备的腐蚀，影响脱硫效率，另一方面影响石膏的品质。因此</w:t>
            </w:r>
            <w:r>
              <w:rPr>
                <w:rFonts w:hint="eastAsia"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脱硫装置要排出一定量的废水，本项目脱硫废水采用三联箱处理工艺，脱硫废水经中和、沉降、絮凝、沉淀处理后，全部用于干渣冷却，干渣冷却对水质无要求，措施可行。三联箱脱硫设施主要由中和、沉降、絮凝、沉淀和脱水系统组成，工艺流程示意见图</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4-</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5。</w:t>
            </w:r>
          </w:p>
          <w:p w14:paraId="0E126AB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color w:val="000000" w:themeColor="text1"/>
                <w:sz w:val="21"/>
                <w:highlight w:val="none"/>
                <w14:textFill>
                  <w14:solidFill>
                    <w14:schemeClr w14:val="tx1"/>
                  </w14:solidFill>
                </w14:textFill>
              </w:rPr>
              <mc:AlternateContent>
                <mc:Choice Requires="wps">
                  <w:drawing>
                    <wp:anchor distT="0" distB="0" distL="114300" distR="114300" simplePos="0" relativeHeight="251709440" behindDoc="0" locked="0" layoutInCell="1" allowOverlap="1">
                      <wp:simplePos x="0" y="0"/>
                      <wp:positionH relativeFrom="column">
                        <wp:posOffset>4203700</wp:posOffset>
                      </wp:positionH>
                      <wp:positionV relativeFrom="paragraph">
                        <wp:posOffset>424180</wp:posOffset>
                      </wp:positionV>
                      <wp:extent cx="792480" cy="690880"/>
                      <wp:effectExtent l="0" t="0" r="7620" b="7620"/>
                      <wp:wrapNone/>
                      <wp:docPr id="11" name="文本框 11"/>
                      <wp:cNvGraphicFramePr/>
                      <a:graphic xmlns:a="http://schemas.openxmlformats.org/drawingml/2006/main">
                        <a:graphicData uri="http://schemas.microsoft.com/office/word/2010/wordprocessingShape">
                          <wps:wsp>
                            <wps:cNvSpPr txBox="1"/>
                            <wps:spPr>
                              <a:xfrm>
                                <a:off x="5776595" y="6295390"/>
                                <a:ext cx="792480" cy="69088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7FE8FE9"/>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1pt;margin-top:33.4pt;height:54.4pt;width:62.4pt;z-index:251709440;mso-width-relative:page;mso-height-relative:page;" fillcolor="#FFFFFF [3201]" filled="t" stroked="f" coordsize="21600,21600" o:gfxdata="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uDc/9QAAAAK&#10;AQAADwAAAAAAAAABACAAAAAiAAAAZHJzL2Rvd25yZXYueG1sUEsBAhQAFAAAAAgAh07iQKJJnjhZ&#10;AgAAnAQAAA4AAAAAAAAAAQAgAAAAIwEAAGRycy9lMm9Eb2MueG1sUEsFBgAAAAAGAAYAWQEAAO4F&#10;AAAAAA==&#10;">
                      <v:fill on="t" focussize="0,0"/>
                      <v:stroke on="f" weight="0.5pt"/>
                      <v:imagedata o:title=""/>
                      <o:lock v:ext="edit" aspectratio="f"/>
                      <v:textbox>
                        <w:txbxContent>
                          <w:p w14:paraId="17FE8FE9"/>
                        </w:txbxContent>
                      </v:textbox>
                    </v:shape>
                  </w:pict>
                </mc:Fallback>
              </mc:AlternateContent>
            </w:r>
            <w:r>
              <w:rPr>
                <w:rFonts w:hint="default" w:ascii="Times New Roman" w:hAnsi="Times New Roman" w:cs="Times New Roman"/>
                <w:color w:val="000000" w:themeColor="text1"/>
                <w:highlight w:val="none"/>
                <w14:textFill>
                  <w14:solidFill>
                    <w14:schemeClr w14:val="tx1"/>
                  </w14:solidFill>
                </w14:textFill>
              </w:rPr>
              <w:drawing>
                <wp:inline distT="0" distB="0" distL="114300" distR="114300">
                  <wp:extent cx="4846320" cy="2201545"/>
                  <wp:effectExtent l="0" t="0" r="5080" b="8255"/>
                  <wp:docPr id="5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13"/>
                          <pic:cNvPicPr>
                            <a:picLocks noChangeAspect="1"/>
                          </pic:cNvPicPr>
                        </pic:nvPicPr>
                        <pic:blipFill>
                          <a:blip r:embed="rId29"/>
                          <a:stretch>
                            <a:fillRect/>
                          </a:stretch>
                        </pic:blipFill>
                        <pic:spPr>
                          <a:xfrm>
                            <a:off x="0" y="0"/>
                            <a:ext cx="4846320" cy="2201545"/>
                          </a:xfrm>
                          <a:prstGeom prst="rect">
                            <a:avLst/>
                          </a:prstGeom>
                          <a:noFill/>
                          <a:ln>
                            <a:noFill/>
                          </a:ln>
                        </pic:spPr>
                      </pic:pic>
                    </a:graphicData>
                  </a:graphic>
                </wp:inline>
              </w:drawing>
            </w:r>
          </w:p>
          <w:p w14:paraId="5CF727ED">
            <w:pPr>
              <w:pStyle w:val="116"/>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b/>
                <w:bCs/>
                <w:color w:val="000000" w:themeColor="text1"/>
                <w:spacing w:val="-2"/>
                <w:sz w:val="24"/>
                <w:szCs w:val="24"/>
                <w:highlight w:val="none"/>
                <w14:textFill>
                  <w14:solidFill>
                    <w14:schemeClr w14:val="tx1"/>
                  </w14:solidFill>
                </w14:textFill>
              </w:rPr>
              <w:t>图</w:t>
            </w:r>
            <w:r>
              <w:rPr>
                <w:rFonts w:hint="default" w:ascii="Times New Roman" w:hAnsi="Times New Roman" w:cs="Times New Roman"/>
                <w:b/>
                <w:bCs/>
                <w:color w:val="000000" w:themeColor="text1"/>
                <w:spacing w:val="-2"/>
                <w:sz w:val="24"/>
                <w:szCs w:val="24"/>
                <w:highlight w:val="none"/>
                <w:lang w:val="en-US" w:eastAsia="zh-CN"/>
                <w14:textFill>
                  <w14:solidFill>
                    <w14:schemeClr w14:val="tx1"/>
                  </w14:solidFill>
                </w14:textFill>
              </w:rPr>
              <w:t>4-</w:t>
            </w:r>
            <w:r>
              <w:rPr>
                <w:rFonts w:hint="default" w:ascii="Times New Roman" w:hAnsi="Times New Roman" w:cs="Times New Roman"/>
                <w:b/>
                <w:bCs/>
                <w:color w:val="000000" w:themeColor="text1"/>
                <w:spacing w:val="-2"/>
                <w:sz w:val="24"/>
                <w:szCs w:val="24"/>
                <w:highlight w:val="none"/>
                <w14:textFill>
                  <w14:solidFill>
                    <w14:schemeClr w14:val="tx1"/>
                  </w14:solidFill>
                </w14:textFill>
              </w:rPr>
              <w:t>5脱硫废水三联箱处理工艺流程示意图</w:t>
            </w:r>
          </w:p>
          <w:p w14:paraId="5B1DB6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A.</w:t>
            </w:r>
            <w:r>
              <w:rPr>
                <w:rFonts w:hint="default" w:ascii="Times New Roman" w:hAnsi="Times New Roman" w:eastAsia="宋体" w:cs="Times New Roman"/>
                <w:color w:val="000000" w:themeColor="text1"/>
                <w:sz w:val="24"/>
                <w:szCs w:val="24"/>
                <w:highlight w:val="none"/>
                <w14:textFill>
                  <w14:solidFill>
                    <w14:schemeClr w14:val="tx1"/>
                  </w14:solidFill>
                </w14:textFill>
              </w:rPr>
              <w:t>中和反应：首先来自脱硫系统吸收塔的废浆液收集在废水缓冲箱中，由泵送至废水处理系统的反应槽中和箱。中和箱内加入定量的石灰乳，将废水的pH值调升至9～9.7范围，降低废水的腐蚀性，同时使水中大部分重金属以氢氧化物的形式沉淀出来，废水中呈溶解态的氟化物以氟化钙沉淀形式去除。氢氧化钙药液本身也可以起絮凝剂作用。废水经pH调整处理后可以改善后续絮凝、澄清处理效果，减少后续药剂的投加量。</w:t>
            </w:r>
          </w:p>
          <w:p w14:paraId="081AB38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B.</w:t>
            </w:r>
            <w:r>
              <w:rPr>
                <w:rFonts w:hint="default" w:ascii="Times New Roman" w:hAnsi="Times New Roman" w:eastAsia="宋体" w:cs="Times New Roman"/>
                <w:color w:val="000000" w:themeColor="text1"/>
                <w:sz w:val="24"/>
                <w:szCs w:val="24"/>
                <w:highlight w:val="none"/>
                <w14:textFill>
                  <w14:solidFill>
                    <w14:schemeClr w14:val="tx1"/>
                  </w14:solidFill>
                </w14:textFill>
              </w:rPr>
              <w:t>沉降反应：有机硫化物药液投加处理的目的是去除废水中残留的以及无法以氢氧化物沉淀形式去除的重金属离子。通常脱硫废水中重金属离子以两种不同形态存在：一种呈游离态，另一种以溶解的络合物形式存在。游离态重金属离子一般可以加氢氧化钙沉淀去除，但因络合态重金属溶解物的溶度远低于其氢氧化物的溶解度，因此无法通过投加氢氧化钙去除。为此只有通过寻求一种溶解度较络合态重金属溶解物溶解度更低的金属沉淀物才能去除这类金属，大部分重金属的硫化物沉淀能满足该要求。某些重金属如汞和废水中的氯离子形成的化合物不能通过加氢氧化钙去除，但加硫化物能满足要求。尽管大部分重金属离子可以形成金属硫化物沉淀，但形成金属硫化物沉淀所用的硫化物</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如硫化氢、硫化钠</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通常具有高毒性，且形成</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的</w:t>
            </w:r>
            <w:r>
              <w:rPr>
                <w:rFonts w:hint="default" w:ascii="Times New Roman" w:hAnsi="Times New Roman" w:eastAsia="宋体" w:cs="Times New Roman"/>
                <w:color w:val="000000" w:themeColor="text1"/>
                <w:sz w:val="24"/>
                <w:szCs w:val="24"/>
                <w:highlight w:val="none"/>
                <w14:textFill>
                  <w14:solidFill>
                    <w14:schemeClr w14:val="tx1"/>
                  </w14:solidFill>
                </w14:textFill>
              </w:rPr>
              <w:t>金属硫化物沉淀常常是高分散的，极端情况下甚至</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呈现</w:t>
            </w:r>
            <w:r>
              <w:rPr>
                <w:rFonts w:hint="default" w:ascii="Times New Roman" w:hAnsi="Times New Roman" w:eastAsia="宋体" w:cs="Times New Roman"/>
                <w:color w:val="000000" w:themeColor="text1"/>
                <w:sz w:val="24"/>
                <w:szCs w:val="24"/>
                <w:highlight w:val="none"/>
                <w14:textFill>
                  <w14:solidFill>
                    <w14:schemeClr w14:val="tx1"/>
                  </w14:solidFill>
                </w14:textFill>
              </w:rPr>
              <w:t>低沉降性或沉积的自然胶体状。因此常采用有机硫化物，而有机硫化物</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如TMT15</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一方面无毒、环保，另一方面形成的沉淀物具有较好沉降性。</w:t>
            </w:r>
          </w:p>
          <w:p w14:paraId="08AF7AF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C.</w:t>
            </w:r>
            <w:r>
              <w:rPr>
                <w:rFonts w:hint="default" w:ascii="Times New Roman" w:hAnsi="Times New Roman" w:eastAsia="宋体" w:cs="Times New Roman"/>
                <w:color w:val="000000" w:themeColor="text1"/>
                <w:sz w:val="24"/>
                <w:szCs w:val="24"/>
                <w:highlight w:val="none"/>
                <w14:textFill>
                  <w14:solidFill>
                    <w14:schemeClr w14:val="tx1"/>
                  </w14:solidFill>
                </w14:textFill>
              </w:rPr>
              <w:t>絮凝反应：在絮凝系统中，通过升高pH值和加入聚铁</w:t>
            </w:r>
            <w:r>
              <w:rPr>
                <w:rFonts w:hint="eastAsia" w:cs="Times New Roman"/>
                <w:color w:val="000000" w:themeColor="text1"/>
                <w:sz w:val="24"/>
                <w:szCs w:val="24"/>
                <w:highlight w:val="none"/>
                <w:lang w:val="en-US" w:eastAsia="zh-CN"/>
                <w14:textFill>
                  <w14:solidFill>
                    <w14:schemeClr w14:val="tx1"/>
                  </w14:solidFill>
                </w14:textFill>
              </w:rPr>
              <w:t>|（FeClSO</w:t>
            </w:r>
            <w:r>
              <w:rPr>
                <w:rFonts w:hint="eastAsia" w:cs="Times New Roman"/>
                <w:color w:val="000000" w:themeColor="text1"/>
                <w:sz w:val="24"/>
                <w:szCs w:val="24"/>
                <w:highlight w:val="none"/>
                <w:vertAlign w:val="subscript"/>
                <w:lang w:val="en-US" w:eastAsia="zh-CN"/>
                <w14:textFill>
                  <w14:solidFill>
                    <w14:schemeClr w14:val="tx1"/>
                  </w14:solidFill>
                </w14:textFill>
              </w:rPr>
              <w:t>4</w:t>
            </w:r>
            <w:r>
              <w:rPr>
                <w:rFonts w:hint="eastAsia"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、有机硫进一步除去水中的重金属，通过pH值控制Ca</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OH</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vertAlign w:val="subscript"/>
                <w14:textFill>
                  <w14:solidFill>
                    <w14:schemeClr w14:val="tx1"/>
                  </w14:solidFill>
                </w14:textFill>
              </w:rPr>
              <w:t>2</w:t>
            </w:r>
            <w:r>
              <w:rPr>
                <w:rFonts w:hint="default" w:ascii="Times New Roman" w:hAnsi="Times New Roman" w:eastAsia="宋体" w:cs="Times New Roman"/>
                <w:color w:val="000000" w:themeColor="text1"/>
                <w:sz w:val="24"/>
                <w:szCs w:val="24"/>
                <w:highlight w:val="none"/>
                <w14:textFill>
                  <w14:solidFill>
                    <w14:schemeClr w14:val="tx1"/>
                  </w14:solidFill>
                </w14:textFill>
              </w:rPr>
              <w:t>加药。聚铁和有机硫的加药量通过调试确定，根据废水量按比例加入。在沉淀系统中，加入助凝剂以便使沉淀颗粒长大更易沉降。</w:t>
            </w:r>
          </w:p>
          <w:p w14:paraId="20B0347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D.</w:t>
            </w:r>
            <w:r>
              <w:rPr>
                <w:rFonts w:hint="default" w:ascii="Times New Roman" w:hAnsi="Times New Roman" w:eastAsia="宋体" w:cs="Times New Roman"/>
                <w:color w:val="000000" w:themeColor="text1"/>
                <w:sz w:val="24"/>
                <w:szCs w:val="24"/>
                <w:highlight w:val="none"/>
                <w14:textFill>
                  <w14:solidFill>
                    <w14:schemeClr w14:val="tx1"/>
                  </w14:solidFill>
                </w14:textFill>
              </w:rPr>
              <w:t>沉淀和脱水系统：悬浮物从澄清/浓缩箱中分离出来后，一部分稀污泥通过污泥循环泵返回中和箱，另</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一部分</w:t>
            </w:r>
            <w:r>
              <w:rPr>
                <w:rFonts w:hint="default" w:ascii="Times New Roman" w:hAnsi="Times New Roman" w:eastAsia="宋体" w:cs="Times New Roman"/>
                <w:color w:val="000000" w:themeColor="text1"/>
                <w:sz w:val="24"/>
                <w:szCs w:val="24"/>
                <w:highlight w:val="none"/>
                <w14:textFill>
                  <w14:solidFill>
                    <w14:schemeClr w14:val="tx1"/>
                  </w14:solidFill>
                </w14:textFill>
              </w:rPr>
              <w:t>澄清水排入清水箱回收。澄清/浓缩箱底污泥输送到压滤机，制成饼状，暂时按照危废进行管理，鉴别为一般固废的，按照一般固废管理并处理。</w:t>
            </w:r>
          </w:p>
          <w:p w14:paraId="4656168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由于脱硫装置脱硫后制备石膏，需要排出一定量的废水，</w:t>
            </w:r>
            <w:r>
              <w:rPr>
                <w:rFonts w:hint="default" w:ascii="Times New Roman" w:hAnsi="Times New Roman" w:eastAsia="宋体" w:cs="Times New Roman"/>
                <w:color w:val="000000" w:themeColor="text1"/>
                <w:sz w:val="24"/>
                <w:szCs w:val="24"/>
                <w:highlight w:val="none"/>
                <w14:textFill>
                  <w14:solidFill>
                    <w14:schemeClr w14:val="tx1"/>
                  </w14:solidFill>
                </w14:textFill>
              </w:rPr>
              <w:t>脱硫废水经三联箱装置处理后</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循环</w:t>
            </w:r>
            <w:r>
              <w:rPr>
                <w:rFonts w:hint="eastAsia" w:cs="Times New Roman"/>
                <w:color w:val="000000" w:themeColor="text1"/>
                <w:sz w:val="24"/>
                <w:szCs w:val="24"/>
                <w:highlight w:val="none"/>
                <w:lang w:val="en-US" w:eastAsia="zh-CN"/>
                <w14:textFill>
                  <w14:solidFill>
                    <w14:schemeClr w14:val="tx1"/>
                  </w14:solidFill>
                </w14:textFill>
              </w:rPr>
              <w:t>回用，水质满足《火电厂石灰石－石膏湿法脱硫废水水质控制指标》（DL/T997-2006），</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回用于制备脱硫浆液，措施可行。</w:t>
            </w:r>
          </w:p>
          <w:p w14:paraId="62C9CD0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③软水</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站排水和余热锅炉排水</w:t>
            </w:r>
          </w:p>
          <w:p w14:paraId="6606DD3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软水</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站排水和余热锅炉排水</w:t>
            </w:r>
            <w:r>
              <w:rPr>
                <w:rFonts w:hint="default" w:ascii="Times New Roman" w:hAnsi="Times New Roman" w:eastAsia="宋体" w:cs="Times New Roman"/>
                <w:color w:val="000000" w:themeColor="text1"/>
                <w:sz w:val="24"/>
                <w:szCs w:val="24"/>
                <w:highlight w:val="none"/>
                <w14:textFill>
                  <w14:solidFill>
                    <w14:schemeClr w14:val="tx1"/>
                  </w14:solidFill>
                </w14:textFill>
              </w:rPr>
              <w:t>主要污</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染物为</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少量</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钙镁化合物和悬浮物，</w:t>
            </w:r>
            <w:r>
              <w:rPr>
                <w:rFonts w:hint="eastAsia" w:cs="Times New Roman"/>
                <w:color w:val="000000" w:themeColor="text1"/>
                <w:sz w:val="24"/>
                <w:szCs w:val="24"/>
                <w:highlight w:val="none"/>
                <w:lang w:val="en-US" w:eastAsia="zh-CN"/>
                <w14:textFill>
                  <w14:solidFill>
                    <w14:schemeClr w14:val="tx1"/>
                  </w14:solidFill>
                </w14:textFill>
              </w:rPr>
              <w:t>一并通过</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罐车拉运送园区污水处理厂处理</w:t>
            </w:r>
            <w:r>
              <w:rPr>
                <w:rFonts w:hint="default" w:ascii="Times New Roman" w:hAnsi="Times New Roman" w:eastAsia="宋体" w:cs="Times New Roman"/>
                <w:color w:val="000000" w:themeColor="text1"/>
                <w:sz w:val="24"/>
                <w:szCs w:val="24"/>
                <w:highlight w:val="none"/>
                <w14:textFill>
                  <w14:solidFill>
                    <w14:schemeClr w14:val="tx1"/>
                  </w14:solidFill>
                </w14:textFill>
              </w:rPr>
              <w:t>，措施可行。</w:t>
            </w:r>
          </w:p>
          <w:p w14:paraId="3469B89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2）生活污水</w:t>
            </w:r>
          </w:p>
          <w:p w14:paraId="593FD45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本项目生活污水产生量为1.</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68</w:t>
            </w:r>
            <w:r>
              <w:rPr>
                <w:rFonts w:hint="default" w:ascii="Times New Roman" w:hAnsi="Times New Roman" w:eastAsia="宋体" w:cs="Times New Roman"/>
                <w:color w:val="000000" w:themeColor="text1"/>
                <w:sz w:val="24"/>
                <w:szCs w:val="24"/>
                <w:highlight w:val="none"/>
                <w14:textFill>
                  <w14:solidFill>
                    <w14:schemeClr w14:val="tx1"/>
                  </w14:solidFill>
                </w14:textFill>
              </w:rPr>
              <w:t>m³/d（</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504</w:t>
            </w:r>
            <w:r>
              <w:rPr>
                <w:rFonts w:hint="default" w:ascii="Times New Roman" w:hAnsi="Times New Roman" w:eastAsia="宋体" w:cs="Times New Roman"/>
                <w:color w:val="000000" w:themeColor="text1"/>
                <w:sz w:val="24"/>
                <w:szCs w:val="24"/>
                <w:highlight w:val="none"/>
                <w14:textFill>
                  <w14:solidFill>
                    <w14:schemeClr w14:val="tx1"/>
                  </w14:solidFill>
                </w14:textFill>
              </w:rPr>
              <w:t>m³/a），经化粪池</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收集</w:t>
            </w:r>
            <w:r>
              <w:rPr>
                <w:rFonts w:hint="default" w:ascii="Times New Roman" w:hAnsi="Times New Roman" w:eastAsia="宋体" w:cs="Times New Roman"/>
                <w:color w:val="000000" w:themeColor="text1"/>
                <w:sz w:val="24"/>
                <w:szCs w:val="24"/>
                <w:highlight w:val="none"/>
                <w14:textFill>
                  <w14:solidFill>
                    <w14:schemeClr w14:val="tx1"/>
                  </w14:solidFill>
                </w14:textFill>
              </w:rPr>
              <w:t>后通过</w:t>
            </w:r>
            <w:r>
              <w:rPr>
                <w:rFonts w:hint="eastAsia" w:cs="Times New Roman"/>
                <w:color w:val="000000" w:themeColor="text1"/>
                <w:sz w:val="24"/>
                <w:szCs w:val="24"/>
                <w:highlight w:val="none"/>
                <w:lang w:val="en-US" w:eastAsia="zh-CN"/>
                <w14:textFill>
                  <w14:solidFill>
                    <w14:schemeClr w14:val="tx1"/>
                  </w14:solidFill>
                </w14:textFill>
              </w:rPr>
              <w:t>罐车拉运至</w:t>
            </w:r>
            <w:r>
              <w:rPr>
                <w:rFonts w:hint="default" w:ascii="Times New Roman" w:hAnsi="Times New Roman" w:eastAsia="宋体" w:cs="Times New Roman"/>
                <w:color w:val="000000" w:themeColor="text1"/>
                <w:sz w:val="24"/>
                <w:szCs w:val="24"/>
                <w:highlight w:val="none"/>
                <w14:textFill>
                  <w14:solidFill>
                    <w14:schemeClr w14:val="tx1"/>
                  </w14:solidFill>
                </w14:textFill>
              </w:rPr>
              <w:t>园区污水处理厂。经化粪池处理后</w:t>
            </w:r>
            <w:r>
              <w:rPr>
                <w:rFonts w:hint="eastAsia" w:ascii="Times New Roman" w:hAnsi="Times New Roman" w:cs="Times New Roman"/>
                <w:color w:val="000000" w:themeColor="text1"/>
                <w:sz w:val="24"/>
                <w:szCs w:val="24"/>
                <w:highlight w:val="none"/>
                <w:lang w:eastAsia="zh-CN"/>
                <w14:textFill>
                  <w14:solidFill>
                    <w14:schemeClr w14:val="tx1"/>
                  </w14:solidFill>
                </w14:textFill>
              </w:rPr>
              <w:t>COD</w:t>
            </w:r>
            <w:r>
              <w:rPr>
                <w:rFonts w:hint="default" w:ascii="Times New Roman" w:hAnsi="Times New Roman" w:eastAsia="宋体" w:cs="Times New Roman"/>
                <w:color w:val="000000" w:themeColor="text1"/>
                <w:sz w:val="24"/>
                <w:szCs w:val="24"/>
                <w:highlight w:val="none"/>
                <w14:textFill>
                  <w14:solidFill>
                    <w14:schemeClr w14:val="tx1"/>
                  </w14:solidFill>
                </w14:textFill>
              </w:rPr>
              <w:t>浓度为340mg/L、BOD</w:t>
            </w:r>
            <w:r>
              <w:rPr>
                <w:rFonts w:hint="default" w:ascii="Times New Roman" w:hAnsi="Times New Roman" w:eastAsia="宋体" w:cs="Times New Roman"/>
                <w:color w:val="000000" w:themeColor="text1"/>
                <w:sz w:val="24"/>
                <w:szCs w:val="24"/>
                <w:highlight w:val="none"/>
                <w:vertAlign w:val="subscript"/>
                <w14:textFill>
                  <w14:solidFill>
                    <w14:schemeClr w14:val="tx1"/>
                  </w14:solidFill>
                </w14:textFill>
              </w:rPr>
              <w:t>5</w:t>
            </w:r>
            <w:r>
              <w:rPr>
                <w:rFonts w:hint="default" w:ascii="Times New Roman" w:hAnsi="Times New Roman" w:eastAsia="宋体" w:cs="Times New Roman"/>
                <w:color w:val="000000" w:themeColor="text1"/>
                <w:sz w:val="24"/>
                <w:szCs w:val="24"/>
                <w:highlight w:val="none"/>
                <w14:textFill>
                  <w14:solidFill>
                    <w14:schemeClr w14:val="tx1"/>
                  </w14:solidFill>
                </w14:textFill>
              </w:rPr>
              <w:t>浓度为180mg/L、SS浓度为154mg/L、氨氮浓度为24mg/L、</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pH为7.2，</w:t>
            </w:r>
            <w:r>
              <w:rPr>
                <w:rFonts w:hint="default" w:ascii="Times New Roman" w:hAnsi="Times New Roman" w:eastAsia="宋体" w:cs="Times New Roman"/>
                <w:color w:val="000000" w:themeColor="text1"/>
                <w:sz w:val="24"/>
                <w:szCs w:val="24"/>
                <w:highlight w:val="none"/>
                <w14:textFill>
                  <w14:solidFill>
                    <w14:schemeClr w14:val="tx1"/>
                  </w14:solidFill>
                </w14:textFill>
              </w:rPr>
              <w:t>满足污水</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处理厂进水水质要求</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eastAsia" w:cs="Times New Roman"/>
                <w:color w:val="000000" w:themeColor="text1"/>
                <w:sz w:val="24"/>
                <w:szCs w:val="24"/>
                <w:highlight w:val="none"/>
                <w:lang w:val="en-US" w:eastAsia="zh-CN"/>
                <w14:textFill>
                  <w14:solidFill>
                    <w14:schemeClr w14:val="tx1"/>
                  </w14:solidFill>
                </w14:textFill>
              </w:rPr>
              <w:t>通过罐车拉运至</w:t>
            </w:r>
            <w:r>
              <w:rPr>
                <w:rFonts w:hint="default" w:ascii="Times New Roman" w:hAnsi="Times New Roman" w:eastAsia="宋体" w:cs="Times New Roman"/>
                <w:color w:val="000000" w:themeColor="text1"/>
                <w:sz w:val="24"/>
                <w:szCs w:val="24"/>
                <w:highlight w:val="none"/>
                <w14:textFill>
                  <w14:solidFill>
                    <w14:schemeClr w14:val="tx1"/>
                  </w14:solidFill>
                </w14:textFill>
              </w:rPr>
              <w:t>园</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区</w:t>
            </w:r>
            <w:r>
              <w:rPr>
                <w:rFonts w:hint="default" w:ascii="Times New Roman" w:hAnsi="Times New Roman" w:eastAsia="宋体" w:cs="Times New Roman"/>
                <w:color w:val="000000" w:themeColor="text1"/>
                <w:sz w:val="24"/>
                <w:szCs w:val="24"/>
                <w:highlight w:val="none"/>
                <w14:textFill>
                  <w14:solidFill>
                    <w14:schemeClr w14:val="tx1"/>
                  </w14:solidFill>
                </w14:textFill>
              </w:rPr>
              <w:t>污水处理厂处理。</w:t>
            </w:r>
          </w:p>
          <w:p w14:paraId="419F471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防渗</w:t>
            </w:r>
            <w:r>
              <w:rPr>
                <w:rFonts w:hint="default" w:ascii="Times New Roman" w:hAnsi="Times New Roman" w:eastAsia="宋体" w:cs="Times New Roman"/>
                <w:color w:val="000000" w:themeColor="text1"/>
                <w:sz w:val="24"/>
                <w:szCs w:val="24"/>
                <w:highlight w:val="none"/>
                <w14:textFill>
                  <w14:solidFill>
                    <w14:schemeClr w14:val="tx1"/>
                  </w14:solidFill>
                </w14:textFill>
              </w:rPr>
              <w:t>化粪池是一种利用沉淀和厌氧发酵的原理，去除生活污水中悬浮性有机物的处理设施，属于初级的</w:t>
            </w:r>
            <w:r>
              <w:rPr>
                <w:rFonts w:hint="eastAsia" w:cs="Times New Roman"/>
                <w:color w:val="000000" w:themeColor="text1"/>
                <w:sz w:val="24"/>
                <w:szCs w:val="24"/>
                <w:highlight w:val="none"/>
                <w:lang w:eastAsia="zh-CN"/>
                <w14:textFill>
                  <w14:solidFill>
                    <w14:schemeClr w14:val="tx1"/>
                  </w14:solidFill>
                </w14:textFill>
              </w:rPr>
              <w:t>过渡型</w:t>
            </w:r>
            <w:r>
              <w:rPr>
                <w:rFonts w:hint="default" w:ascii="Times New Roman" w:hAnsi="Times New Roman" w:eastAsia="宋体" w:cs="Times New Roman"/>
                <w:color w:val="000000" w:themeColor="text1"/>
                <w:sz w:val="24"/>
                <w:szCs w:val="24"/>
                <w:highlight w:val="none"/>
                <w14:textFill>
                  <w14:solidFill>
                    <w14:schemeClr w14:val="tx1"/>
                  </w14:solidFill>
                </w14:textFill>
              </w:rPr>
              <w:t>生活处理构筑物。污水进入化粪池经过12</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24h的沉淀，可去除</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50%～60%</w:t>
            </w:r>
            <w:r>
              <w:rPr>
                <w:rFonts w:hint="default" w:ascii="Times New Roman" w:hAnsi="Times New Roman" w:eastAsia="宋体" w:cs="Times New Roman"/>
                <w:color w:val="000000" w:themeColor="text1"/>
                <w:sz w:val="24"/>
                <w:szCs w:val="24"/>
                <w:highlight w:val="none"/>
                <w14:textFill>
                  <w14:solidFill>
                    <w14:schemeClr w14:val="tx1"/>
                  </w14:solidFill>
                </w14:textFill>
              </w:rPr>
              <w:t>的悬浮物。沉淀下来的污泥经过3个月以上的厌氧发酵分解，使污泥中的有机物分解成稳定的无机物，易腐败的生污泥转化为稳定的熟污泥，改变了污泥的结构，降低了污泥的含水率。定期将污泥清掏外运，填埋或用作肥料。</w:t>
            </w:r>
          </w:p>
          <w:p w14:paraId="4370439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本次评价不考虑化粪池对生活污水中污染物的处理效率，外排废水水质为pH6~9、COD400mg/L、BOD₅300mg/L、SS250mg/L、氨氮35mg/L</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满足污水处理厂废水水质接纳标准</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pH6~9、</w:t>
            </w:r>
            <w:r>
              <w:rPr>
                <w:rFonts w:hint="eastAsia" w:ascii="Times New Roman" w:hAnsi="Times New Roman" w:cs="Times New Roman"/>
                <w:color w:val="000000" w:themeColor="text1"/>
                <w:sz w:val="24"/>
                <w:szCs w:val="24"/>
                <w:highlight w:val="none"/>
                <w:lang w:eastAsia="zh-CN"/>
                <w14:textFill>
                  <w14:solidFill>
                    <w14:schemeClr w14:val="tx1"/>
                  </w14:solidFill>
                </w14:textFill>
              </w:rPr>
              <w:t>COD</w:t>
            </w:r>
            <w:r>
              <w:rPr>
                <w:rFonts w:hint="eastAsia" w:cs="Times New Roman"/>
                <w:color w:val="000000" w:themeColor="text1"/>
                <w:sz w:val="24"/>
                <w:szCs w:val="24"/>
                <w:highlight w:val="none"/>
                <w:lang w:val="en-US" w:eastAsia="zh-CN"/>
                <w14:textFill>
                  <w14:solidFill>
                    <w14:schemeClr w14:val="tx1"/>
                  </w14:solidFill>
                </w14:textFill>
              </w:rPr>
              <w:t>8</w:t>
            </w:r>
            <w:r>
              <w:rPr>
                <w:rFonts w:hint="default" w:ascii="Times New Roman" w:hAnsi="Times New Roman" w:eastAsia="宋体" w:cs="Times New Roman"/>
                <w:color w:val="000000" w:themeColor="text1"/>
                <w:sz w:val="24"/>
                <w:szCs w:val="24"/>
                <w:highlight w:val="none"/>
                <w14:textFill>
                  <w14:solidFill>
                    <w14:schemeClr w14:val="tx1"/>
                  </w14:solidFill>
                </w14:textFill>
              </w:rPr>
              <w:t>00mg/L、BOD</w:t>
            </w:r>
            <w:r>
              <w:rPr>
                <w:rFonts w:hint="default" w:ascii="Times New Roman" w:hAnsi="Times New Roman" w:eastAsia="宋体" w:cs="Times New Roman"/>
                <w:color w:val="000000" w:themeColor="text1"/>
                <w:sz w:val="24"/>
                <w:szCs w:val="24"/>
                <w:highlight w:val="none"/>
                <w:vertAlign w:val="subscript"/>
                <w:lang w:val="en-US" w:eastAsia="zh-CN"/>
                <w14:textFill>
                  <w14:solidFill>
                    <w14:schemeClr w14:val="tx1"/>
                  </w14:solidFill>
                </w14:textFill>
              </w:rPr>
              <w:t>5</w:t>
            </w:r>
            <w:r>
              <w:rPr>
                <w:rFonts w:hint="eastAsia" w:cs="Times New Roman"/>
                <w:color w:val="000000" w:themeColor="text1"/>
                <w:sz w:val="24"/>
                <w:szCs w:val="24"/>
                <w:highlight w:val="none"/>
                <w:lang w:val="en-US" w:eastAsia="zh-CN"/>
                <w14:textFill>
                  <w14:solidFill>
                    <w14:schemeClr w14:val="tx1"/>
                  </w14:solidFill>
                </w14:textFill>
              </w:rPr>
              <w:t>12</w:t>
            </w:r>
            <w:r>
              <w:rPr>
                <w:rFonts w:hint="default" w:ascii="Times New Roman" w:hAnsi="Times New Roman" w:eastAsia="宋体" w:cs="Times New Roman"/>
                <w:color w:val="000000" w:themeColor="text1"/>
                <w:sz w:val="24"/>
                <w:szCs w:val="24"/>
                <w:highlight w:val="none"/>
                <w14:textFill>
                  <w14:solidFill>
                    <w14:schemeClr w14:val="tx1"/>
                  </w14:solidFill>
                </w14:textFill>
              </w:rPr>
              <w:t>00mg/L、SS</w:t>
            </w:r>
            <w:r>
              <w:rPr>
                <w:rFonts w:hint="eastAsia" w:cs="Times New Roman"/>
                <w:color w:val="000000" w:themeColor="text1"/>
                <w:sz w:val="24"/>
                <w:szCs w:val="24"/>
                <w:highlight w:val="none"/>
                <w:lang w:val="en-US" w:eastAsia="zh-CN"/>
                <w14:textFill>
                  <w14:solidFill>
                    <w14:schemeClr w14:val="tx1"/>
                  </w14:solidFill>
                </w14:textFill>
              </w:rPr>
              <w:t>17</w:t>
            </w:r>
            <w:r>
              <w:rPr>
                <w:rFonts w:hint="default" w:ascii="Times New Roman" w:hAnsi="Times New Roman" w:eastAsia="宋体" w:cs="Times New Roman"/>
                <w:color w:val="000000" w:themeColor="text1"/>
                <w:sz w:val="24"/>
                <w:szCs w:val="24"/>
                <w:highlight w:val="none"/>
                <w14:textFill>
                  <w14:solidFill>
                    <w14:schemeClr w14:val="tx1"/>
                  </w14:solidFill>
                </w14:textFill>
              </w:rPr>
              <w:t>0mg/L</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eastAsia" w:cs="Times New Roman"/>
                <w:color w:val="000000" w:themeColor="text1"/>
                <w:sz w:val="24"/>
                <w:szCs w:val="24"/>
                <w:highlight w:val="none"/>
                <w:lang w:val="en-US" w:eastAsia="zh-CN"/>
                <w14:textFill>
                  <w14:solidFill>
                    <w14:schemeClr w14:val="tx1"/>
                  </w14:solidFill>
                </w14:textFill>
              </w:rPr>
              <w:t>及接管</w:t>
            </w:r>
            <w:r>
              <w:rPr>
                <w:rFonts w:hint="default" w:ascii="Times New Roman" w:hAnsi="Times New Roman" w:eastAsia="宋体" w:cs="Times New Roman"/>
                <w:color w:val="000000" w:themeColor="text1"/>
                <w:sz w:val="24"/>
                <w:szCs w:val="24"/>
                <w:highlight w:val="none"/>
                <w14:textFill>
                  <w14:solidFill>
                    <w14:schemeClr w14:val="tx1"/>
                  </w14:solidFill>
                </w14:textFill>
              </w:rPr>
              <w:t>标准，达标排放。</w:t>
            </w:r>
          </w:p>
          <w:p w14:paraId="0BE02B4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本项目生活污水主要为职工如厕、洗浴废水、餐饮废水，废水水质为常规生活污水水质，污染物成分较为简单，采用</w:t>
            </w:r>
            <w:r>
              <w:rPr>
                <w:rFonts w:hint="eastAsia" w:cs="Times New Roman"/>
                <w:color w:val="000000" w:themeColor="text1"/>
                <w:sz w:val="24"/>
                <w:szCs w:val="24"/>
                <w:highlight w:val="none"/>
                <w:lang w:val="en-US" w:eastAsia="zh-CN"/>
                <w14:textFill>
                  <w14:solidFill>
                    <w14:schemeClr w14:val="tx1"/>
                  </w14:solidFill>
                </w14:textFill>
              </w:rPr>
              <w:t>防渗</w:t>
            </w:r>
            <w:r>
              <w:rPr>
                <w:rFonts w:hint="default" w:ascii="Times New Roman" w:hAnsi="Times New Roman" w:eastAsia="宋体" w:cs="Times New Roman"/>
                <w:color w:val="000000" w:themeColor="text1"/>
                <w:sz w:val="24"/>
                <w:szCs w:val="24"/>
                <w:highlight w:val="none"/>
                <w14:textFill>
                  <w14:solidFill>
                    <w14:schemeClr w14:val="tx1"/>
                  </w14:solidFill>
                </w14:textFill>
              </w:rPr>
              <w:t>化粪池</w:t>
            </w:r>
            <w:r>
              <w:rPr>
                <w:rFonts w:hint="eastAsia" w:cs="Times New Roman"/>
                <w:color w:val="000000" w:themeColor="text1"/>
                <w:sz w:val="24"/>
                <w:szCs w:val="24"/>
                <w:highlight w:val="none"/>
                <w:lang w:val="en-US" w:eastAsia="zh-CN"/>
                <w14:textFill>
                  <w14:solidFill>
                    <w14:schemeClr w14:val="tx1"/>
                  </w14:solidFill>
                </w14:textFill>
              </w:rPr>
              <w:t>暂存</w:t>
            </w:r>
            <w:r>
              <w:rPr>
                <w:rFonts w:hint="default" w:ascii="Times New Roman" w:hAnsi="Times New Roman" w:eastAsia="宋体" w:cs="Times New Roman"/>
                <w:color w:val="000000" w:themeColor="text1"/>
                <w:sz w:val="24"/>
                <w:szCs w:val="24"/>
                <w:highlight w:val="none"/>
                <w14:textFill>
                  <w14:solidFill>
                    <w14:schemeClr w14:val="tx1"/>
                  </w14:solidFill>
                </w14:textFill>
              </w:rPr>
              <w:t>处理后水质满足污水处理厂废水水质接纳标准。</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本项目</w:t>
            </w:r>
            <w:r>
              <w:rPr>
                <w:rFonts w:hint="default" w:ascii="Times New Roman" w:hAnsi="Times New Roman" w:eastAsia="宋体" w:cs="Times New Roman"/>
                <w:color w:val="000000" w:themeColor="text1"/>
                <w:sz w:val="24"/>
                <w:szCs w:val="24"/>
                <w:highlight w:val="none"/>
                <w14:textFill>
                  <w14:solidFill>
                    <w14:schemeClr w14:val="tx1"/>
                  </w14:solidFill>
                </w14:textFill>
              </w:rPr>
              <w:t>废水的产生和排放情况见</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下表</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p>
          <w:p w14:paraId="0E5A7962">
            <w:pPr>
              <w:ind w:firstLine="482" w:firstLineChars="200"/>
              <w:jc w:val="center"/>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eastAsia="宋体" w:cs="Times New Roman"/>
                <w:b/>
                <w:bCs/>
                <w:color w:val="000000" w:themeColor="text1"/>
                <w:sz w:val="24"/>
                <w:highlight w:val="none"/>
                <w14:textFill>
                  <w14:solidFill>
                    <w14:schemeClr w14:val="tx1"/>
                  </w14:solidFill>
                </w14:textFill>
              </w:rPr>
              <w:t>表</w:t>
            </w:r>
            <w:r>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t>4-1</w:t>
            </w:r>
            <w:r>
              <w:rPr>
                <w:rFonts w:hint="eastAsia" w:cs="Times New Roman"/>
                <w:b/>
                <w:bCs/>
                <w:color w:val="000000" w:themeColor="text1"/>
                <w:sz w:val="24"/>
                <w:highlight w:val="none"/>
                <w:lang w:val="en-US" w:eastAsia="zh-CN"/>
                <w14:textFill>
                  <w14:solidFill>
                    <w14:schemeClr w14:val="tx1"/>
                  </w14:solidFill>
                </w14:textFill>
              </w:rPr>
              <w:t>5</w:t>
            </w:r>
            <w:r>
              <w:rPr>
                <w:rFonts w:hint="default" w:ascii="Times New Roman" w:hAnsi="Times New Roman" w:eastAsia="宋体" w:cs="Times New Roman"/>
                <w:b/>
                <w:bCs/>
                <w:color w:val="000000" w:themeColor="text1"/>
                <w:sz w:val="24"/>
                <w:highlight w:val="none"/>
                <w14:textFill>
                  <w14:solidFill>
                    <w14:schemeClr w14:val="tx1"/>
                  </w14:solidFill>
                </w14:textFill>
              </w:rPr>
              <w:t>废</w:t>
            </w:r>
            <w:r>
              <w:rPr>
                <w:rFonts w:hint="default" w:ascii="Times New Roman" w:hAnsi="Times New Roman" w:cs="Times New Roman"/>
                <w:b/>
                <w:bCs/>
                <w:color w:val="000000" w:themeColor="text1"/>
                <w:sz w:val="24"/>
                <w:highlight w:val="none"/>
                <w14:textFill>
                  <w14:solidFill>
                    <w14:schemeClr w14:val="tx1"/>
                  </w14:solidFill>
                </w14:textFill>
              </w:rPr>
              <w:t>水产生及排放情况一览表</w:t>
            </w:r>
          </w:p>
          <w:tbl>
            <w:tblPr>
              <w:tblStyle w:val="2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6"/>
              <w:gridCol w:w="798"/>
              <w:gridCol w:w="651"/>
              <w:gridCol w:w="735"/>
              <w:gridCol w:w="1069"/>
              <w:gridCol w:w="715"/>
              <w:gridCol w:w="760"/>
              <w:gridCol w:w="738"/>
              <w:gridCol w:w="708"/>
              <w:gridCol w:w="1303"/>
            </w:tblGrid>
            <w:tr w14:paraId="221C8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66" w:type="dxa"/>
                  <w:vMerge w:val="restart"/>
                  <w:noWrap w:val="0"/>
                  <w:vAlign w:val="center"/>
                </w:tcPr>
                <w:p w14:paraId="021B658B">
                  <w:pPr>
                    <w:spacing w:line="240" w:lineRule="exact"/>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废水类别</w:t>
                  </w:r>
                </w:p>
              </w:tc>
              <w:tc>
                <w:tcPr>
                  <w:tcW w:w="797" w:type="dxa"/>
                  <w:vMerge w:val="restart"/>
                  <w:noWrap w:val="0"/>
                  <w:vAlign w:val="center"/>
                </w:tcPr>
                <w:p w14:paraId="2F95E5B3">
                  <w:pPr>
                    <w:spacing w:line="240" w:lineRule="exact"/>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污染物种类</w:t>
                  </w:r>
                </w:p>
              </w:tc>
              <w:tc>
                <w:tcPr>
                  <w:tcW w:w="650" w:type="dxa"/>
                  <w:vMerge w:val="restart"/>
                  <w:noWrap w:val="0"/>
                  <w:vAlign w:val="center"/>
                </w:tcPr>
                <w:p w14:paraId="2EEB3605">
                  <w:pPr>
                    <w:spacing w:line="220" w:lineRule="exact"/>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废水产生量m³/a</w:t>
                  </w:r>
                </w:p>
              </w:tc>
              <w:tc>
                <w:tcPr>
                  <w:tcW w:w="734" w:type="dxa"/>
                  <w:vMerge w:val="restart"/>
                  <w:noWrap w:val="0"/>
                  <w:vAlign w:val="center"/>
                </w:tcPr>
                <w:p w14:paraId="61E3CDF1">
                  <w:pPr>
                    <w:spacing w:line="240" w:lineRule="exact"/>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产生</w:t>
                  </w:r>
                </w:p>
                <w:p w14:paraId="4464CDED">
                  <w:pPr>
                    <w:spacing w:line="240" w:lineRule="exact"/>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浓度mg/L</w:t>
                  </w:r>
                </w:p>
              </w:tc>
              <w:tc>
                <w:tcPr>
                  <w:tcW w:w="1068" w:type="dxa"/>
                  <w:vMerge w:val="restart"/>
                  <w:noWrap w:val="0"/>
                  <w:vAlign w:val="center"/>
                </w:tcPr>
                <w:p w14:paraId="77CC8190">
                  <w:pPr>
                    <w:spacing w:line="240" w:lineRule="exact"/>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污染治理设施工艺</w:t>
                  </w:r>
                </w:p>
              </w:tc>
              <w:tc>
                <w:tcPr>
                  <w:tcW w:w="714" w:type="dxa"/>
                  <w:vMerge w:val="restart"/>
                  <w:noWrap w:val="0"/>
                  <w:vAlign w:val="center"/>
                </w:tcPr>
                <w:p w14:paraId="5BFECAD2">
                  <w:pPr>
                    <w:spacing w:line="240" w:lineRule="exact"/>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治理效率%</w:t>
                  </w:r>
                </w:p>
              </w:tc>
              <w:tc>
                <w:tcPr>
                  <w:tcW w:w="759" w:type="dxa"/>
                  <w:vMerge w:val="restart"/>
                  <w:noWrap w:val="0"/>
                  <w:vAlign w:val="center"/>
                </w:tcPr>
                <w:p w14:paraId="3F5979FB">
                  <w:pPr>
                    <w:spacing w:line="240" w:lineRule="exact"/>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废水排放量m³/a</w:t>
                  </w:r>
                </w:p>
              </w:tc>
              <w:tc>
                <w:tcPr>
                  <w:tcW w:w="1444" w:type="dxa"/>
                  <w:gridSpan w:val="2"/>
                  <w:noWrap w:val="0"/>
                  <w:vAlign w:val="center"/>
                </w:tcPr>
                <w:p w14:paraId="5A064688">
                  <w:pPr>
                    <w:spacing w:line="240" w:lineRule="exact"/>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污染物</w:t>
                  </w:r>
                </w:p>
              </w:tc>
              <w:tc>
                <w:tcPr>
                  <w:tcW w:w="1301" w:type="dxa"/>
                  <w:vMerge w:val="restart"/>
                  <w:noWrap w:val="0"/>
                  <w:vAlign w:val="center"/>
                </w:tcPr>
                <w:p w14:paraId="5D14EFA7">
                  <w:pPr>
                    <w:tabs>
                      <w:tab w:val="left" w:pos="447"/>
                      <w:tab w:val="center" w:pos="760"/>
                    </w:tabs>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排放</w:t>
                  </w:r>
                </w:p>
                <w:p w14:paraId="7DFEFC2F">
                  <w:pPr>
                    <w:tabs>
                      <w:tab w:val="left" w:pos="447"/>
                      <w:tab w:val="center" w:pos="760"/>
                    </w:tabs>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标准</w:t>
                  </w:r>
                </w:p>
              </w:tc>
            </w:tr>
            <w:tr w14:paraId="754C5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66" w:type="dxa"/>
                  <w:vMerge w:val="continue"/>
                  <w:noWrap w:val="0"/>
                  <w:vAlign w:val="center"/>
                </w:tcPr>
                <w:p w14:paraId="22D28178">
                  <w:pPr>
                    <w:spacing w:line="240" w:lineRule="exact"/>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p>
              </w:tc>
              <w:tc>
                <w:tcPr>
                  <w:tcW w:w="797" w:type="dxa"/>
                  <w:vMerge w:val="continue"/>
                  <w:noWrap w:val="0"/>
                  <w:vAlign w:val="center"/>
                </w:tcPr>
                <w:p w14:paraId="1ABB646F">
                  <w:pPr>
                    <w:spacing w:line="240" w:lineRule="exact"/>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p>
              </w:tc>
              <w:tc>
                <w:tcPr>
                  <w:tcW w:w="650" w:type="dxa"/>
                  <w:vMerge w:val="continue"/>
                  <w:noWrap w:val="0"/>
                  <w:vAlign w:val="center"/>
                </w:tcPr>
                <w:p w14:paraId="267D9B9C">
                  <w:pPr>
                    <w:spacing w:line="240" w:lineRule="exact"/>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p>
              </w:tc>
              <w:tc>
                <w:tcPr>
                  <w:tcW w:w="734" w:type="dxa"/>
                  <w:vMerge w:val="continue"/>
                  <w:noWrap w:val="0"/>
                  <w:vAlign w:val="center"/>
                </w:tcPr>
                <w:p w14:paraId="36CC78F9">
                  <w:pPr>
                    <w:spacing w:line="240" w:lineRule="exact"/>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p>
              </w:tc>
              <w:tc>
                <w:tcPr>
                  <w:tcW w:w="1068" w:type="dxa"/>
                  <w:vMerge w:val="continue"/>
                  <w:noWrap w:val="0"/>
                  <w:vAlign w:val="center"/>
                </w:tcPr>
                <w:p w14:paraId="4D7EC977">
                  <w:pPr>
                    <w:spacing w:line="240" w:lineRule="exact"/>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p>
              </w:tc>
              <w:tc>
                <w:tcPr>
                  <w:tcW w:w="714" w:type="dxa"/>
                  <w:vMerge w:val="continue"/>
                  <w:noWrap w:val="0"/>
                  <w:vAlign w:val="center"/>
                </w:tcPr>
                <w:p w14:paraId="3B56E561">
                  <w:pPr>
                    <w:spacing w:line="240" w:lineRule="exact"/>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p>
              </w:tc>
              <w:tc>
                <w:tcPr>
                  <w:tcW w:w="759" w:type="dxa"/>
                  <w:vMerge w:val="continue"/>
                  <w:noWrap w:val="0"/>
                  <w:vAlign w:val="center"/>
                </w:tcPr>
                <w:p w14:paraId="122FC95C">
                  <w:pPr>
                    <w:spacing w:line="240" w:lineRule="exact"/>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p>
              </w:tc>
              <w:tc>
                <w:tcPr>
                  <w:tcW w:w="737" w:type="dxa"/>
                  <w:noWrap w:val="0"/>
                  <w:vAlign w:val="center"/>
                </w:tcPr>
                <w:p w14:paraId="56ABD0C3">
                  <w:pPr>
                    <w:spacing w:line="240" w:lineRule="exact"/>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排放</w:t>
                  </w:r>
                </w:p>
                <w:p w14:paraId="431E19C3">
                  <w:pPr>
                    <w:spacing w:line="240" w:lineRule="exact"/>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浓度mg/L</w:t>
                  </w:r>
                </w:p>
              </w:tc>
              <w:tc>
                <w:tcPr>
                  <w:tcW w:w="707" w:type="dxa"/>
                  <w:noWrap w:val="0"/>
                  <w:vAlign w:val="center"/>
                </w:tcPr>
                <w:p w14:paraId="75ABEB90">
                  <w:pPr>
                    <w:spacing w:line="240" w:lineRule="exact"/>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排放量</w:t>
                  </w:r>
                </w:p>
                <w:p w14:paraId="4CC309EF">
                  <w:pPr>
                    <w:spacing w:line="240" w:lineRule="exact"/>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t/a</w:t>
                  </w:r>
                </w:p>
              </w:tc>
              <w:tc>
                <w:tcPr>
                  <w:tcW w:w="1301" w:type="dxa"/>
                  <w:vMerge w:val="continue"/>
                  <w:noWrap w:val="0"/>
                  <w:vAlign w:val="center"/>
                </w:tcPr>
                <w:p w14:paraId="48F63CCD">
                  <w:pPr>
                    <w:spacing w:line="240" w:lineRule="exact"/>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p>
              </w:tc>
            </w:tr>
            <w:tr w14:paraId="456B6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66" w:type="dxa"/>
                  <w:vMerge w:val="restart"/>
                  <w:noWrap w:val="0"/>
                  <w:vAlign w:val="center"/>
                </w:tcPr>
                <w:p w14:paraId="569E9D40">
                  <w:pPr>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生活</w:t>
                  </w:r>
                </w:p>
                <w:p w14:paraId="453EB0DE">
                  <w:pPr>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污水</w:t>
                  </w:r>
                </w:p>
              </w:tc>
              <w:tc>
                <w:tcPr>
                  <w:tcW w:w="797" w:type="dxa"/>
                  <w:noWrap w:val="0"/>
                  <w:vAlign w:val="center"/>
                </w:tcPr>
                <w:p w14:paraId="181AE35E">
                  <w:pPr>
                    <w:pStyle w:val="76"/>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highlight w:val="none"/>
                      <w:lang w:eastAsia="zh-CN"/>
                      <w14:textFill>
                        <w14:solidFill>
                          <w14:schemeClr w14:val="tx1"/>
                        </w14:solidFill>
                      </w14:textFill>
                    </w:rPr>
                    <w:t>COD</w:t>
                  </w:r>
                </w:p>
              </w:tc>
              <w:tc>
                <w:tcPr>
                  <w:tcW w:w="650" w:type="dxa"/>
                  <w:vMerge w:val="restart"/>
                  <w:noWrap w:val="0"/>
                  <w:vAlign w:val="center"/>
                </w:tcPr>
                <w:p w14:paraId="7C31D978">
                  <w:pPr>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630</w:t>
                  </w:r>
                </w:p>
              </w:tc>
              <w:tc>
                <w:tcPr>
                  <w:tcW w:w="734" w:type="dxa"/>
                  <w:noWrap w:val="0"/>
                  <w:vAlign w:val="center"/>
                </w:tcPr>
                <w:p w14:paraId="3CAFFCC3">
                  <w:pPr>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400</w:t>
                  </w:r>
                </w:p>
              </w:tc>
              <w:tc>
                <w:tcPr>
                  <w:tcW w:w="1068" w:type="dxa"/>
                  <w:vMerge w:val="restart"/>
                  <w:noWrap w:val="0"/>
                  <w:vAlign w:val="center"/>
                </w:tcPr>
                <w:p w14:paraId="7DD3501F">
                  <w:pPr>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经化粪池</w:t>
                  </w:r>
                  <w:r>
                    <w:rPr>
                      <w:rFonts w:hint="default" w:ascii="Times New Roman" w:hAnsi="Times New Roman" w:cs="Times New Roman"/>
                      <w:b w:val="0"/>
                      <w:bCs w:val="0"/>
                      <w:color w:val="000000" w:themeColor="text1"/>
                      <w:sz w:val="21"/>
                      <w:szCs w:val="21"/>
                      <w:highlight w:val="none"/>
                      <w:lang w:eastAsia="zh-CN"/>
                      <w14:textFill>
                        <w14:solidFill>
                          <w14:schemeClr w14:val="tx1"/>
                        </w14:solidFill>
                      </w14:textFill>
                    </w:rPr>
                    <w:t>收集</w:t>
                  </w:r>
                  <w:r>
                    <w:rPr>
                      <w:rFonts w:hint="default" w:ascii="Times New Roman" w:hAnsi="Times New Roman" w:cs="Times New Roman"/>
                      <w:b w:val="0"/>
                      <w:bCs w:val="0"/>
                      <w:color w:val="000000" w:themeColor="text1"/>
                      <w:sz w:val="21"/>
                      <w:szCs w:val="21"/>
                      <w:highlight w:val="none"/>
                      <w14:textFill>
                        <w14:solidFill>
                          <w14:schemeClr w14:val="tx1"/>
                        </w14:solidFill>
                      </w14:textFill>
                    </w:rPr>
                    <w:t>后，通过</w:t>
                  </w:r>
                  <w:r>
                    <w:rPr>
                      <w:rFonts w:hint="eastAsia" w:cs="Times New Roman"/>
                      <w:color w:val="000000" w:themeColor="text1"/>
                      <w:sz w:val="24"/>
                      <w:szCs w:val="24"/>
                      <w:highlight w:val="none"/>
                      <w:lang w:val="en-US" w:eastAsia="zh-CN"/>
                      <w14:textFill>
                        <w14:solidFill>
                          <w14:schemeClr w14:val="tx1"/>
                        </w14:solidFill>
                      </w14:textFill>
                    </w:rPr>
                    <w:t>罐车拉运至</w:t>
                  </w:r>
                  <w:r>
                    <w:rPr>
                      <w:rFonts w:hint="default" w:ascii="Times New Roman" w:hAnsi="Times New Roman" w:cs="Times New Roman"/>
                      <w:b w:val="0"/>
                      <w:bCs w:val="0"/>
                      <w:color w:val="000000" w:themeColor="text1"/>
                      <w:sz w:val="21"/>
                      <w:szCs w:val="21"/>
                      <w:highlight w:val="none"/>
                      <w14:textFill>
                        <w14:solidFill>
                          <w14:schemeClr w14:val="tx1"/>
                        </w14:solidFill>
                      </w14:textFill>
                    </w:rPr>
                    <w:t>园区污水处理厂</w:t>
                  </w:r>
                </w:p>
              </w:tc>
              <w:tc>
                <w:tcPr>
                  <w:tcW w:w="714" w:type="dxa"/>
                  <w:noWrap w:val="0"/>
                  <w:vAlign w:val="center"/>
                </w:tcPr>
                <w:p w14:paraId="5154D47A">
                  <w:pPr>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15</w:t>
                  </w:r>
                </w:p>
              </w:tc>
              <w:tc>
                <w:tcPr>
                  <w:tcW w:w="759" w:type="dxa"/>
                  <w:vMerge w:val="restart"/>
                  <w:noWrap w:val="0"/>
                  <w:vAlign w:val="center"/>
                </w:tcPr>
                <w:p w14:paraId="3C70C323">
                  <w:pPr>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504</w:t>
                  </w:r>
                </w:p>
              </w:tc>
              <w:tc>
                <w:tcPr>
                  <w:tcW w:w="737" w:type="dxa"/>
                  <w:noWrap w:val="0"/>
                  <w:vAlign w:val="center"/>
                </w:tcPr>
                <w:p w14:paraId="253D5F86">
                  <w:pPr>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340</w:t>
                  </w:r>
                </w:p>
              </w:tc>
              <w:tc>
                <w:tcPr>
                  <w:tcW w:w="707" w:type="dxa"/>
                  <w:noWrap w:val="0"/>
                  <w:vAlign w:val="center"/>
                </w:tcPr>
                <w:p w14:paraId="5B58AC3F">
                  <w:pPr>
                    <w:widowControl/>
                    <w:jc w:val="center"/>
                    <w:textAlignment w:val="cente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0.1</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5</w:t>
                  </w:r>
                </w:p>
              </w:tc>
              <w:tc>
                <w:tcPr>
                  <w:tcW w:w="1301" w:type="dxa"/>
                  <w:vMerge w:val="restart"/>
                  <w:noWrap w:val="0"/>
                  <w:vAlign w:val="center"/>
                </w:tcPr>
                <w:p w14:paraId="12DF7351">
                  <w:pPr>
                    <w:jc w:val="both"/>
                    <w:rPr>
                      <w:rFonts w:hint="default" w:ascii="Times New Roman" w:hAnsi="Times New Roman" w:cs="Times New Roman"/>
                      <w:b w:val="0"/>
                      <w:bCs w:val="0"/>
                      <w:color w:val="000000" w:themeColor="text1"/>
                      <w:sz w:val="21"/>
                      <w:szCs w:val="21"/>
                      <w:highlight w:val="none"/>
                      <w:lang w:val="en-US"/>
                      <w14:textFill>
                        <w14:solidFill>
                          <w14:schemeClr w14:val="tx1"/>
                        </w14:solidFill>
                      </w14:textFill>
                    </w:rPr>
                  </w:pPr>
                  <w:r>
                    <w:rPr>
                      <w:rFonts w:hint="eastAsia" w:ascii="Times New Roman" w:hAnsi="Times New Roman" w:cs="Times New Roman"/>
                      <w:color w:val="000000" w:themeColor="text1"/>
                      <w:szCs w:val="21"/>
                      <w:highlight w:val="none"/>
                      <w:lang w:val="en-US" w:eastAsia="zh-CN"/>
                      <w14:textFill>
                        <w14:solidFill>
                          <w14:schemeClr w14:val="tx1"/>
                        </w14:solidFill>
                      </w14:textFill>
                    </w:rPr>
                    <w:t>园区污水处理厂进水水质要求，详见3-</w:t>
                  </w:r>
                  <w:r>
                    <w:rPr>
                      <w:rFonts w:hint="eastAsia" w:cs="Times New Roman"/>
                      <w:color w:val="000000" w:themeColor="text1"/>
                      <w:szCs w:val="21"/>
                      <w:highlight w:val="none"/>
                      <w:lang w:val="en-US" w:eastAsia="zh-CN"/>
                      <w14:textFill>
                        <w14:solidFill>
                          <w14:schemeClr w14:val="tx1"/>
                        </w14:solidFill>
                      </w14:textFill>
                    </w:rPr>
                    <w:t>25</w:t>
                  </w:r>
                </w:p>
              </w:tc>
            </w:tr>
            <w:tr w14:paraId="5DD25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66" w:type="dxa"/>
                  <w:vMerge w:val="continue"/>
                  <w:noWrap w:val="0"/>
                  <w:vAlign w:val="center"/>
                </w:tcPr>
                <w:p w14:paraId="3896D038">
                  <w:pPr>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p>
              </w:tc>
              <w:tc>
                <w:tcPr>
                  <w:tcW w:w="797" w:type="dxa"/>
                  <w:noWrap w:val="0"/>
                  <w:vAlign w:val="center"/>
                </w:tcPr>
                <w:p w14:paraId="2354ED88">
                  <w:pPr>
                    <w:pStyle w:val="76"/>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BOD</w:t>
                  </w:r>
                  <w:r>
                    <w:rPr>
                      <w:rFonts w:hint="default" w:ascii="Times New Roman" w:hAnsi="Times New Roman" w:cs="Times New Roman"/>
                      <w:b w:val="0"/>
                      <w:bCs w:val="0"/>
                      <w:color w:val="000000" w:themeColor="text1"/>
                      <w:sz w:val="21"/>
                      <w:szCs w:val="21"/>
                      <w:highlight w:val="none"/>
                      <w:vertAlign w:val="subscript"/>
                      <w14:textFill>
                        <w14:solidFill>
                          <w14:schemeClr w14:val="tx1"/>
                        </w14:solidFill>
                      </w14:textFill>
                    </w:rPr>
                    <w:t>5</w:t>
                  </w:r>
                </w:p>
              </w:tc>
              <w:tc>
                <w:tcPr>
                  <w:tcW w:w="650" w:type="dxa"/>
                  <w:vMerge w:val="continue"/>
                  <w:noWrap w:val="0"/>
                  <w:vAlign w:val="center"/>
                </w:tcPr>
                <w:p w14:paraId="031BBC8E">
                  <w:pPr>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p>
              </w:tc>
              <w:tc>
                <w:tcPr>
                  <w:tcW w:w="734" w:type="dxa"/>
                  <w:noWrap w:val="0"/>
                  <w:vAlign w:val="center"/>
                </w:tcPr>
                <w:p w14:paraId="77E85598">
                  <w:pPr>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200</w:t>
                  </w:r>
                </w:p>
              </w:tc>
              <w:tc>
                <w:tcPr>
                  <w:tcW w:w="1068" w:type="dxa"/>
                  <w:vMerge w:val="continue"/>
                  <w:noWrap w:val="0"/>
                  <w:vAlign w:val="center"/>
                </w:tcPr>
                <w:p w14:paraId="6E834C5C">
                  <w:pPr>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p>
              </w:tc>
              <w:tc>
                <w:tcPr>
                  <w:tcW w:w="714" w:type="dxa"/>
                  <w:noWrap w:val="0"/>
                  <w:vAlign w:val="center"/>
                </w:tcPr>
                <w:p w14:paraId="1693BCC6">
                  <w:pPr>
                    <w:pStyle w:val="107"/>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10</w:t>
                  </w:r>
                </w:p>
              </w:tc>
              <w:tc>
                <w:tcPr>
                  <w:tcW w:w="759" w:type="dxa"/>
                  <w:vMerge w:val="continue"/>
                  <w:noWrap w:val="0"/>
                  <w:vAlign w:val="center"/>
                </w:tcPr>
                <w:p w14:paraId="18984924">
                  <w:pPr>
                    <w:pStyle w:val="107"/>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p>
              </w:tc>
              <w:tc>
                <w:tcPr>
                  <w:tcW w:w="737" w:type="dxa"/>
                  <w:noWrap w:val="0"/>
                  <w:vAlign w:val="center"/>
                </w:tcPr>
                <w:p w14:paraId="46EE3CD0">
                  <w:pPr>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180</w:t>
                  </w:r>
                </w:p>
              </w:tc>
              <w:tc>
                <w:tcPr>
                  <w:tcW w:w="707" w:type="dxa"/>
                  <w:noWrap w:val="0"/>
                  <w:vAlign w:val="center"/>
                </w:tcPr>
                <w:p w14:paraId="07E57455">
                  <w:pPr>
                    <w:widowControl/>
                    <w:jc w:val="center"/>
                    <w:textAlignment w:val="cente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0.0</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8</w:t>
                  </w:r>
                </w:p>
              </w:tc>
              <w:tc>
                <w:tcPr>
                  <w:tcW w:w="1301" w:type="dxa"/>
                  <w:vMerge w:val="continue"/>
                  <w:noWrap w:val="0"/>
                  <w:vAlign w:val="center"/>
                </w:tcPr>
                <w:p w14:paraId="79BF2FE9">
                  <w:pPr>
                    <w:widowControl/>
                    <w:jc w:val="center"/>
                    <w:textAlignment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p>
              </w:tc>
            </w:tr>
            <w:tr w14:paraId="230ED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66" w:type="dxa"/>
                  <w:vMerge w:val="continue"/>
                  <w:noWrap w:val="0"/>
                  <w:vAlign w:val="center"/>
                </w:tcPr>
                <w:p w14:paraId="010B4D58">
                  <w:pPr>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p>
              </w:tc>
              <w:tc>
                <w:tcPr>
                  <w:tcW w:w="797" w:type="dxa"/>
                  <w:noWrap w:val="0"/>
                  <w:vAlign w:val="center"/>
                </w:tcPr>
                <w:p w14:paraId="71FCFE45">
                  <w:pPr>
                    <w:pStyle w:val="76"/>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SS</w:t>
                  </w:r>
                </w:p>
              </w:tc>
              <w:tc>
                <w:tcPr>
                  <w:tcW w:w="650" w:type="dxa"/>
                  <w:vMerge w:val="continue"/>
                  <w:noWrap w:val="0"/>
                  <w:vAlign w:val="center"/>
                </w:tcPr>
                <w:p w14:paraId="64610507">
                  <w:pPr>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p>
              </w:tc>
              <w:tc>
                <w:tcPr>
                  <w:tcW w:w="734" w:type="dxa"/>
                  <w:noWrap w:val="0"/>
                  <w:vAlign w:val="center"/>
                </w:tcPr>
                <w:p w14:paraId="31E58C9C">
                  <w:pPr>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220</w:t>
                  </w:r>
                </w:p>
              </w:tc>
              <w:tc>
                <w:tcPr>
                  <w:tcW w:w="1068" w:type="dxa"/>
                  <w:vMerge w:val="continue"/>
                  <w:noWrap w:val="0"/>
                  <w:vAlign w:val="center"/>
                </w:tcPr>
                <w:p w14:paraId="1ED18F4A">
                  <w:pPr>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p>
              </w:tc>
              <w:tc>
                <w:tcPr>
                  <w:tcW w:w="714" w:type="dxa"/>
                  <w:noWrap w:val="0"/>
                  <w:vAlign w:val="center"/>
                </w:tcPr>
                <w:p w14:paraId="2DA2B619">
                  <w:pPr>
                    <w:pStyle w:val="107"/>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30</w:t>
                  </w:r>
                </w:p>
              </w:tc>
              <w:tc>
                <w:tcPr>
                  <w:tcW w:w="759" w:type="dxa"/>
                  <w:vMerge w:val="continue"/>
                  <w:noWrap w:val="0"/>
                  <w:vAlign w:val="center"/>
                </w:tcPr>
                <w:p w14:paraId="423FEE2F">
                  <w:pPr>
                    <w:pStyle w:val="107"/>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p>
              </w:tc>
              <w:tc>
                <w:tcPr>
                  <w:tcW w:w="737" w:type="dxa"/>
                  <w:noWrap w:val="0"/>
                  <w:vAlign w:val="center"/>
                </w:tcPr>
                <w:p w14:paraId="60AA17FA">
                  <w:pPr>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154</w:t>
                  </w:r>
                </w:p>
              </w:tc>
              <w:tc>
                <w:tcPr>
                  <w:tcW w:w="707" w:type="dxa"/>
                  <w:noWrap w:val="0"/>
                  <w:vAlign w:val="center"/>
                </w:tcPr>
                <w:p w14:paraId="7795342D">
                  <w:pPr>
                    <w:widowControl/>
                    <w:jc w:val="center"/>
                    <w:textAlignment w:val="cente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0.0</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7</w:t>
                  </w:r>
                </w:p>
              </w:tc>
              <w:tc>
                <w:tcPr>
                  <w:tcW w:w="1301" w:type="dxa"/>
                  <w:vMerge w:val="continue"/>
                  <w:noWrap w:val="0"/>
                  <w:vAlign w:val="center"/>
                </w:tcPr>
                <w:p w14:paraId="686B50A3">
                  <w:pPr>
                    <w:widowControl/>
                    <w:jc w:val="center"/>
                    <w:textAlignment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p>
              </w:tc>
            </w:tr>
            <w:tr w14:paraId="4C0E5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66" w:type="dxa"/>
                  <w:vMerge w:val="continue"/>
                  <w:noWrap w:val="0"/>
                  <w:vAlign w:val="center"/>
                </w:tcPr>
                <w:p w14:paraId="6B7EA25D">
                  <w:pPr>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p>
              </w:tc>
              <w:tc>
                <w:tcPr>
                  <w:tcW w:w="797" w:type="dxa"/>
                  <w:noWrap w:val="0"/>
                  <w:vAlign w:val="center"/>
                </w:tcPr>
                <w:p w14:paraId="35575206">
                  <w:pPr>
                    <w:pStyle w:val="76"/>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pH</w:t>
                  </w:r>
                </w:p>
              </w:tc>
              <w:tc>
                <w:tcPr>
                  <w:tcW w:w="650" w:type="dxa"/>
                  <w:vMerge w:val="continue"/>
                  <w:noWrap w:val="0"/>
                  <w:vAlign w:val="center"/>
                </w:tcPr>
                <w:p w14:paraId="661C1333">
                  <w:pPr>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p>
              </w:tc>
              <w:tc>
                <w:tcPr>
                  <w:tcW w:w="734" w:type="dxa"/>
                  <w:noWrap w:val="0"/>
                  <w:vAlign w:val="center"/>
                </w:tcPr>
                <w:p w14:paraId="5CEE5FEE">
                  <w:pPr>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6~</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9</w:t>
                  </w:r>
                </w:p>
              </w:tc>
              <w:tc>
                <w:tcPr>
                  <w:tcW w:w="1068" w:type="dxa"/>
                  <w:vMerge w:val="continue"/>
                  <w:noWrap w:val="0"/>
                  <w:vAlign w:val="center"/>
                </w:tcPr>
                <w:p w14:paraId="1B687567">
                  <w:pPr>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p>
              </w:tc>
              <w:tc>
                <w:tcPr>
                  <w:tcW w:w="714" w:type="dxa"/>
                  <w:noWrap w:val="0"/>
                  <w:vAlign w:val="center"/>
                </w:tcPr>
                <w:p w14:paraId="7C8EA765">
                  <w:pPr>
                    <w:pStyle w:val="107"/>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w:t>
                  </w:r>
                </w:p>
              </w:tc>
              <w:tc>
                <w:tcPr>
                  <w:tcW w:w="759" w:type="dxa"/>
                  <w:vMerge w:val="continue"/>
                  <w:noWrap w:val="0"/>
                  <w:vAlign w:val="center"/>
                </w:tcPr>
                <w:p w14:paraId="6BEBF890">
                  <w:pPr>
                    <w:pStyle w:val="107"/>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p>
              </w:tc>
              <w:tc>
                <w:tcPr>
                  <w:tcW w:w="737" w:type="dxa"/>
                  <w:noWrap w:val="0"/>
                  <w:vAlign w:val="center"/>
                </w:tcPr>
                <w:p w14:paraId="6517A6D1">
                  <w:pPr>
                    <w:jc w:val="center"/>
                    <w:rPr>
                      <w:rFonts w:hint="default" w:ascii="Times New Roman" w:hAnsi="Times New Roman"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6~</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9</w:t>
                  </w:r>
                </w:p>
              </w:tc>
              <w:tc>
                <w:tcPr>
                  <w:tcW w:w="707" w:type="dxa"/>
                  <w:noWrap w:val="0"/>
                  <w:vAlign w:val="center"/>
                </w:tcPr>
                <w:p w14:paraId="7366B1A8">
                  <w:pPr>
                    <w:widowControl/>
                    <w:jc w:val="center"/>
                    <w:textAlignment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cs="Times New Roman"/>
                      <w:b w:val="0"/>
                      <w:bCs w:val="0"/>
                      <w:color w:val="000000" w:themeColor="text1"/>
                      <w:kern w:val="2"/>
                      <w:sz w:val="21"/>
                      <w:szCs w:val="21"/>
                      <w:highlight w:val="none"/>
                      <w:lang w:val="en-US" w:eastAsia="zh-CN" w:bidi="ar-SA"/>
                      <w14:textFill>
                        <w14:solidFill>
                          <w14:schemeClr w14:val="tx1"/>
                        </w14:solidFill>
                      </w14:textFill>
                    </w:rPr>
                    <w:t>/</w:t>
                  </w:r>
                </w:p>
              </w:tc>
              <w:tc>
                <w:tcPr>
                  <w:tcW w:w="1301" w:type="dxa"/>
                  <w:vMerge w:val="continue"/>
                  <w:noWrap w:val="0"/>
                  <w:vAlign w:val="center"/>
                </w:tcPr>
                <w:p w14:paraId="025203CD">
                  <w:pPr>
                    <w:widowControl/>
                    <w:jc w:val="center"/>
                    <w:textAlignment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p>
              </w:tc>
            </w:tr>
          </w:tbl>
          <w:p w14:paraId="4A092A7B">
            <w:pPr>
              <w:spacing w:before="120" w:beforeLines="50" w:line="360" w:lineRule="auto"/>
              <w:ind w:firstLine="480" w:firstLineChars="20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3</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排放口基本信息及监测要求</w:t>
            </w:r>
          </w:p>
          <w:p w14:paraId="154235FA">
            <w:pPr>
              <w:ind w:firstLine="482" w:firstLineChars="200"/>
              <w:jc w:val="center"/>
              <w:rPr>
                <w:rFonts w:hint="default" w:ascii="Times New Roman" w:hAnsi="Times New Roman" w:eastAsia="宋体" w:cs="Times New Roman"/>
                <w:b/>
                <w:bCs/>
                <w:color w:val="000000" w:themeColor="text1"/>
                <w:sz w:val="24"/>
                <w:highlight w:val="none"/>
                <w14:textFill>
                  <w14:solidFill>
                    <w14:schemeClr w14:val="tx1"/>
                  </w14:solidFill>
                </w14:textFill>
              </w:rPr>
            </w:pPr>
            <w:r>
              <w:rPr>
                <w:rFonts w:hint="default" w:ascii="Times New Roman" w:hAnsi="Times New Roman" w:eastAsia="宋体" w:cs="Times New Roman"/>
                <w:b/>
                <w:bCs/>
                <w:color w:val="000000" w:themeColor="text1"/>
                <w:sz w:val="24"/>
                <w:highlight w:val="none"/>
                <w14:textFill>
                  <w14:solidFill>
                    <w14:schemeClr w14:val="tx1"/>
                  </w14:solidFill>
                </w14:textFill>
              </w:rPr>
              <w:t>表</w:t>
            </w:r>
            <w:r>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t>4-1</w:t>
            </w:r>
            <w:r>
              <w:rPr>
                <w:rFonts w:hint="eastAsia" w:cs="Times New Roman"/>
                <w:b/>
                <w:bCs/>
                <w:color w:val="000000" w:themeColor="text1"/>
                <w:sz w:val="24"/>
                <w:highlight w:val="none"/>
                <w:lang w:val="en-US" w:eastAsia="zh-CN"/>
                <w14:textFill>
                  <w14:solidFill>
                    <w14:schemeClr w14:val="tx1"/>
                  </w14:solidFill>
                </w14:textFill>
              </w:rPr>
              <w:t>6</w:t>
            </w:r>
            <w:r>
              <w:rPr>
                <w:rFonts w:hint="default" w:ascii="Times New Roman" w:hAnsi="Times New Roman" w:eastAsia="宋体" w:cs="Times New Roman"/>
                <w:b/>
                <w:bCs/>
                <w:color w:val="000000" w:themeColor="text1"/>
                <w:sz w:val="24"/>
                <w:highlight w:val="none"/>
                <w14:textFill>
                  <w14:solidFill>
                    <w14:schemeClr w14:val="tx1"/>
                  </w14:solidFill>
                </w14:textFill>
              </w:rPr>
              <w:t>废水排放口基本情况及监测要求</w:t>
            </w:r>
          </w:p>
          <w:tbl>
            <w:tblPr>
              <w:tblStyle w:val="2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1"/>
              <w:gridCol w:w="987"/>
              <w:gridCol w:w="1564"/>
              <w:gridCol w:w="1668"/>
              <w:gridCol w:w="1001"/>
              <w:gridCol w:w="1193"/>
              <w:gridCol w:w="649"/>
            </w:tblGrid>
            <w:tr w14:paraId="54834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04" w:type="dxa"/>
                  <w:noWrap w:val="0"/>
                  <w:vAlign w:val="center"/>
                </w:tcPr>
                <w:p w14:paraId="3F1D301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编号</w:t>
                  </w:r>
                </w:p>
              </w:tc>
              <w:tc>
                <w:tcPr>
                  <w:tcW w:w="1028" w:type="dxa"/>
                  <w:noWrap w:val="0"/>
                  <w:vAlign w:val="center"/>
                </w:tcPr>
                <w:p w14:paraId="78183CA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名称</w:t>
                  </w:r>
                </w:p>
              </w:tc>
              <w:tc>
                <w:tcPr>
                  <w:tcW w:w="1646" w:type="dxa"/>
                  <w:noWrap w:val="0"/>
                  <w:vAlign w:val="center"/>
                </w:tcPr>
                <w:p w14:paraId="47284B6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排放去向</w:t>
                  </w:r>
                </w:p>
              </w:tc>
              <w:tc>
                <w:tcPr>
                  <w:tcW w:w="1742" w:type="dxa"/>
                  <w:noWrap w:val="0"/>
                  <w:vAlign w:val="center"/>
                </w:tcPr>
                <w:p w14:paraId="3B122B6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排放标准</w:t>
                  </w:r>
                </w:p>
              </w:tc>
              <w:tc>
                <w:tcPr>
                  <w:tcW w:w="1042" w:type="dxa"/>
                  <w:noWrap w:val="0"/>
                  <w:vAlign w:val="center"/>
                </w:tcPr>
                <w:p w14:paraId="548AEC4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监测</w:t>
                  </w:r>
                </w:p>
                <w:p w14:paraId="1009D54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点位</w:t>
                  </w:r>
                </w:p>
              </w:tc>
              <w:tc>
                <w:tcPr>
                  <w:tcW w:w="1206" w:type="dxa"/>
                  <w:noWrap w:val="0"/>
                  <w:vAlign w:val="center"/>
                </w:tcPr>
                <w:p w14:paraId="10CDCC8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监测因子</w:t>
                  </w:r>
                </w:p>
              </w:tc>
              <w:tc>
                <w:tcPr>
                  <w:tcW w:w="665" w:type="dxa"/>
                  <w:noWrap w:val="0"/>
                  <w:vAlign w:val="center"/>
                </w:tcPr>
                <w:p w14:paraId="1E355BA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监测频次</w:t>
                  </w:r>
                </w:p>
              </w:tc>
            </w:tr>
            <w:tr w14:paraId="45551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04" w:type="dxa"/>
                  <w:noWrap w:val="0"/>
                  <w:vAlign w:val="center"/>
                </w:tcPr>
                <w:p w14:paraId="1E6D1AF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b w:val="0"/>
                      <w:bCs w:val="0"/>
                      <w:color w:val="000000" w:themeColor="text1"/>
                      <w:sz w:val="21"/>
                      <w:szCs w:val="21"/>
                      <w:highlight w:val="none"/>
                      <w:lang w:val="en-US"/>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DW001</w:t>
                  </w:r>
                </w:p>
              </w:tc>
              <w:tc>
                <w:tcPr>
                  <w:tcW w:w="1028" w:type="dxa"/>
                  <w:noWrap w:val="0"/>
                  <w:vAlign w:val="center"/>
                </w:tcPr>
                <w:p w14:paraId="5478EBE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生活污水排放口</w:t>
                  </w:r>
                </w:p>
              </w:tc>
              <w:tc>
                <w:tcPr>
                  <w:tcW w:w="1646" w:type="dxa"/>
                  <w:noWrap w:val="0"/>
                  <w:vAlign w:val="center"/>
                </w:tcPr>
                <w:p w14:paraId="7FE4100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经</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防渗</w:t>
                  </w:r>
                  <w:r>
                    <w:rPr>
                      <w:rFonts w:hint="default" w:ascii="Times New Roman" w:hAnsi="Times New Roman" w:cs="Times New Roman"/>
                      <w:b w:val="0"/>
                      <w:bCs w:val="0"/>
                      <w:color w:val="000000" w:themeColor="text1"/>
                      <w:sz w:val="21"/>
                      <w:szCs w:val="21"/>
                      <w:highlight w:val="none"/>
                      <w14:textFill>
                        <w14:solidFill>
                          <w14:schemeClr w14:val="tx1"/>
                        </w14:solidFill>
                      </w14:textFill>
                    </w:rPr>
                    <w:t>化粪池</w:t>
                  </w:r>
                  <w:r>
                    <w:rPr>
                      <w:rFonts w:hint="default" w:ascii="Times New Roman" w:hAnsi="Times New Roman" w:cs="Times New Roman"/>
                      <w:b w:val="0"/>
                      <w:bCs w:val="0"/>
                      <w:color w:val="000000" w:themeColor="text1"/>
                      <w:sz w:val="21"/>
                      <w:szCs w:val="21"/>
                      <w:highlight w:val="none"/>
                      <w:lang w:eastAsia="zh-CN"/>
                      <w14:textFill>
                        <w14:solidFill>
                          <w14:schemeClr w14:val="tx1"/>
                        </w14:solidFill>
                      </w14:textFill>
                    </w:rPr>
                    <w:t>收集</w:t>
                  </w:r>
                  <w:r>
                    <w:rPr>
                      <w:rFonts w:hint="default" w:ascii="Times New Roman" w:hAnsi="Times New Roman" w:cs="Times New Roman"/>
                      <w:b w:val="0"/>
                      <w:bCs w:val="0"/>
                      <w:color w:val="000000" w:themeColor="text1"/>
                      <w:sz w:val="21"/>
                      <w:szCs w:val="21"/>
                      <w:highlight w:val="none"/>
                      <w14:textFill>
                        <w14:solidFill>
                          <w14:schemeClr w14:val="tx1"/>
                        </w14:solidFill>
                      </w14:textFill>
                    </w:rPr>
                    <w:t>后通过</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罐车拉运至</w:t>
                  </w:r>
                  <w:r>
                    <w:rPr>
                      <w:rFonts w:hint="default" w:ascii="Times New Roman" w:hAnsi="Times New Roman" w:cs="Times New Roman"/>
                      <w:b w:val="0"/>
                      <w:bCs w:val="0"/>
                      <w:color w:val="000000" w:themeColor="text1"/>
                      <w:sz w:val="21"/>
                      <w:szCs w:val="21"/>
                      <w:highlight w:val="none"/>
                      <w:lang w:eastAsia="zh-CN"/>
                      <w14:textFill>
                        <w14:solidFill>
                          <w14:schemeClr w14:val="tx1"/>
                        </w14:solidFill>
                      </w14:textFill>
                    </w:rPr>
                    <w:t>进</w:t>
                  </w:r>
                  <w:r>
                    <w:rPr>
                      <w:rFonts w:hint="default" w:ascii="Times New Roman" w:hAnsi="Times New Roman" w:cs="Times New Roman"/>
                      <w:b w:val="0"/>
                      <w:bCs w:val="0"/>
                      <w:color w:val="000000" w:themeColor="text1"/>
                      <w:sz w:val="21"/>
                      <w:szCs w:val="21"/>
                      <w:highlight w:val="none"/>
                      <w14:textFill>
                        <w14:solidFill>
                          <w14:schemeClr w14:val="tx1"/>
                        </w14:solidFill>
                      </w14:textFill>
                    </w:rPr>
                    <w:t>入园区污水处理厂</w:t>
                  </w:r>
                </w:p>
              </w:tc>
              <w:tc>
                <w:tcPr>
                  <w:tcW w:w="1742" w:type="dxa"/>
                  <w:noWrap w:val="0"/>
                  <w:vAlign w:val="center"/>
                </w:tcPr>
                <w:p w14:paraId="049B803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b w:val="0"/>
                      <w:bCs w:val="0"/>
                      <w:color w:val="000000" w:themeColor="text1"/>
                      <w:sz w:val="21"/>
                      <w:szCs w:val="21"/>
                      <w:highlight w:val="none"/>
                      <w:lang w:val="en-US"/>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污水处理厂废水水质接纳标准</w:t>
                  </w:r>
                  <w:r>
                    <w:rPr>
                      <w:rFonts w:hint="eastAsia" w:cs="Times New Roman"/>
                      <w:b w:val="0"/>
                      <w:bCs w:val="0"/>
                      <w:color w:val="000000" w:themeColor="text1"/>
                      <w:sz w:val="21"/>
                      <w:szCs w:val="21"/>
                      <w:highlight w:val="none"/>
                      <w:lang w:val="en-US" w:eastAsia="zh-CN"/>
                      <w14:textFill>
                        <w14:solidFill>
                          <w14:schemeClr w14:val="tx1"/>
                        </w14:solidFill>
                      </w14:textFill>
                    </w:rPr>
                    <w:t>，</w:t>
                  </w:r>
                  <w:r>
                    <w:rPr>
                      <w:rFonts w:hint="eastAsia" w:ascii="Times New Roman" w:hAnsi="Times New Roman" w:cs="Times New Roman"/>
                      <w:color w:val="000000" w:themeColor="text1"/>
                      <w:szCs w:val="21"/>
                      <w:highlight w:val="none"/>
                      <w:lang w:val="en-US" w:eastAsia="zh-CN"/>
                      <w14:textFill>
                        <w14:solidFill>
                          <w14:schemeClr w14:val="tx1"/>
                        </w14:solidFill>
                      </w14:textFill>
                    </w:rPr>
                    <w:t>详见3-</w:t>
                  </w:r>
                  <w:r>
                    <w:rPr>
                      <w:rFonts w:hint="eastAsia" w:cs="Times New Roman"/>
                      <w:color w:val="000000" w:themeColor="text1"/>
                      <w:szCs w:val="21"/>
                      <w:highlight w:val="none"/>
                      <w:lang w:val="en-US" w:eastAsia="zh-CN"/>
                      <w14:textFill>
                        <w14:solidFill>
                          <w14:schemeClr w14:val="tx1"/>
                        </w14:solidFill>
                      </w14:textFill>
                    </w:rPr>
                    <w:t>25</w:t>
                  </w:r>
                </w:p>
              </w:tc>
              <w:tc>
                <w:tcPr>
                  <w:tcW w:w="1042" w:type="dxa"/>
                  <w:noWrap w:val="0"/>
                  <w:vAlign w:val="center"/>
                </w:tcPr>
                <w:p w14:paraId="2433F48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生活污水排放口</w:t>
                  </w:r>
                </w:p>
              </w:tc>
              <w:tc>
                <w:tcPr>
                  <w:tcW w:w="1206" w:type="dxa"/>
                  <w:noWrap w:val="0"/>
                  <w:vAlign w:val="center"/>
                </w:tcPr>
                <w:p w14:paraId="0E30EF6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COD、</w:t>
                  </w:r>
                </w:p>
                <w:p w14:paraId="5292DE8C">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vertAlign w:val="subscript"/>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NH</w:t>
                  </w:r>
                  <w:r>
                    <w:rPr>
                      <w:rFonts w:hint="default" w:ascii="Times New Roman" w:hAnsi="Times New Roman" w:cs="Times New Roman"/>
                      <w:b w:val="0"/>
                      <w:bCs w:val="0"/>
                      <w:color w:val="000000" w:themeColor="text1"/>
                      <w:sz w:val="21"/>
                      <w:szCs w:val="21"/>
                      <w:highlight w:val="none"/>
                      <w:vertAlign w:val="subscript"/>
                      <w14:textFill>
                        <w14:solidFill>
                          <w14:schemeClr w14:val="tx1"/>
                        </w14:solidFill>
                      </w14:textFill>
                    </w:rPr>
                    <w:t>3</w:t>
                  </w:r>
                  <w:r>
                    <w:rPr>
                      <w:rFonts w:hint="default" w:ascii="Times New Roman" w:hAnsi="Times New Roman" w:cs="Times New Roman"/>
                      <w:b w:val="0"/>
                      <w:bCs w:val="0"/>
                      <w:color w:val="000000" w:themeColor="text1"/>
                      <w:sz w:val="21"/>
                      <w:szCs w:val="21"/>
                      <w:highlight w:val="none"/>
                      <w14:textFill>
                        <w14:solidFill>
                          <w14:schemeClr w14:val="tx1"/>
                        </w14:solidFill>
                      </w14:textFill>
                    </w:rPr>
                    <w:t>-N、SS、BOD</w:t>
                  </w:r>
                  <w:r>
                    <w:rPr>
                      <w:rFonts w:hint="default" w:ascii="Times New Roman" w:hAnsi="Times New Roman" w:cs="Times New Roman"/>
                      <w:b w:val="0"/>
                      <w:bCs w:val="0"/>
                      <w:color w:val="000000" w:themeColor="text1"/>
                      <w:sz w:val="21"/>
                      <w:szCs w:val="21"/>
                      <w:highlight w:val="none"/>
                      <w:vertAlign w:val="subscript"/>
                      <w14:textFill>
                        <w14:solidFill>
                          <w14:schemeClr w14:val="tx1"/>
                        </w14:solidFill>
                      </w14:textFill>
                    </w:rPr>
                    <w:t>5</w:t>
                  </w:r>
                </w:p>
                <w:p w14:paraId="57B2C6D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pH</w:t>
                  </w:r>
                </w:p>
              </w:tc>
              <w:tc>
                <w:tcPr>
                  <w:tcW w:w="665" w:type="dxa"/>
                  <w:noWrap w:val="0"/>
                  <w:vAlign w:val="center"/>
                </w:tcPr>
                <w:p w14:paraId="3E054BF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1季度/次</w:t>
                  </w:r>
                </w:p>
              </w:tc>
            </w:tr>
          </w:tbl>
          <w:p w14:paraId="2727FB4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Times New Roman"/>
                <w:color w:val="000000" w:themeColor="text1"/>
                <w:sz w:val="24"/>
                <w:szCs w:val="24"/>
                <w:highlight w:val="none"/>
                <w:lang w:eastAsia="zh-CN"/>
                <w14:textFill>
                  <w14:solidFill>
                    <w14:schemeClr w14:val="tx1"/>
                  </w14:solidFill>
                </w14:textFill>
              </w:rPr>
            </w:pPr>
            <w:r>
              <w:rPr>
                <w:rFonts w:hint="eastAsia" w:cs="Times New Roman"/>
                <w:color w:val="000000" w:themeColor="text1"/>
                <w:sz w:val="24"/>
                <w:szCs w:val="24"/>
                <w:highlight w:val="none"/>
                <w:lang w:eastAsia="zh-CN"/>
                <w14:textFill>
                  <w14:solidFill>
                    <w14:schemeClr w14:val="tx1"/>
                  </w14:solidFill>
                </w14:textFill>
              </w:rPr>
              <w:t>（</w:t>
            </w:r>
            <w:r>
              <w:rPr>
                <w:rFonts w:hint="eastAsia" w:cs="Times New Roman"/>
                <w:color w:val="000000" w:themeColor="text1"/>
                <w:sz w:val="24"/>
                <w:szCs w:val="24"/>
                <w:highlight w:val="none"/>
                <w:lang w:val="en-US" w:eastAsia="zh-CN"/>
                <w14:textFill>
                  <w14:solidFill>
                    <w14:schemeClr w14:val="tx1"/>
                  </w14:solidFill>
                </w14:textFill>
              </w:rPr>
              <w:t>3</w:t>
            </w:r>
            <w:r>
              <w:rPr>
                <w:rFonts w:hint="eastAsia" w:cs="Times New Roman"/>
                <w:color w:val="000000" w:themeColor="text1"/>
                <w:sz w:val="24"/>
                <w:szCs w:val="24"/>
                <w:highlight w:val="none"/>
                <w:lang w:eastAsia="zh-CN"/>
                <w14:textFill>
                  <w14:solidFill>
                    <w14:schemeClr w14:val="tx1"/>
                  </w14:solidFill>
                </w14:textFill>
              </w:rPr>
              <w:t>）</w:t>
            </w:r>
            <w:r>
              <w:rPr>
                <w:rFonts w:hint="eastAsia" w:cs="Times New Roman"/>
                <w:color w:val="000000" w:themeColor="text1"/>
                <w:sz w:val="24"/>
                <w:szCs w:val="24"/>
                <w:highlight w:val="none"/>
                <w:lang w:val="en-US" w:eastAsia="zh-CN"/>
                <w14:textFill>
                  <w14:solidFill>
                    <w14:schemeClr w14:val="tx1"/>
                  </w14:solidFill>
                </w14:textFill>
              </w:rPr>
              <w:t>废水排入园区污水处理厂可行性分析</w:t>
            </w:r>
          </w:p>
          <w:p w14:paraId="5648BE4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bidi="ar"/>
                <w14:textFill>
                  <w14:solidFill>
                    <w14:schemeClr w14:val="tx1"/>
                  </w14:solidFill>
                </w14:textFill>
              </w:rPr>
              <w:t>准格尔旗准伊热电有限责任公司污水处理厂</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目前污水处理规模</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5000m</w:t>
            </w:r>
            <w:r>
              <w:rPr>
                <w:rFonts w:hint="default" w:ascii="Times New Roman" w:hAnsi="Times New Roman" w:eastAsia="宋体" w:cs="Times New Roman"/>
                <w:color w:val="000000" w:themeColor="text1"/>
                <w:sz w:val="24"/>
                <w:szCs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/d</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，处理工艺采用水解酸化法＋多段</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A</w:t>
            </w:r>
            <w:r>
              <w:rPr>
                <w:rFonts w:hint="eastAsia"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O</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处理工艺。出水水质达到《城镇污水处理厂污染物排放标准》</w:t>
            </w:r>
            <w:r>
              <w:rPr>
                <w:rFonts w:hint="eastAsia"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GB18918-2002</w:t>
            </w:r>
            <w:r>
              <w:rPr>
                <w:rFonts w:hint="eastAsia" w:cs="Times New Roman"/>
                <w:color w:val="000000" w:themeColor="text1"/>
                <w:sz w:val="24"/>
                <w:szCs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一级</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A</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标准。</w:t>
            </w:r>
          </w:p>
          <w:p w14:paraId="030D030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准格尔旗准伊热电有限责任公司污水处理厂</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进水水质指标与本项目出水水质指标对比情况见</w:t>
            </w:r>
            <w:r>
              <w:rPr>
                <w:rFonts w:hint="eastAsia" w:cs="Times New Roman"/>
                <w:color w:val="000000" w:themeColor="text1"/>
                <w:sz w:val="24"/>
                <w:szCs w:val="24"/>
                <w:highlight w:val="none"/>
                <w:lang w:val="en-US" w:eastAsia="zh-CN"/>
                <w14:textFill>
                  <w14:solidFill>
                    <w14:schemeClr w14:val="tx1"/>
                  </w14:solidFill>
                </w14:textFill>
              </w:rPr>
              <w:t>下</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表。</w:t>
            </w:r>
          </w:p>
          <w:p w14:paraId="568CE467">
            <w:pPr>
              <w:keepNext w:val="0"/>
              <w:keepLines w:val="0"/>
              <w:widowControl/>
              <w:suppressLineNumbers w:val="0"/>
              <w:jc w:val="center"/>
              <w:rPr>
                <w:rFonts w:hint="eastAsia" w:ascii="宋体" w:hAnsi="宋体" w:eastAsia="宋体" w:cs="宋体"/>
                <w:color w:val="000000" w:themeColor="text1"/>
                <w:kern w:val="0"/>
                <w:sz w:val="24"/>
                <w:szCs w:val="24"/>
                <w:highlight w:val="none"/>
                <w:vertAlign w:val="baseline"/>
                <w:lang w:val="en-US" w:eastAsia="zh-CN" w:bidi="ar"/>
                <w14:textFill>
                  <w14:solidFill>
                    <w14:schemeClr w14:val="tx1"/>
                  </w14:solidFill>
                </w14:textFill>
              </w:rPr>
            </w:pPr>
            <w:r>
              <w:rPr>
                <w:rFonts w:hint="eastAsia" w:ascii="宋体" w:hAnsi="宋体" w:eastAsia="宋体" w:cs="宋体"/>
                <w:b/>
                <w:bCs/>
                <w:color w:val="000000" w:themeColor="text1"/>
                <w:kern w:val="0"/>
                <w:sz w:val="24"/>
                <w:szCs w:val="24"/>
                <w:highlight w:val="none"/>
                <w:lang w:val="en-US" w:eastAsia="zh-CN" w:bidi="ar"/>
                <w14:textFill>
                  <w14:solidFill>
                    <w14:schemeClr w14:val="tx1"/>
                  </w14:solidFill>
                </w14:textFill>
              </w:rPr>
              <w:t>表</w:t>
            </w:r>
            <w:r>
              <w:rPr>
                <w:rFonts w:hint="default" w:ascii="Times New Roman" w:hAnsi="Times New Roman" w:eastAsia="宋体" w:cs="Times New Roman"/>
                <w:b/>
                <w:bCs/>
                <w:color w:val="000000" w:themeColor="text1"/>
                <w:kern w:val="0"/>
                <w:sz w:val="24"/>
                <w:szCs w:val="24"/>
                <w:highlight w:val="none"/>
                <w:lang w:val="en-US" w:eastAsia="zh-CN" w:bidi="ar"/>
                <w14:textFill>
                  <w14:solidFill>
                    <w14:schemeClr w14:val="tx1"/>
                  </w14:solidFill>
                </w14:textFill>
              </w:rPr>
              <w:t>4-</w:t>
            </w:r>
            <w:r>
              <w:rPr>
                <w:rFonts w:hint="eastAsia" w:ascii="Times New Roman" w:hAnsi="Times New Roman" w:eastAsia="宋体" w:cs="Times New Roman"/>
                <w:b/>
                <w:bCs/>
                <w:color w:val="000000" w:themeColor="text1"/>
                <w:kern w:val="0"/>
                <w:sz w:val="24"/>
                <w:szCs w:val="24"/>
                <w:highlight w:val="none"/>
                <w:lang w:val="en-US" w:eastAsia="zh-CN" w:bidi="ar"/>
                <w14:textFill>
                  <w14:solidFill>
                    <w14:schemeClr w14:val="tx1"/>
                  </w14:solidFill>
                </w14:textFill>
              </w:rPr>
              <w:t>1</w:t>
            </w:r>
            <w:r>
              <w:rPr>
                <w:rFonts w:hint="eastAsia" w:cs="Times New Roman"/>
                <w:b/>
                <w:bCs/>
                <w:color w:val="000000" w:themeColor="text1"/>
                <w:kern w:val="0"/>
                <w:sz w:val="24"/>
                <w:szCs w:val="24"/>
                <w:highlight w:val="none"/>
                <w:lang w:val="en-US" w:eastAsia="zh-CN" w:bidi="ar"/>
                <w14:textFill>
                  <w14:solidFill>
                    <w14:schemeClr w14:val="tx1"/>
                  </w14:solidFill>
                </w14:textFill>
              </w:rPr>
              <w:t>7</w:t>
            </w:r>
            <w:r>
              <w:rPr>
                <w:rFonts w:hint="eastAsia" w:ascii="Times New Roman" w:hAnsi="Times New Roman" w:eastAsia="宋体" w:cs="Times New Roman"/>
                <w:b/>
                <w:bCs/>
                <w:color w:val="000000" w:themeColor="text1"/>
                <w:kern w:val="0"/>
                <w:sz w:val="24"/>
                <w:szCs w:val="24"/>
                <w:highlight w:val="none"/>
                <w:lang w:val="en-US" w:eastAsia="zh-CN" w:bidi="ar"/>
                <w14:textFill>
                  <w14:solidFill>
                    <w14:schemeClr w14:val="tx1"/>
                  </w14:solidFill>
                </w14:textFill>
              </w:rPr>
              <w:t>进水水质指标与本项目出水水质指标对比情况</w:t>
            </w:r>
            <w:r>
              <w:rPr>
                <w:rFonts w:hint="eastAsia" w:cs="Times New Roman"/>
                <w:b/>
                <w:bCs/>
                <w:color w:val="000000" w:themeColor="text1"/>
                <w:kern w:val="0"/>
                <w:sz w:val="24"/>
                <w:szCs w:val="24"/>
                <w:highlight w:val="none"/>
                <w:lang w:val="en-US" w:eastAsia="zh-CN" w:bidi="ar"/>
                <w14:textFill>
                  <w14:solidFill>
                    <w14:schemeClr w14:val="tx1"/>
                  </w14:solidFill>
                </w14:textFill>
              </w:rPr>
              <w:t>单位：</w:t>
            </w:r>
            <w:r>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t>mg/l</w:t>
            </w:r>
          </w:p>
          <w:tbl>
            <w:tblPr>
              <w:tblStyle w:val="25"/>
              <w:tblW w:w="7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43"/>
              <w:gridCol w:w="1435"/>
              <w:gridCol w:w="1589"/>
              <w:gridCol w:w="1589"/>
              <w:gridCol w:w="1590"/>
            </w:tblGrid>
            <w:tr w14:paraId="16AB1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3" w:type="dxa"/>
                </w:tcPr>
                <w:p w14:paraId="76F45917">
                  <w:pPr>
                    <w:keepNext w:val="0"/>
                    <w:keepLines w:val="0"/>
                    <w:widowControl/>
                    <w:suppressLineNumbers w:val="0"/>
                    <w:jc w:val="center"/>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t>污染物</w:t>
                  </w:r>
                </w:p>
              </w:tc>
              <w:tc>
                <w:tcPr>
                  <w:tcW w:w="1435" w:type="dxa"/>
                </w:tcPr>
                <w:p w14:paraId="1EF7BB6C">
                  <w:pPr>
                    <w:keepNext w:val="0"/>
                    <w:keepLines w:val="0"/>
                    <w:widowControl/>
                    <w:suppressLineNumbers w:val="0"/>
                    <w:jc w:val="center"/>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t>COD</w:t>
                  </w:r>
                </w:p>
              </w:tc>
              <w:tc>
                <w:tcPr>
                  <w:tcW w:w="1589" w:type="dxa"/>
                </w:tcPr>
                <w:p w14:paraId="775F46A6">
                  <w:pPr>
                    <w:keepNext w:val="0"/>
                    <w:keepLines w:val="0"/>
                    <w:widowControl/>
                    <w:suppressLineNumbers w:val="0"/>
                    <w:jc w:val="center"/>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pPr>
                  <w:r>
                    <w:rPr>
                      <w:rFonts w:hint="default" w:ascii="Times New Roman" w:hAnsi="Times New Roman" w:cs="Times New Roman"/>
                      <w:color w:val="000000" w:themeColor="text1"/>
                      <w:kern w:val="0"/>
                      <w:sz w:val="21"/>
                      <w:szCs w:val="21"/>
                      <w:highlight w:val="none"/>
                      <w:vertAlign w:val="baseline"/>
                      <w:lang w:val="en-US" w:eastAsia="zh-CN" w:bidi="ar"/>
                      <w14:textFill>
                        <w14:solidFill>
                          <w14:schemeClr w14:val="tx1"/>
                        </w14:solidFill>
                      </w14:textFill>
                    </w:rPr>
                    <w:t>BOD</w:t>
                  </w:r>
                  <w:r>
                    <w:rPr>
                      <w:rFonts w:hint="default" w:ascii="Times New Roman" w:hAnsi="Times New Roman" w:cs="Times New Roman"/>
                      <w:color w:val="000000" w:themeColor="text1"/>
                      <w:kern w:val="0"/>
                      <w:sz w:val="21"/>
                      <w:szCs w:val="21"/>
                      <w:highlight w:val="none"/>
                      <w:vertAlign w:val="subscript"/>
                      <w:lang w:val="en-US" w:eastAsia="zh-CN" w:bidi="ar"/>
                      <w14:textFill>
                        <w14:solidFill>
                          <w14:schemeClr w14:val="tx1"/>
                        </w14:solidFill>
                      </w14:textFill>
                    </w:rPr>
                    <w:t>5</w:t>
                  </w:r>
                </w:p>
              </w:tc>
              <w:tc>
                <w:tcPr>
                  <w:tcW w:w="1589" w:type="dxa"/>
                </w:tcPr>
                <w:p w14:paraId="60FEDB0C">
                  <w:pPr>
                    <w:keepNext w:val="0"/>
                    <w:keepLines w:val="0"/>
                    <w:widowControl/>
                    <w:suppressLineNumbers w:val="0"/>
                    <w:jc w:val="center"/>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pPr>
                  <w:r>
                    <w:rPr>
                      <w:rFonts w:hint="default" w:ascii="Times New Roman" w:hAnsi="Times New Roman" w:cs="Times New Roman"/>
                      <w:color w:val="000000" w:themeColor="text1"/>
                      <w:kern w:val="0"/>
                      <w:sz w:val="21"/>
                      <w:szCs w:val="21"/>
                      <w:highlight w:val="none"/>
                      <w:vertAlign w:val="baseline"/>
                      <w:lang w:val="en-US" w:eastAsia="zh-CN" w:bidi="ar"/>
                      <w14:textFill>
                        <w14:solidFill>
                          <w14:schemeClr w14:val="tx1"/>
                        </w14:solidFill>
                      </w14:textFill>
                    </w:rPr>
                    <w:t>SS</w:t>
                  </w:r>
                </w:p>
              </w:tc>
              <w:tc>
                <w:tcPr>
                  <w:tcW w:w="1590" w:type="dxa"/>
                </w:tcPr>
                <w:p w14:paraId="18D4B658">
                  <w:pPr>
                    <w:keepNext w:val="0"/>
                    <w:keepLines w:val="0"/>
                    <w:widowControl/>
                    <w:suppressLineNumbers w:val="0"/>
                    <w:jc w:val="center"/>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t>pH</w:t>
                  </w:r>
                  <w:r>
                    <w:rPr>
                      <w:rFonts w:hint="eastAsia" w:cs="Times New Roman"/>
                      <w:color w:val="000000" w:themeColor="text1"/>
                      <w:kern w:val="0"/>
                      <w:sz w:val="21"/>
                      <w:szCs w:val="21"/>
                      <w:highlight w:val="none"/>
                      <w:vertAlign w:val="baseline"/>
                      <w:lang w:val="en-US" w:eastAsia="zh-CN" w:bidi="ar"/>
                      <w14:textFill>
                        <w14:solidFill>
                          <w14:schemeClr w14:val="tx1"/>
                        </w14:solidFill>
                      </w14:textFill>
                    </w:rPr>
                    <w:t>（无量纲）</w:t>
                  </w:r>
                </w:p>
              </w:tc>
            </w:tr>
            <w:tr w14:paraId="7B301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3" w:type="dxa"/>
                </w:tcPr>
                <w:p w14:paraId="0163528A">
                  <w:pPr>
                    <w:keepNext w:val="0"/>
                    <w:keepLines w:val="0"/>
                    <w:widowControl/>
                    <w:suppressLineNumbers w:val="0"/>
                    <w:jc w:val="center"/>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t>设计进厂水质</w:t>
                  </w:r>
                </w:p>
              </w:tc>
              <w:tc>
                <w:tcPr>
                  <w:tcW w:w="1435" w:type="dxa"/>
                </w:tcPr>
                <w:p w14:paraId="3CADFA98">
                  <w:pPr>
                    <w:keepNext w:val="0"/>
                    <w:keepLines w:val="0"/>
                    <w:widowControl/>
                    <w:suppressLineNumbers w:val="0"/>
                    <w:jc w:val="center"/>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t>800</w:t>
                  </w:r>
                </w:p>
              </w:tc>
              <w:tc>
                <w:tcPr>
                  <w:tcW w:w="1589" w:type="dxa"/>
                </w:tcPr>
                <w:p w14:paraId="2B4053A0">
                  <w:pPr>
                    <w:keepNext w:val="0"/>
                    <w:keepLines w:val="0"/>
                    <w:widowControl/>
                    <w:suppressLineNumbers w:val="0"/>
                    <w:jc w:val="center"/>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t>330</w:t>
                  </w:r>
                </w:p>
              </w:tc>
              <w:tc>
                <w:tcPr>
                  <w:tcW w:w="1589" w:type="dxa"/>
                </w:tcPr>
                <w:p w14:paraId="4A239C5D">
                  <w:pPr>
                    <w:keepNext w:val="0"/>
                    <w:keepLines w:val="0"/>
                    <w:widowControl/>
                    <w:suppressLineNumbers w:val="0"/>
                    <w:jc w:val="center"/>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t>400</w:t>
                  </w:r>
                </w:p>
              </w:tc>
              <w:tc>
                <w:tcPr>
                  <w:tcW w:w="1590" w:type="dxa"/>
                </w:tcPr>
                <w:p w14:paraId="0140C5BF">
                  <w:pPr>
                    <w:keepNext w:val="0"/>
                    <w:keepLines w:val="0"/>
                    <w:widowControl/>
                    <w:suppressLineNumbers w:val="0"/>
                    <w:jc w:val="center"/>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t>6~9</w:t>
                  </w:r>
                </w:p>
              </w:tc>
            </w:tr>
            <w:tr w14:paraId="38577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3" w:type="dxa"/>
                </w:tcPr>
                <w:p w14:paraId="75668816">
                  <w:pPr>
                    <w:keepNext w:val="0"/>
                    <w:keepLines w:val="0"/>
                    <w:widowControl/>
                    <w:suppressLineNumbers w:val="0"/>
                    <w:jc w:val="center"/>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t>本项目出水水质</w:t>
                  </w:r>
                </w:p>
              </w:tc>
              <w:tc>
                <w:tcPr>
                  <w:tcW w:w="1435" w:type="dxa"/>
                </w:tcPr>
                <w:p w14:paraId="40BA0DC1">
                  <w:pPr>
                    <w:keepNext w:val="0"/>
                    <w:keepLines w:val="0"/>
                    <w:widowControl/>
                    <w:suppressLineNumbers w:val="0"/>
                    <w:jc w:val="center"/>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t>400</w:t>
                  </w:r>
                </w:p>
              </w:tc>
              <w:tc>
                <w:tcPr>
                  <w:tcW w:w="1589" w:type="dxa"/>
                </w:tcPr>
                <w:p w14:paraId="427C3593">
                  <w:pPr>
                    <w:keepNext w:val="0"/>
                    <w:keepLines w:val="0"/>
                    <w:widowControl/>
                    <w:suppressLineNumbers w:val="0"/>
                    <w:jc w:val="center"/>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t>200</w:t>
                  </w:r>
                </w:p>
              </w:tc>
              <w:tc>
                <w:tcPr>
                  <w:tcW w:w="1589" w:type="dxa"/>
                </w:tcPr>
                <w:p w14:paraId="6E30EC20">
                  <w:pPr>
                    <w:keepNext w:val="0"/>
                    <w:keepLines w:val="0"/>
                    <w:widowControl/>
                    <w:suppressLineNumbers w:val="0"/>
                    <w:jc w:val="center"/>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t>220</w:t>
                  </w:r>
                </w:p>
              </w:tc>
              <w:tc>
                <w:tcPr>
                  <w:tcW w:w="1590" w:type="dxa"/>
                </w:tcPr>
                <w:p w14:paraId="1F9CD4CB">
                  <w:pPr>
                    <w:keepNext w:val="0"/>
                    <w:keepLines w:val="0"/>
                    <w:widowControl/>
                    <w:suppressLineNumbers w:val="0"/>
                    <w:jc w:val="center"/>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t>9</w:t>
                  </w:r>
                </w:p>
              </w:tc>
            </w:tr>
          </w:tbl>
          <w:p w14:paraId="78D8DAD3">
            <w:pPr>
              <w:pStyle w:val="8"/>
              <w:spacing w:line="360" w:lineRule="auto"/>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根据建设单位与园区废水处理协议，要求本项目进入准格尔旗准伊热电有限责任公司污水处理厂水质指标</w:t>
            </w:r>
            <w:r>
              <w:rPr>
                <w:rFonts w:hint="eastAsia" w:ascii="Times New Roman" w:hAnsi="Times New Roman" w:cs="Times New Roman"/>
                <w:color w:val="000000" w:themeColor="text1"/>
                <w:highlight w:val="none"/>
                <w:lang w:val="en-US" w:eastAsia="zh-CN"/>
                <w14:textFill>
                  <w14:solidFill>
                    <w14:schemeClr w14:val="tx1"/>
                  </w14:solidFill>
                </w14:textFill>
              </w:rPr>
              <w:t>如下</w:t>
            </w:r>
            <w:r>
              <w:rPr>
                <w:rFonts w:hint="default" w:ascii="Times New Roman" w:hAnsi="Times New Roman" w:cs="Times New Roman"/>
                <w:color w:val="000000" w:themeColor="text1"/>
                <w:highlight w:val="none"/>
                <w:lang w:val="en-US" w:eastAsia="zh-CN"/>
                <w14:textFill>
                  <w14:solidFill>
                    <w14:schemeClr w14:val="tx1"/>
                  </w14:solidFill>
                </w14:textFill>
              </w:rPr>
              <w:t>表。</w:t>
            </w:r>
          </w:p>
          <w:p w14:paraId="2ADB1B86">
            <w:pPr>
              <w:pStyle w:val="9"/>
              <w:keepNext w:val="0"/>
              <w:keepLines w:val="0"/>
              <w:pageBreakBefore w:val="0"/>
              <w:widowControl w:val="0"/>
              <w:kinsoku/>
              <w:wordWrap/>
              <w:overflowPunct/>
              <w:topLinePunct w:val="0"/>
              <w:autoSpaceDE/>
              <w:autoSpaceDN/>
              <w:bidi w:val="0"/>
              <w:adjustRightInd/>
              <w:snapToGrid/>
              <w:spacing w:after="0" w:line="240" w:lineRule="auto"/>
              <w:ind w:left="0" w:leftChars="0" w:firstLine="0"/>
              <w:jc w:val="center"/>
              <w:textAlignment w:val="auto"/>
              <w:rPr>
                <w:rFonts w:hint="default" w:ascii="Times New Roman" w:hAnsi="Times New Roman" w:cs="Times New Roman"/>
                <w:b/>
                <w:bCs/>
                <w:color w:val="000000" w:themeColor="text1"/>
                <w:highlight w:val="none"/>
                <w:lang w:val="en-US" w:eastAsia="zh-CN"/>
                <w14:textFill>
                  <w14:solidFill>
                    <w14:schemeClr w14:val="tx1"/>
                  </w14:solidFill>
                </w14:textFill>
              </w:rPr>
            </w:pPr>
            <w:r>
              <w:rPr>
                <w:rFonts w:hint="default" w:ascii="Times New Roman" w:hAnsi="Times New Roman" w:cs="Times New Roman"/>
                <w:b/>
                <w:bCs/>
                <w:color w:val="000000" w:themeColor="text1"/>
                <w:highlight w:val="none"/>
                <w:lang w:val="en-US" w:eastAsia="zh-CN"/>
                <w14:textFill>
                  <w14:solidFill>
                    <w14:schemeClr w14:val="tx1"/>
                  </w14:solidFill>
                </w14:textFill>
              </w:rPr>
              <w:t>表</w:t>
            </w:r>
            <w:r>
              <w:rPr>
                <w:rFonts w:hint="eastAsia" w:cs="Times New Roman"/>
                <w:b/>
                <w:bCs/>
                <w:color w:val="000000" w:themeColor="text1"/>
                <w:highlight w:val="none"/>
                <w:lang w:val="en-US" w:eastAsia="zh-CN"/>
                <w14:textFill>
                  <w14:solidFill>
                    <w14:schemeClr w14:val="tx1"/>
                  </w14:solidFill>
                </w14:textFill>
              </w:rPr>
              <w:t>4</w:t>
            </w:r>
            <w:r>
              <w:rPr>
                <w:rFonts w:hint="default" w:ascii="Times New Roman" w:hAnsi="Times New Roman" w:cs="Times New Roman"/>
                <w:b/>
                <w:bCs/>
                <w:color w:val="000000" w:themeColor="text1"/>
                <w:highlight w:val="none"/>
                <w:lang w:val="en-US" w:eastAsia="zh-CN"/>
                <w14:textFill>
                  <w14:solidFill>
                    <w14:schemeClr w14:val="tx1"/>
                  </w14:solidFill>
                </w14:textFill>
              </w:rPr>
              <w:t>-</w:t>
            </w:r>
            <w:r>
              <w:rPr>
                <w:rFonts w:hint="eastAsia" w:cs="Times New Roman"/>
                <w:b/>
                <w:bCs/>
                <w:color w:val="000000" w:themeColor="text1"/>
                <w:highlight w:val="none"/>
                <w:lang w:val="en-US" w:eastAsia="zh-CN"/>
                <w14:textFill>
                  <w14:solidFill>
                    <w14:schemeClr w14:val="tx1"/>
                  </w14:solidFill>
                </w14:textFill>
              </w:rPr>
              <w:t>18</w:t>
            </w:r>
            <w:r>
              <w:rPr>
                <w:rFonts w:hint="default" w:ascii="Times New Roman" w:hAnsi="Times New Roman" w:cs="Times New Roman"/>
                <w:b/>
                <w:bCs/>
                <w:color w:val="000000" w:themeColor="text1"/>
                <w:highlight w:val="none"/>
                <w:lang w:val="en-US" w:eastAsia="zh-CN"/>
                <w14:textFill>
                  <w14:solidFill>
                    <w14:schemeClr w14:val="tx1"/>
                  </w14:solidFill>
                </w14:textFill>
              </w:rPr>
              <w:t>排污水水质需满足</w:t>
            </w:r>
            <w:r>
              <w:rPr>
                <w:rFonts w:hint="eastAsia" w:ascii="Times New Roman" w:hAnsi="Times New Roman" w:cs="Times New Roman"/>
                <w:b/>
                <w:bCs/>
                <w:color w:val="000000" w:themeColor="text1"/>
                <w:highlight w:val="none"/>
                <w:lang w:val="en-US" w:eastAsia="zh-CN"/>
                <w14:textFill>
                  <w14:solidFill>
                    <w14:schemeClr w14:val="tx1"/>
                  </w14:solidFill>
                </w14:textFill>
              </w:rPr>
              <w:t>污水处理厂</w:t>
            </w:r>
            <w:r>
              <w:rPr>
                <w:rFonts w:hint="default" w:ascii="Times New Roman" w:hAnsi="Times New Roman" w:cs="Times New Roman"/>
                <w:b/>
                <w:bCs/>
                <w:color w:val="000000" w:themeColor="text1"/>
                <w:highlight w:val="none"/>
                <w:lang w:val="en-US" w:eastAsia="zh-CN"/>
                <w14:textFill>
                  <w14:solidFill>
                    <w14:schemeClr w14:val="tx1"/>
                  </w14:solidFill>
                </w14:textFill>
              </w:rPr>
              <w:t>进水水质指标要求情况表</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27"/>
              <w:gridCol w:w="2700"/>
              <w:gridCol w:w="2519"/>
            </w:tblGrid>
            <w:tr w14:paraId="11EDF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6" w:type="dxa"/>
                </w:tcPr>
                <w:p w14:paraId="5C03E510">
                  <w:pPr>
                    <w:jc w:val="center"/>
                    <w:rPr>
                      <w:rFonts w:hint="default" w:ascii="Times New Roman" w:hAnsi="Times New Roman" w:cs="Times New Roman"/>
                      <w:color w:val="000000" w:themeColor="text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highlight w:val="none"/>
                      <w:vertAlign w:val="baseline"/>
                      <w:lang w:val="en-US" w:eastAsia="zh-CN"/>
                      <w14:textFill>
                        <w14:solidFill>
                          <w14:schemeClr w14:val="tx1"/>
                        </w14:solidFill>
                      </w14:textFill>
                    </w:rPr>
                    <w:t>项目</w:t>
                  </w:r>
                </w:p>
              </w:tc>
              <w:tc>
                <w:tcPr>
                  <w:tcW w:w="2796" w:type="dxa"/>
                </w:tcPr>
                <w:p w14:paraId="22203D10">
                  <w:pPr>
                    <w:jc w:val="center"/>
                    <w:rPr>
                      <w:rFonts w:hint="default" w:ascii="Times New Roman" w:hAnsi="Times New Roman" w:cs="Times New Roman"/>
                      <w:color w:val="000000" w:themeColor="text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highlight w:val="none"/>
                      <w:vertAlign w:val="baseline"/>
                      <w:lang w:val="en-US" w:eastAsia="zh-CN"/>
                      <w14:textFill>
                        <w14:solidFill>
                          <w14:schemeClr w14:val="tx1"/>
                        </w14:solidFill>
                      </w14:textFill>
                    </w:rPr>
                    <w:t>设计指标</w:t>
                  </w:r>
                </w:p>
              </w:tc>
              <w:tc>
                <w:tcPr>
                  <w:tcW w:w="2605" w:type="dxa"/>
                </w:tcPr>
                <w:p w14:paraId="2AC3E5AF">
                  <w:pPr>
                    <w:jc w:val="center"/>
                    <w:rPr>
                      <w:rFonts w:hint="default" w:ascii="Times New Roman" w:hAnsi="Times New Roman" w:cs="Times New Roman"/>
                      <w:color w:val="000000" w:themeColor="text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highlight w:val="none"/>
                      <w:vertAlign w:val="baseline"/>
                      <w:lang w:val="en-US" w:eastAsia="zh-CN"/>
                      <w14:textFill>
                        <w14:solidFill>
                          <w14:schemeClr w14:val="tx1"/>
                        </w14:solidFill>
                      </w14:textFill>
                    </w:rPr>
                    <w:t>单位</w:t>
                  </w:r>
                </w:p>
              </w:tc>
            </w:tr>
            <w:tr w14:paraId="0D8CE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6" w:type="dxa"/>
                </w:tcPr>
                <w:p w14:paraId="61AB9C15">
                  <w:pPr>
                    <w:jc w:val="center"/>
                    <w:rPr>
                      <w:rFonts w:hint="default" w:ascii="Times New Roman" w:hAnsi="Times New Roman" w:cs="Times New Roman"/>
                      <w:color w:val="000000" w:themeColor="text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highlight w:val="none"/>
                      <w:vertAlign w:val="baseline"/>
                      <w:lang w:val="en-US" w:eastAsia="zh-CN"/>
                      <w14:textFill>
                        <w14:solidFill>
                          <w14:schemeClr w14:val="tx1"/>
                        </w14:solidFill>
                      </w14:textFill>
                    </w:rPr>
                    <w:t>化学需氧量</w:t>
                  </w:r>
                  <w:r>
                    <w:rPr>
                      <w:rFonts w:hint="eastAsia" w:ascii="Times New Roman" w:hAnsi="Times New Roman" w:cs="Times New Roman"/>
                      <w:color w:val="000000" w:themeColor="text1"/>
                      <w:highlight w:val="none"/>
                      <w:vertAlign w:val="baseline"/>
                      <w:lang w:val="en-US" w:eastAsia="zh-CN"/>
                      <w14:textFill>
                        <w14:solidFill>
                          <w14:schemeClr w14:val="tx1"/>
                        </w14:solidFill>
                      </w14:textFill>
                    </w:rPr>
                    <w:t>（</w:t>
                  </w:r>
                  <w:r>
                    <w:rPr>
                      <w:rFonts w:hint="default" w:ascii="Times New Roman" w:hAnsi="Times New Roman" w:cs="Times New Roman"/>
                      <w:color w:val="000000" w:themeColor="text1"/>
                      <w:highlight w:val="none"/>
                      <w:vertAlign w:val="baseline"/>
                      <w:lang w:val="en-US" w:eastAsia="zh-CN"/>
                      <w14:textFill>
                        <w14:solidFill>
                          <w14:schemeClr w14:val="tx1"/>
                        </w14:solidFill>
                      </w14:textFill>
                    </w:rPr>
                    <w:t>COD</w:t>
                  </w:r>
                  <w:r>
                    <w:rPr>
                      <w:rFonts w:hint="eastAsia" w:ascii="Times New Roman" w:hAnsi="Times New Roman" w:cs="Times New Roman"/>
                      <w:color w:val="000000" w:themeColor="text1"/>
                      <w:highlight w:val="none"/>
                      <w:vertAlign w:val="baseline"/>
                      <w:lang w:val="en-US" w:eastAsia="zh-CN"/>
                      <w14:textFill>
                        <w14:solidFill>
                          <w14:schemeClr w14:val="tx1"/>
                        </w14:solidFill>
                      </w14:textFill>
                    </w:rPr>
                    <w:t>）</w:t>
                  </w:r>
                </w:p>
              </w:tc>
              <w:tc>
                <w:tcPr>
                  <w:tcW w:w="2796" w:type="dxa"/>
                </w:tcPr>
                <w:p w14:paraId="48A438A4">
                  <w:pPr>
                    <w:jc w:val="center"/>
                    <w:rPr>
                      <w:rFonts w:hint="default" w:ascii="Times New Roman" w:hAnsi="Times New Roman" w:cs="Times New Roman"/>
                      <w:color w:val="000000" w:themeColor="text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highlight w:val="none"/>
                      <w:vertAlign w:val="baseline"/>
                      <w:lang w:val="en-US" w:eastAsia="zh-CN"/>
                      <w14:textFill>
                        <w14:solidFill>
                          <w14:schemeClr w14:val="tx1"/>
                        </w14:solidFill>
                      </w14:textFill>
                    </w:rPr>
                    <w:t>800</w:t>
                  </w:r>
                </w:p>
              </w:tc>
              <w:tc>
                <w:tcPr>
                  <w:tcW w:w="2605" w:type="dxa"/>
                </w:tcPr>
                <w:p w14:paraId="6EE4D1C2">
                  <w:pPr>
                    <w:jc w:val="center"/>
                    <w:rPr>
                      <w:rFonts w:hint="default" w:ascii="Times New Roman" w:hAnsi="Times New Roman" w:cs="Times New Roman"/>
                      <w:color w:val="000000" w:themeColor="text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highlight w:val="none"/>
                      <w:vertAlign w:val="baseline"/>
                      <w:lang w:val="en-US" w:eastAsia="zh-CN"/>
                      <w14:textFill>
                        <w14:solidFill>
                          <w14:schemeClr w14:val="tx1"/>
                        </w14:solidFill>
                      </w14:textFill>
                    </w:rPr>
                    <w:t>mg/L</w:t>
                  </w:r>
                </w:p>
              </w:tc>
            </w:tr>
            <w:tr w14:paraId="1463F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6" w:type="dxa"/>
                </w:tcPr>
                <w:p w14:paraId="0B92458D">
                  <w:pPr>
                    <w:jc w:val="center"/>
                    <w:rPr>
                      <w:rFonts w:hint="default" w:ascii="Times New Roman" w:hAnsi="Times New Roman" w:cs="Times New Roman"/>
                      <w:color w:val="000000" w:themeColor="text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highlight w:val="none"/>
                      <w:vertAlign w:val="baseline"/>
                      <w:lang w:val="en-US" w:eastAsia="zh-CN"/>
                      <w14:textFill>
                        <w14:solidFill>
                          <w14:schemeClr w14:val="tx1"/>
                        </w14:solidFill>
                      </w14:textFill>
                    </w:rPr>
                    <w:t>氨氮（NH</w:t>
                  </w:r>
                  <w:r>
                    <w:rPr>
                      <w:rFonts w:hint="default" w:ascii="Times New Roman" w:hAnsi="Times New Roman" w:cs="Times New Roman"/>
                      <w:color w:val="000000" w:themeColor="text1"/>
                      <w:highlight w:val="none"/>
                      <w:vertAlign w:val="subscript"/>
                      <w:lang w:val="en-US" w:eastAsia="zh-CN"/>
                      <w14:textFill>
                        <w14:solidFill>
                          <w14:schemeClr w14:val="tx1"/>
                        </w14:solidFill>
                      </w14:textFill>
                    </w:rPr>
                    <w:t>3</w:t>
                  </w:r>
                  <w:r>
                    <w:rPr>
                      <w:rFonts w:hint="default" w:ascii="Times New Roman" w:hAnsi="Times New Roman" w:cs="Times New Roman"/>
                      <w:color w:val="000000" w:themeColor="text1"/>
                      <w:highlight w:val="none"/>
                      <w:vertAlign w:val="baseline"/>
                      <w:lang w:val="en-US" w:eastAsia="zh-CN"/>
                      <w14:textFill>
                        <w14:solidFill>
                          <w14:schemeClr w14:val="tx1"/>
                        </w14:solidFill>
                      </w14:textFill>
                    </w:rPr>
                    <w:t>-N</w:t>
                  </w:r>
                  <w:r>
                    <w:rPr>
                      <w:rFonts w:hint="eastAsia" w:ascii="Times New Roman" w:hAnsi="Times New Roman" w:cs="Times New Roman"/>
                      <w:color w:val="000000" w:themeColor="text1"/>
                      <w:highlight w:val="none"/>
                      <w:vertAlign w:val="baseline"/>
                      <w:lang w:val="en-US" w:eastAsia="zh-CN"/>
                      <w14:textFill>
                        <w14:solidFill>
                          <w14:schemeClr w14:val="tx1"/>
                        </w14:solidFill>
                      </w14:textFill>
                    </w:rPr>
                    <w:t>）</w:t>
                  </w:r>
                </w:p>
              </w:tc>
              <w:tc>
                <w:tcPr>
                  <w:tcW w:w="2796" w:type="dxa"/>
                </w:tcPr>
                <w:p w14:paraId="72F22F12">
                  <w:pPr>
                    <w:jc w:val="center"/>
                    <w:rPr>
                      <w:rFonts w:hint="default" w:ascii="Times New Roman" w:hAnsi="Times New Roman" w:cs="Times New Roman"/>
                      <w:color w:val="000000" w:themeColor="text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highlight w:val="none"/>
                      <w:vertAlign w:val="baseline"/>
                      <w:lang w:val="en-US" w:eastAsia="zh-CN"/>
                      <w14:textFill>
                        <w14:solidFill>
                          <w14:schemeClr w14:val="tx1"/>
                        </w14:solidFill>
                      </w14:textFill>
                    </w:rPr>
                    <w:t>300</w:t>
                  </w:r>
                </w:p>
              </w:tc>
              <w:tc>
                <w:tcPr>
                  <w:tcW w:w="2605" w:type="dxa"/>
                </w:tcPr>
                <w:p w14:paraId="0602018B">
                  <w:pPr>
                    <w:jc w:val="center"/>
                    <w:rPr>
                      <w:rFonts w:hint="default" w:ascii="Times New Roman" w:hAnsi="Times New Roman" w:cs="Times New Roman"/>
                      <w:color w:val="000000" w:themeColor="text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highlight w:val="none"/>
                      <w:vertAlign w:val="baseline"/>
                      <w:lang w:val="en-US" w:eastAsia="zh-CN"/>
                      <w14:textFill>
                        <w14:solidFill>
                          <w14:schemeClr w14:val="tx1"/>
                        </w14:solidFill>
                      </w14:textFill>
                    </w:rPr>
                    <w:t>mg/L</w:t>
                  </w:r>
                </w:p>
              </w:tc>
            </w:tr>
            <w:tr w14:paraId="4493C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6" w:type="dxa"/>
                </w:tcPr>
                <w:p w14:paraId="045E00E2">
                  <w:pPr>
                    <w:jc w:val="center"/>
                    <w:rPr>
                      <w:rFonts w:hint="default" w:ascii="Times New Roman" w:hAnsi="Times New Roman" w:cs="Times New Roman"/>
                      <w:color w:val="000000" w:themeColor="text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highlight w:val="none"/>
                      <w:vertAlign w:val="baseline"/>
                      <w:lang w:val="en-US" w:eastAsia="zh-CN"/>
                      <w14:textFill>
                        <w14:solidFill>
                          <w14:schemeClr w14:val="tx1"/>
                        </w14:solidFill>
                      </w14:textFill>
                    </w:rPr>
                    <w:t>悬浮物（SS）</w:t>
                  </w:r>
                </w:p>
              </w:tc>
              <w:tc>
                <w:tcPr>
                  <w:tcW w:w="2796" w:type="dxa"/>
                </w:tcPr>
                <w:p w14:paraId="1F4B7FD8">
                  <w:pPr>
                    <w:jc w:val="center"/>
                    <w:rPr>
                      <w:rFonts w:hint="default" w:ascii="Times New Roman" w:hAnsi="Times New Roman" w:cs="Times New Roman"/>
                      <w:color w:val="000000" w:themeColor="text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highlight w:val="none"/>
                      <w:vertAlign w:val="baseline"/>
                      <w:lang w:val="en-US" w:eastAsia="zh-CN"/>
                      <w14:textFill>
                        <w14:solidFill>
                          <w14:schemeClr w14:val="tx1"/>
                        </w14:solidFill>
                      </w14:textFill>
                    </w:rPr>
                    <w:t>170</w:t>
                  </w:r>
                </w:p>
              </w:tc>
              <w:tc>
                <w:tcPr>
                  <w:tcW w:w="2605" w:type="dxa"/>
                </w:tcPr>
                <w:p w14:paraId="3FE696F3">
                  <w:pPr>
                    <w:jc w:val="center"/>
                    <w:rPr>
                      <w:rFonts w:hint="default" w:ascii="Times New Roman" w:hAnsi="Times New Roman" w:cs="Times New Roman"/>
                      <w:color w:val="000000" w:themeColor="text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highlight w:val="none"/>
                      <w:vertAlign w:val="baseline"/>
                      <w:lang w:val="en-US" w:eastAsia="zh-CN"/>
                      <w14:textFill>
                        <w14:solidFill>
                          <w14:schemeClr w14:val="tx1"/>
                        </w14:solidFill>
                      </w14:textFill>
                    </w:rPr>
                    <w:t>mg/L</w:t>
                  </w:r>
                </w:p>
              </w:tc>
            </w:tr>
            <w:tr w14:paraId="1888D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6" w:type="dxa"/>
                </w:tcPr>
                <w:p w14:paraId="17324D25">
                  <w:pPr>
                    <w:jc w:val="center"/>
                    <w:rPr>
                      <w:rFonts w:hint="default" w:ascii="Times New Roman" w:hAnsi="Times New Roman" w:cs="Times New Roman"/>
                      <w:color w:val="000000" w:themeColor="text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highlight w:val="none"/>
                      <w:vertAlign w:val="baseline"/>
                      <w:lang w:val="en-US" w:eastAsia="zh-CN"/>
                      <w14:textFill>
                        <w14:solidFill>
                          <w14:schemeClr w14:val="tx1"/>
                        </w14:solidFill>
                      </w14:textFill>
                    </w:rPr>
                    <w:t>BOD</w:t>
                  </w:r>
                  <w:r>
                    <w:rPr>
                      <w:rFonts w:hint="default" w:ascii="Times New Roman" w:hAnsi="Times New Roman" w:cs="Times New Roman"/>
                      <w:color w:val="000000" w:themeColor="text1"/>
                      <w:highlight w:val="none"/>
                      <w:vertAlign w:val="subscript"/>
                      <w:lang w:val="en-US" w:eastAsia="zh-CN"/>
                      <w14:textFill>
                        <w14:solidFill>
                          <w14:schemeClr w14:val="tx1"/>
                        </w14:solidFill>
                      </w14:textFill>
                    </w:rPr>
                    <w:t>5</w:t>
                  </w:r>
                </w:p>
              </w:tc>
              <w:tc>
                <w:tcPr>
                  <w:tcW w:w="2796" w:type="dxa"/>
                </w:tcPr>
                <w:p w14:paraId="3830604F">
                  <w:pPr>
                    <w:jc w:val="center"/>
                    <w:rPr>
                      <w:rFonts w:hint="default" w:ascii="Times New Roman" w:hAnsi="Times New Roman" w:cs="Times New Roman"/>
                      <w:color w:val="000000" w:themeColor="text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highlight w:val="none"/>
                      <w:vertAlign w:val="baseline"/>
                      <w:lang w:val="en-US" w:eastAsia="zh-CN"/>
                      <w14:textFill>
                        <w14:solidFill>
                          <w14:schemeClr w14:val="tx1"/>
                        </w14:solidFill>
                      </w14:textFill>
                    </w:rPr>
                    <w:t>1200</w:t>
                  </w:r>
                </w:p>
              </w:tc>
              <w:tc>
                <w:tcPr>
                  <w:tcW w:w="2605" w:type="dxa"/>
                </w:tcPr>
                <w:p w14:paraId="216D7A22">
                  <w:pPr>
                    <w:jc w:val="center"/>
                    <w:rPr>
                      <w:rFonts w:hint="default" w:ascii="Times New Roman" w:hAnsi="Times New Roman" w:cs="Times New Roman"/>
                      <w:color w:val="000000" w:themeColor="text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highlight w:val="none"/>
                      <w:vertAlign w:val="baseline"/>
                      <w:lang w:val="en-US" w:eastAsia="zh-CN"/>
                      <w14:textFill>
                        <w14:solidFill>
                          <w14:schemeClr w14:val="tx1"/>
                        </w14:solidFill>
                      </w14:textFill>
                    </w:rPr>
                    <w:t>mg/L</w:t>
                  </w:r>
                </w:p>
              </w:tc>
            </w:tr>
            <w:tr w14:paraId="082E8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6" w:type="dxa"/>
                </w:tcPr>
                <w:p w14:paraId="38E7ED14">
                  <w:pPr>
                    <w:jc w:val="center"/>
                    <w:rPr>
                      <w:rFonts w:hint="default" w:ascii="Times New Roman" w:hAnsi="Times New Roman" w:cs="Times New Roman"/>
                      <w:color w:val="000000" w:themeColor="text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highlight w:val="none"/>
                      <w:vertAlign w:val="baseline"/>
                      <w:lang w:val="en-US" w:eastAsia="zh-CN"/>
                      <w14:textFill>
                        <w14:solidFill>
                          <w14:schemeClr w14:val="tx1"/>
                        </w14:solidFill>
                      </w14:textFill>
                    </w:rPr>
                    <w:t>PH</w:t>
                  </w:r>
                </w:p>
              </w:tc>
              <w:tc>
                <w:tcPr>
                  <w:tcW w:w="2796" w:type="dxa"/>
                </w:tcPr>
                <w:p w14:paraId="6A14B24F">
                  <w:pPr>
                    <w:jc w:val="center"/>
                    <w:rPr>
                      <w:rFonts w:hint="default" w:ascii="Times New Roman" w:hAnsi="Times New Roman" w:cs="Times New Roman"/>
                      <w:color w:val="000000" w:themeColor="text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highlight w:val="none"/>
                      <w:vertAlign w:val="baseline"/>
                      <w:lang w:val="en-US" w:eastAsia="zh-CN"/>
                      <w14:textFill>
                        <w14:solidFill>
                          <w14:schemeClr w14:val="tx1"/>
                        </w14:solidFill>
                      </w14:textFill>
                    </w:rPr>
                    <w:t>6-9</w:t>
                  </w:r>
                </w:p>
              </w:tc>
              <w:tc>
                <w:tcPr>
                  <w:tcW w:w="2605" w:type="dxa"/>
                </w:tcPr>
                <w:p w14:paraId="26DEA712">
                  <w:pPr>
                    <w:jc w:val="center"/>
                    <w:rPr>
                      <w:rFonts w:hint="default" w:ascii="Times New Roman" w:hAnsi="Times New Roman" w:cs="Times New Roman"/>
                      <w:color w:val="000000" w:themeColor="text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highlight w:val="none"/>
                      <w:vertAlign w:val="baseline"/>
                      <w:lang w:val="en-US" w:eastAsia="zh-CN"/>
                      <w14:textFill>
                        <w14:solidFill>
                          <w14:schemeClr w14:val="tx1"/>
                        </w14:solidFill>
                      </w14:textFill>
                    </w:rPr>
                    <w:t>/</w:t>
                  </w:r>
                </w:p>
              </w:tc>
            </w:tr>
            <w:tr w14:paraId="6949A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6" w:type="dxa"/>
                </w:tcPr>
                <w:p w14:paraId="54785081">
                  <w:pPr>
                    <w:jc w:val="center"/>
                    <w:rPr>
                      <w:rFonts w:hint="default" w:ascii="Times New Roman" w:hAnsi="Times New Roman" w:cs="Times New Roman"/>
                      <w:color w:val="000000" w:themeColor="text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highlight w:val="none"/>
                      <w:vertAlign w:val="baseline"/>
                      <w:lang w:val="en-US" w:eastAsia="zh-CN"/>
                      <w14:textFill>
                        <w14:solidFill>
                          <w14:schemeClr w14:val="tx1"/>
                        </w14:solidFill>
                      </w14:textFill>
                    </w:rPr>
                    <w:t>电导率</w:t>
                  </w:r>
                </w:p>
              </w:tc>
              <w:tc>
                <w:tcPr>
                  <w:tcW w:w="2796" w:type="dxa"/>
                </w:tcPr>
                <w:p w14:paraId="44191B20">
                  <w:pPr>
                    <w:jc w:val="center"/>
                    <w:rPr>
                      <w:rFonts w:hint="default" w:ascii="Times New Roman" w:hAnsi="Times New Roman" w:cs="Times New Roman"/>
                      <w:color w:val="000000" w:themeColor="text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highlight w:val="none"/>
                      <w:vertAlign w:val="baseline"/>
                      <w:lang w:val="en-US" w:eastAsia="zh-CN"/>
                      <w14:textFill>
                        <w14:solidFill>
                          <w14:schemeClr w14:val="tx1"/>
                        </w14:solidFill>
                      </w14:textFill>
                    </w:rPr>
                    <w:t>5000</w:t>
                  </w:r>
                </w:p>
              </w:tc>
              <w:tc>
                <w:tcPr>
                  <w:tcW w:w="2605" w:type="dxa"/>
                </w:tcPr>
                <w:p w14:paraId="0388D693">
                  <w:pPr>
                    <w:jc w:val="center"/>
                    <w:rPr>
                      <w:rFonts w:hint="default" w:ascii="Times New Roman" w:hAnsi="Times New Roman" w:cs="Times New Roman"/>
                      <w:color w:val="000000" w:themeColor="text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highlight w:val="none"/>
                      <w:vertAlign w:val="baseline"/>
                      <w:lang w:val="en-US" w:eastAsia="zh-CN"/>
                      <w14:textFill>
                        <w14:solidFill>
                          <w14:schemeClr w14:val="tx1"/>
                        </w14:solidFill>
                      </w14:textFill>
                    </w:rPr>
                    <w:t>mg/L</w:t>
                  </w:r>
                </w:p>
              </w:tc>
            </w:tr>
            <w:tr w14:paraId="2992D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6" w:type="dxa"/>
                </w:tcPr>
                <w:p w14:paraId="2356087B">
                  <w:pPr>
                    <w:jc w:val="center"/>
                    <w:rPr>
                      <w:rFonts w:hint="default" w:ascii="Times New Roman" w:hAnsi="Times New Roman" w:cs="Times New Roman"/>
                      <w:color w:val="000000" w:themeColor="text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highlight w:val="none"/>
                      <w:vertAlign w:val="baseline"/>
                      <w:lang w:val="en-US" w:eastAsia="zh-CN"/>
                      <w14:textFill>
                        <w14:solidFill>
                          <w14:schemeClr w14:val="tx1"/>
                        </w14:solidFill>
                      </w14:textFill>
                    </w:rPr>
                    <w:t>石油类</w:t>
                  </w:r>
                </w:p>
              </w:tc>
              <w:tc>
                <w:tcPr>
                  <w:tcW w:w="2796" w:type="dxa"/>
                </w:tcPr>
                <w:p w14:paraId="249D46F3">
                  <w:pPr>
                    <w:jc w:val="center"/>
                    <w:rPr>
                      <w:rFonts w:hint="default" w:ascii="Times New Roman" w:hAnsi="Times New Roman" w:cs="Times New Roman"/>
                      <w:color w:val="000000" w:themeColor="text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highlight w:val="none"/>
                      <w:vertAlign w:val="baseline"/>
                      <w:lang w:val="en-US" w:eastAsia="zh-CN"/>
                      <w14:textFill>
                        <w14:solidFill>
                          <w14:schemeClr w14:val="tx1"/>
                        </w14:solidFill>
                      </w14:textFill>
                    </w:rPr>
                    <w:t>10</w:t>
                  </w:r>
                </w:p>
              </w:tc>
              <w:tc>
                <w:tcPr>
                  <w:tcW w:w="2605" w:type="dxa"/>
                </w:tcPr>
                <w:p w14:paraId="1D458C02">
                  <w:pPr>
                    <w:jc w:val="center"/>
                    <w:rPr>
                      <w:rFonts w:hint="default" w:ascii="Times New Roman" w:hAnsi="Times New Roman" w:cs="Times New Roman"/>
                      <w:color w:val="000000" w:themeColor="text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highlight w:val="none"/>
                      <w:vertAlign w:val="baseline"/>
                      <w:lang w:val="en-US" w:eastAsia="zh-CN"/>
                      <w14:textFill>
                        <w14:solidFill>
                          <w14:schemeClr w14:val="tx1"/>
                        </w14:solidFill>
                      </w14:textFill>
                    </w:rPr>
                    <w:t>mg/L</w:t>
                  </w:r>
                </w:p>
              </w:tc>
            </w:tr>
            <w:tr w14:paraId="05C19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6" w:type="dxa"/>
                </w:tcPr>
                <w:p w14:paraId="23AF9939">
                  <w:pPr>
                    <w:jc w:val="center"/>
                    <w:rPr>
                      <w:rFonts w:hint="default" w:ascii="Times New Roman" w:hAnsi="Times New Roman" w:cs="Times New Roman"/>
                      <w:color w:val="000000" w:themeColor="text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SO</w:t>
                  </w:r>
                  <w:r>
                    <w:rPr>
                      <w:rFonts w:hint="default" w:ascii="Times New Roman" w:hAnsi="Times New Roman" w:cs="Times New Roman"/>
                      <w:color w:val="000000" w:themeColor="text1"/>
                      <w:highlight w:val="none"/>
                      <w:vertAlign w:val="subscript"/>
                      <w:lang w:val="en-US" w:eastAsia="zh-CN"/>
                      <w14:textFill>
                        <w14:solidFill>
                          <w14:schemeClr w14:val="tx1"/>
                        </w14:solidFill>
                      </w14:textFill>
                    </w:rPr>
                    <w:t>4</w:t>
                  </w:r>
                  <w:r>
                    <w:rPr>
                      <w:rFonts w:hint="default" w:ascii="Times New Roman" w:hAnsi="Times New Roman" w:cs="Times New Roman"/>
                      <w:color w:val="000000" w:themeColor="text1"/>
                      <w:highlight w:val="none"/>
                      <w:vertAlign w:val="superscript"/>
                      <w:lang w:val="en-US" w:eastAsia="zh-CN"/>
                      <w14:textFill>
                        <w14:solidFill>
                          <w14:schemeClr w14:val="tx1"/>
                        </w14:solidFill>
                      </w14:textFill>
                    </w:rPr>
                    <w:t>2-</w:t>
                  </w:r>
                </w:p>
              </w:tc>
              <w:tc>
                <w:tcPr>
                  <w:tcW w:w="2796" w:type="dxa"/>
                </w:tcPr>
                <w:p w14:paraId="7772C77C">
                  <w:pPr>
                    <w:jc w:val="center"/>
                    <w:rPr>
                      <w:rFonts w:hint="default" w:ascii="Times New Roman" w:hAnsi="Times New Roman" w:cs="Times New Roman"/>
                      <w:color w:val="000000" w:themeColor="text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highlight w:val="none"/>
                      <w:vertAlign w:val="baseline"/>
                      <w:lang w:val="en-US" w:eastAsia="zh-CN"/>
                      <w14:textFill>
                        <w14:solidFill>
                          <w14:schemeClr w14:val="tx1"/>
                        </w14:solidFill>
                      </w14:textFill>
                    </w:rPr>
                    <w:t>1000</w:t>
                  </w:r>
                </w:p>
              </w:tc>
              <w:tc>
                <w:tcPr>
                  <w:tcW w:w="2605" w:type="dxa"/>
                </w:tcPr>
                <w:p w14:paraId="1AFE5CB0">
                  <w:pPr>
                    <w:jc w:val="center"/>
                    <w:rPr>
                      <w:rFonts w:hint="default" w:ascii="Times New Roman" w:hAnsi="Times New Roman" w:cs="Times New Roman"/>
                      <w:color w:val="000000" w:themeColor="text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highlight w:val="none"/>
                      <w:vertAlign w:val="baseline"/>
                      <w:lang w:val="en-US" w:eastAsia="zh-CN"/>
                      <w14:textFill>
                        <w14:solidFill>
                          <w14:schemeClr w14:val="tx1"/>
                        </w14:solidFill>
                      </w14:textFill>
                    </w:rPr>
                    <w:t>mg/L</w:t>
                  </w:r>
                </w:p>
              </w:tc>
            </w:tr>
            <w:tr w14:paraId="2039E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796" w:type="dxa"/>
                </w:tcPr>
                <w:p w14:paraId="2522F700">
                  <w:pPr>
                    <w:jc w:val="center"/>
                    <w:rPr>
                      <w:rFonts w:hint="default" w:ascii="Times New Roman" w:hAnsi="Times New Roman" w:cs="Times New Roman"/>
                      <w:color w:val="000000" w:themeColor="text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highlight w:val="none"/>
                      <w:vertAlign w:val="baseline"/>
                      <w:lang w:val="en-US" w:eastAsia="zh-CN"/>
                      <w14:textFill>
                        <w14:solidFill>
                          <w14:schemeClr w14:val="tx1"/>
                        </w14:solidFill>
                      </w14:textFill>
                    </w:rPr>
                    <w:t>挥发酚</w:t>
                  </w:r>
                </w:p>
              </w:tc>
              <w:tc>
                <w:tcPr>
                  <w:tcW w:w="2796" w:type="dxa"/>
                </w:tcPr>
                <w:p w14:paraId="40A60268">
                  <w:pPr>
                    <w:jc w:val="center"/>
                    <w:rPr>
                      <w:rFonts w:hint="default" w:ascii="Times New Roman" w:hAnsi="Times New Roman" w:cs="Times New Roman"/>
                      <w:color w:val="000000" w:themeColor="text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highlight w:val="none"/>
                      <w:vertAlign w:val="baseline"/>
                      <w:lang w:val="en-US" w:eastAsia="zh-CN"/>
                      <w14:textFill>
                        <w14:solidFill>
                          <w14:schemeClr w14:val="tx1"/>
                        </w14:solidFill>
                      </w14:textFill>
                    </w:rPr>
                    <w:t>20</w:t>
                  </w:r>
                </w:p>
              </w:tc>
              <w:tc>
                <w:tcPr>
                  <w:tcW w:w="2605" w:type="dxa"/>
                </w:tcPr>
                <w:p w14:paraId="0F4DAFB1">
                  <w:pPr>
                    <w:jc w:val="center"/>
                    <w:rPr>
                      <w:rFonts w:hint="default" w:ascii="Times New Roman" w:hAnsi="Times New Roman" w:cs="Times New Roman"/>
                      <w:color w:val="000000" w:themeColor="text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highlight w:val="none"/>
                      <w:vertAlign w:val="baseline"/>
                      <w:lang w:val="en-US" w:eastAsia="zh-CN"/>
                      <w14:textFill>
                        <w14:solidFill>
                          <w14:schemeClr w14:val="tx1"/>
                        </w14:solidFill>
                      </w14:textFill>
                    </w:rPr>
                    <w:t>mg/L</w:t>
                  </w:r>
                </w:p>
              </w:tc>
            </w:tr>
            <w:tr w14:paraId="5331B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6" w:type="dxa"/>
                </w:tcPr>
                <w:p w14:paraId="185C5E38">
                  <w:pPr>
                    <w:jc w:val="center"/>
                    <w:rPr>
                      <w:rFonts w:hint="default" w:ascii="Times New Roman" w:hAnsi="Times New Roman" w:cs="Times New Roman"/>
                      <w:color w:val="000000" w:themeColor="text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highlight w:val="none"/>
                      <w:vertAlign w:val="baseline"/>
                      <w:lang w:val="en-US" w:eastAsia="zh-CN"/>
                      <w14:textFill>
                        <w14:solidFill>
                          <w14:schemeClr w14:val="tx1"/>
                        </w14:solidFill>
                      </w14:textFill>
                    </w:rPr>
                    <w:t>硫化物</w:t>
                  </w:r>
                </w:p>
              </w:tc>
              <w:tc>
                <w:tcPr>
                  <w:tcW w:w="2796" w:type="dxa"/>
                </w:tcPr>
                <w:p w14:paraId="7CDB61ED">
                  <w:pPr>
                    <w:jc w:val="center"/>
                    <w:rPr>
                      <w:rFonts w:hint="default" w:ascii="Times New Roman" w:hAnsi="Times New Roman" w:cs="Times New Roman"/>
                      <w:color w:val="000000" w:themeColor="text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highlight w:val="none"/>
                      <w:vertAlign w:val="baseline"/>
                      <w:lang w:val="en-US" w:eastAsia="zh-CN"/>
                      <w14:textFill>
                        <w14:solidFill>
                          <w14:schemeClr w14:val="tx1"/>
                        </w14:solidFill>
                      </w14:textFill>
                    </w:rPr>
                    <w:t>2</w:t>
                  </w:r>
                </w:p>
              </w:tc>
              <w:tc>
                <w:tcPr>
                  <w:tcW w:w="2605" w:type="dxa"/>
                </w:tcPr>
                <w:p w14:paraId="044DEF11">
                  <w:pPr>
                    <w:jc w:val="center"/>
                    <w:rPr>
                      <w:rFonts w:hint="default" w:ascii="Times New Roman" w:hAnsi="Times New Roman" w:cs="Times New Roman"/>
                      <w:color w:val="000000" w:themeColor="text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highlight w:val="none"/>
                      <w:vertAlign w:val="baseline"/>
                      <w:lang w:val="en-US" w:eastAsia="zh-CN"/>
                      <w14:textFill>
                        <w14:solidFill>
                          <w14:schemeClr w14:val="tx1"/>
                        </w14:solidFill>
                      </w14:textFill>
                    </w:rPr>
                    <w:t>mg/L</w:t>
                  </w:r>
                </w:p>
              </w:tc>
            </w:tr>
            <w:tr w14:paraId="502C9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6" w:type="dxa"/>
                </w:tcPr>
                <w:p w14:paraId="1C7843D0">
                  <w:pPr>
                    <w:jc w:val="center"/>
                    <w:rPr>
                      <w:rFonts w:hint="default" w:ascii="Times New Roman" w:hAnsi="Times New Roman" w:cs="Times New Roman"/>
                      <w:color w:val="000000" w:themeColor="text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highlight w:val="none"/>
                      <w:vertAlign w:val="baseline"/>
                      <w:lang w:val="en-US" w:eastAsia="zh-CN"/>
                      <w14:textFill>
                        <w14:solidFill>
                          <w14:schemeClr w14:val="tx1"/>
                        </w14:solidFill>
                      </w14:textFill>
                    </w:rPr>
                    <w:t>硝基苯</w:t>
                  </w:r>
                </w:p>
              </w:tc>
              <w:tc>
                <w:tcPr>
                  <w:tcW w:w="2796" w:type="dxa"/>
                </w:tcPr>
                <w:p w14:paraId="75AD441C">
                  <w:pPr>
                    <w:jc w:val="center"/>
                    <w:rPr>
                      <w:rFonts w:hint="default" w:ascii="Times New Roman" w:hAnsi="Times New Roman" w:cs="Times New Roman"/>
                      <w:color w:val="000000" w:themeColor="text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highlight w:val="none"/>
                      <w:vertAlign w:val="baseline"/>
                      <w:lang w:val="en-US" w:eastAsia="zh-CN"/>
                      <w14:textFill>
                        <w14:solidFill>
                          <w14:schemeClr w14:val="tx1"/>
                        </w14:solidFill>
                      </w14:textFill>
                    </w:rPr>
                    <w:t>5</w:t>
                  </w:r>
                </w:p>
              </w:tc>
              <w:tc>
                <w:tcPr>
                  <w:tcW w:w="2605" w:type="dxa"/>
                </w:tcPr>
                <w:p w14:paraId="11DE2103">
                  <w:pPr>
                    <w:jc w:val="center"/>
                    <w:rPr>
                      <w:rFonts w:hint="default" w:ascii="Times New Roman" w:hAnsi="Times New Roman" w:cs="Times New Roman"/>
                      <w:color w:val="000000" w:themeColor="text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highlight w:val="none"/>
                      <w:vertAlign w:val="baseline"/>
                      <w:lang w:val="en-US" w:eastAsia="zh-CN"/>
                      <w14:textFill>
                        <w14:solidFill>
                          <w14:schemeClr w14:val="tx1"/>
                        </w14:solidFill>
                      </w14:textFill>
                    </w:rPr>
                    <w:t>mg/L</w:t>
                  </w:r>
                </w:p>
              </w:tc>
            </w:tr>
            <w:tr w14:paraId="34672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6" w:type="dxa"/>
                </w:tcPr>
                <w:p w14:paraId="230A9EA9">
                  <w:pPr>
                    <w:jc w:val="center"/>
                    <w:rPr>
                      <w:rFonts w:hint="default" w:ascii="Times New Roman" w:hAnsi="Times New Roman" w:cs="Times New Roman"/>
                      <w:color w:val="000000" w:themeColor="text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highlight w:val="none"/>
                      <w:vertAlign w:val="baseline"/>
                      <w:lang w:val="en-US" w:eastAsia="zh-CN"/>
                      <w14:textFill>
                        <w14:solidFill>
                          <w14:schemeClr w14:val="tx1"/>
                        </w14:solidFill>
                      </w14:textFill>
                    </w:rPr>
                    <w:t>氰化物</w:t>
                  </w:r>
                </w:p>
              </w:tc>
              <w:tc>
                <w:tcPr>
                  <w:tcW w:w="2796" w:type="dxa"/>
                </w:tcPr>
                <w:p w14:paraId="4CE545C5">
                  <w:pPr>
                    <w:jc w:val="center"/>
                    <w:rPr>
                      <w:rFonts w:hint="default" w:ascii="Times New Roman" w:hAnsi="Times New Roman" w:cs="Times New Roman"/>
                      <w:color w:val="000000" w:themeColor="text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highlight w:val="none"/>
                      <w:vertAlign w:val="baseline"/>
                      <w:lang w:val="en-US" w:eastAsia="zh-CN"/>
                      <w14:textFill>
                        <w14:solidFill>
                          <w14:schemeClr w14:val="tx1"/>
                        </w14:solidFill>
                      </w14:textFill>
                    </w:rPr>
                    <w:t>1</w:t>
                  </w:r>
                </w:p>
              </w:tc>
              <w:tc>
                <w:tcPr>
                  <w:tcW w:w="2605" w:type="dxa"/>
                </w:tcPr>
                <w:p w14:paraId="5E59B112">
                  <w:pPr>
                    <w:jc w:val="center"/>
                    <w:rPr>
                      <w:rFonts w:hint="default" w:ascii="Times New Roman" w:hAnsi="Times New Roman" w:cs="Times New Roman"/>
                      <w:color w:val="000000" w:themeColor="text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highlight w:val="none"/>
                      <w:vertAlign w:val="baseline"/>
                      <w:lang w:val="en-US" w:eastAsia="zh-CN"/>
                      <w14:textFill>
                        <w14:solidFill>
                          <w14:schemeClr w14:val="tx1"/>
                        </w14:solidFill>
                      </w14:textFill>
                    </w:rPr>
                    <w:t>mg/L</w:t>
                  </w:r>
                </w:p>
              </w:tc>
            </w:tr>
            <w:tr w14:paraId="32550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6" w:type="dxa"/>
                </w:tcPr>
                <w:p w14:paraId="7F92C7A9">
                  <w:pPr>
                    <w:jc w:val="center"/>
                    <w:rPr>
                      <w:rFonts w:hint="default" w:ascii="Times New Roman" w:hAnsi="Times New Roman" w:cs="Times New Roman"/>
                      <w:color w:val="000000" w:themeColor="text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highlight w:val="none"/>
                      <w:vertAlign w:val="baseline"/>
                      <w:lang w:val="en-US" w:eastAsia="zh-CN"/>
                      <w14:textFill>
                        <w14:solidFill>
                          <w14:schemeClr w14:val="tx1"/>
                        </w14:solidFill>
                      </w14:textFill>
                    </w:rPr>
                    <w:t>总磷</w:t>
                  </w:r>
                </w:p>
              </w:tc>
              <w:tc>
                <w:tcPr>
                  <w:tcW w:w="2796" w:type="dxa"/>
                </w:tcPr>
                <w:p w14:paraId="53AA6921">
                  <w:pPr>
                    <w:jc w:val="center"/>
                    <w:rPr>
                      <w:rFonts w:hint="default" w:ascii="Times New Roman" w:hAnsi="Times New Roman" w:cs="Times New Roman"/>
                      <w:color w:val="000000" w:themeColor="text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highlight w:val="none"/>
                      <w:vertAlign w:val="baseline"/>
                      <w:lang w:val="en-US" w:eastAsia="zh-CN"/>
                      <w14:textFill>
                        <w14:solidFill>
                          <w14:schemeClr w14:val="tx1"/>
                        </w14:solidFill>
                      </w14:textFill>
                    </w:rPr>
                    <w:t>10</w:t>
                  </w:r>
                </w:p>
              </w:tc>
              <w:tc>
                <w:tcPr>
                  <w:tcW w:w="2605" w:type="dxa"/>
                </w:tcPr>
                <w:p w14:paraId="4C97D6FC">
                  <w:pPr>
                    <w:jc w:val="center"/>
                    <w:rPr>
                      <w:rFonts w:hint="default" w:ascii="Times New Roman" w:hAnsi="Times New Roman" w:cs="Times New Roman"/>
                      <w:color w:val="000000" w:themeColor="text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highlight w:val="none"/>
                      <w:vertAlign w:val="baseline"/>
                      <w:lang w:val="en-US" w:eastAsia="zh-CN"/>
                      <w14:textFill>
                        <w14:solidFill>
                          <w14:schemeClr w14:val="tx1"/>
                        </w14:solidFill>
                      </w14:textFill>
                    </w:rPr>
                    <w:t>mg/L</w:t>
                  </w:r>
                </w:p>
              </w:tc>
            </w:tr>
            <w:tr w14:paraId="5E778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6" w:type="dxa"/>
                </w:tcPr>
                <w:p w14:paraId="0D7B437B">
                  <w:pPr>
                    <w:jc w:val="center"/>
                    <w:rPr>
                      <w:rFonts w:hint="default" w:ascii="Times New Roman" w:hAnsi="Times New Roman" w:cs="Times New Roman"/>
                      <w:color w:val="000000" w:themeColor="text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highlight w:val="none"/>
                      <w:vertAlign w:val="baseline"/>
                      <w:lang w:val="en-US" w:eastAsia="zh-CN"/>
                      <w14:textFill>
                        <w14:solidFill>
                          <w14:schemeClr w14:val="tx1"/>
                        </w14:solidFill>
                      </w14:textFill>
                    </w:rPr>
                    <w:t>总硬度</w:t>
                  </w:r>
                </w:p>
              </w:tc>
              <w:tc>
                <w:tcPr>
                  <w:tcW w:w="2796" w:type="dxa"/>
                </w:tcPr>
                <w:p w14:paraId="417C4ED6">
                  <w:pPr>
                    <w:jc w:val="center"/>
                    <w:rPr>
                      <w:rFonts w:hint="default" w:ascii="Times New Roman" w:hAnsi="Times New Roman" w:cs="Times New Roman"/>
                      <w:color w:val="000000" w:themeColor="text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highlight w:val="none"/>
                      <w:vertAlign w:val="baseline"/>
                      <w:lang w:val="en-US" w:eastAsia="zh-CN"/>
                      <w14:textFill>
                        <w14:solidFill>
                          <w14:schemeClr w14:val="tx1"/>
                        </w14:solidFill>
                      </w14:textFill>
                    </w:rPr>
                    <w:t>495</w:t>
                  </w:r>
                </w:p>
              </w:tc>
              <w:tc>
                <w:tcPr>
                  <w:tcW w:w="2605" w:type="dxa"/>
                </w:tcPr>
                <w:p w14:paraId="28418D1C">
                  <w:pPr>
                    <w:jc w:val="center"/>
                    <w:rPr>
                      <w:rFonts w:hint="default" w:ascii="Times New Roman" w:hAnsi="Times New Roman" w:cs="Times New Roman"/>
                      <w:color w:val="000000" w:themeColor="text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highlight w:val="none"/>
                      <w:vertAlign w:val="baseline"/>
                      <w:lang w:val="en-US" w:eastAsia="zh-CN"/>
                      <w14:textFill>
                        <w14:solidFill>
                          <w14:schemeClr w14:val="tx1"/>
                        </w14:solidFill>
                      </w14:textFill>
                    </w:rPr>
                    <w:t>mg/L</w:t>
                  </w:r>
                </w:p>
              </w:tc>
            </w:tr>
            <w:tr w14:paraId="33256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6" w:type="dxa"/>
                </w:tcPr>
                <w:p w14:paraId="59ABFD75">
                  <w:pPr>
                    <w:jc w:val="center"/>
                    <w:rPr>
                      <w:rFonts w:hint="default" w:ascii="Times New Roman" w:hAnsi="Times New Roman" w:cs="Times New Roman"/>
                      <w:color w:val="000000" w:themeColor="text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highlight w:val="none"/>
                      <w:vertAlign w:val="baseline"/>
                      <w:lang w:val="en-US" w:eastAsia="zh-CN"/>
                      <w14:textFill>
                        <w14:solidFill>
                          <w14:schemeClr w14:val="tx1"/>
                        </w14:solidFill>
                      </w14:textFill>
                    </w:rPr>
                    <w:t>总硅</w:t>
                  </w:r>
                </w:p>
              </w:tc>
              <w:tc>
                <w:tcPr>
                  <w:tcW w:w="2796" w:type="dxa"/>
                </w:tcPr>
                <w:p w14:paraId="69C582B7">
                  <w:pPr>
                    <w:jc w:val="center"/>
                    <w:rPr>
                      <w:rFonts w:hint="default" w:ascii="Times New Roman" w:hAnsi="Times New Roman" w:cs="Times New Roman"/>
                      <w:color w:val="000000" w:themeColor="text1"/>
                      <w:highlight w:val="none"/>
                      <w:vertAlign w:val="baseline"/>
                      <w:lang w:val="en-US" w:eastAsia="zh-CN"/>
                      <w14:textFill>
                        <w14:solidFill>
                          <w14:schemeClr w14:val="tx1"/>
                        </w14:solidFill>
                      </w14:textFill>
                    </w:rPr>
                  </w:pPr>
                  <w:r>
                    <w:rPr>
                      <w:rFonts w:hint="eastAsia" w:ascii="Times New Roman" w:hAnsi="Times New Roman" w:cs="Times New Roman"/>
                      <w:color w:val="000000" w:themeColor="text1"/>
                      <w:highlight w:val="none"/>
                      <w:vertAlign w:val="baseline"/>
                      <w:lang w:val="en-US" w:eastAsia="zh-CN"/>
                      <w14:textFill>
                        <w14:solidFill>
                          <w14:schemeClr w14:val="tx1"/>
                        </w14:solidFill>
                      </w14:textFill>
                    </w:rPr>
                    <w:t>&lt;</w:t>
                  </w:r>
                  <w:r>
                    <w:rPr>
                      <w:rFonts w:hint="default" w:ascii="Times New Roman" w:hAnsi="Times New Roman" w:cs="Times New Roman"/>
                      <w:color w:val="000000" w:themeColor="text1"/>
                      <w:highlight w:val="none"/>
                      <w:vertAlign w:val="baseline"/>
                      <w:lang w:val="en-US" w:eastAsia="zh-CN"/>
                      <w14:textFill>
                        <w14:solidFill>
                          <w14:schemeClr w14:val="tx1"/>
                        </w14:solidFill>
                      </w14:textFill>
                    </w:rPr>
                    <w:t>36</w:t>
                  </w:r>
                </w:p>
              </w:tc>
              <w:tc>
                <w:tcPr>
                  <w:tcW w:w="2605" w:type="dxa"/>
                </w:tcPr>
                <w:p w14:paraId="52E6E470">
                  <w:pPr>
                    <w:jc w:val="center"/>
                    <w:rPr>
                      <w:rFonts w:hint="default" w:ascii="Times New Roman" w:hAnsi="Times New Roman" w:cs="Times New Roman"/>
                      <w:color w:val="000000" w:themeColor="text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highlight w:val="none"/>
                      <w:vertAlign w:val="baseline"/>
                      <w:lang w:val="en-US" w:eastAsia="zh-CN"/>
                      <w14:textFill>
                        <w14:solidFill>
                          <w14:schemeClr w14:val="tx1"/>
                        </w14:solidFill>
                      </w14:textFill>
                    </w:rPr>
                    <w:t>mg/L</w:t>
                  </w:r>
                </w:p>
              </w:tc>
            </w:tr>
          </w:tbl>
          <w:p w14:paraId="73F3315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p>
          <w:p w14:paraId="751E3F9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综上所述，从水质</w:t>
            </w:r>
            <w:r>
              <w:rPr>
                <w:rFonts w:hint="eastAsia" w:cs="Times New Roman"/>
                <w:color w:val="000000" w:themeColor="text1"/>
                <w:sz w:val="24"/>
                <w:szCs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水量分析，本项目废水</w:t>
            </w:r>
            <w:r>
              <w:rPr>
                <w:rFonts w:hint="default" w:ascii="Times New Roman" w:hAnsi="Times New Roman" w:eastAsia="宋体" w:cs="Times New Roman"/>
                <w:color w:val="000000" w:themeColor="text1"/>
                <w:sz w:val="24"/>
                <w:szCs w:val="24"/>
                <w:highlight w:val="none"/>
                <w14:textFill>
                  <w14:solidFill>
                    <w14:schemeClr w14:val="tx1"/>
                  </w14:solidFill>
                </w14:textFill>
              </w:rPr>
              <w:t>由</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防渗</w:t>
            </w:r>
            <w:r>
              <w:rPr>
                <w:rFonts w:hint="default" w:ascii="Times New Roman" w:hAnsi="Times New Roman" w:eastAsia="宋体" w:cs="Times New Roman"/>
                <w:color w:val="000000" w:themeColor="text1"/>
                <w:sz w:val="24"/>
                <w:szCs w:val="24"/>
                <w:highlight w:val="none"/>
                <w14:textFill>
                  <w14:solidFill>
                    <w14:schemeClr w14:val="tx1"/>
                  </w14:solidFill>
                </w14:textFill>
              </w:rPr>
              <w:t>化粪池收集后通过</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罐车拉运</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至</w:t>
            </w:r>
            <w:r>
              <w:rPr>
                <w:rFonts w:hint="eastAsia" w:cs="Times New Roman"/>
                <w:color w:val="000000" w:themeColor="text1"/>
                <w:sz w:val="24"/>
                <w:szCs w:val="24"/>
                <w:highlight w:val="none"/>
                <w:lang w:val="en-US" w:eastAsia="zh-CN"/>
                <w14:textFill>
                  <w14:solidFill>
                    <w14:schemeClr w14:val="tx1"/>
                  </w14:solidFill>
                </w14:textFill>
              </w:rPr>
              <w:t>准格尔旗准伊热电有限责任公司污水处理厂</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可行。</w:t>
            </w:r>
          </w:p>
          <w:p w14:paraId="7D5DB89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color w:val="000000" w:themeColor="text1"/>
                <w:sz w:val="24"/>
                <w:szCs w:val="24"/>
                <w:highlight w:val="none"/>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lang w:eastAsia="zh-CN"/>
                <w14:textFill>
                  <w14:solidFill>
                    <w14:schemeClr w14:val="tx1"/>
                  </w14:solidFill>
                </w14:textFill>
              </w:rPr>
              <w:t>3.</w:t>
            </w:r>
            <w:r>
              <w:rPr>
                <w:rFonts w:hint="default" w:ascii="Times New Roman" w:hAnsi="Times New Roman" w:eastAsia="宋体" w:cs="Times New Roman"/>
                <w:b/>
                <w:bCs/>
                <w:color w:val="000000" w:themeColor="text1"/>
                <w:sz w:val="24"/>
                <w:szCs w:val="24"/>
                <w:highlight w:val="none"/>
                <w14:textFill>
                  <w14:solidFill>
                    <w14:schemeClr w14:val="tx1"/>
                  </w14:solidFill>
                </w14:textFill>
              </w:rPr>
              <w:t>固体废物</w:t>
            </w:r>
          </w:p>
          <w:p w14:paraId="1B7554C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本项目生产过程中产生的固体废物主要为生活垃圾、</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除尘器回收尘</w:t>
            </w:r>
            <w:r>
              <w:rPr>
                <w:rFonts w:hint="eastAsia" w:cs="Times New Roman"/>
                <w:color w:val="000000" w:themeColor="text1"/>
                <w:sz w:val="24"/>
                <w:szCs w:val="24"/>
                <w:highlight w:val="none"/>
                <w:lang w:val="en-US" w:eastAsia="zh-CN"/>
                <w14:textFill>
                  <w14:solidFill>
                    <w14:schemeClr w14:val="tx1"/>
                  </w14:solidFill>
                </w14:textFill>
              </w:rPr>
              <w:t>和</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布袋除尘器废布袋</w:t>
            </w:r>
            <w:r>
              <w:rPr>
                <w:rFonts w:hint="default" w:ascii="Times New Roman" w:hAnsi="Times New Roman" w:eastAsia="宋体" w:cs="Times New Roman"/>
                <w:color w:val="000000" w:themeColor="text1"/>
                <w:sz w:val="24"/>
                <w:szCs w:val="24"/>
                <w:highlight w:val="none"/>
                <w14:textFill>
                  <w14:solidFill>
                    <w14:schemeClr w14:val="tx1"/>
                  </w14:solidFill>
                </w14:textFill>
              </w:rPr>
              <w:t>、不合格品</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脱硫石膏、脱硫废水处理</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污泥</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、空压站产生的废滤芯、</w:t>
            </w:r>
            <w:r>
              <w:rPr>
                <w:rFonts w:hint="eastAsia" w:cs="Times New Roman"/>
                <w:color w:val="000000" w:themeColor="text1"/>
                <w:sz w:val="24"/>
                <w:szCs w:val="24"/>
                <w:highlight w:val="none"/>
                <w:lang w:val="en-US" w:eastAsia="zh-CN"/>
                <w14:textFill>
                  <w14:solidFill>
                    <w14:schemeClr w14:val="tx1"/>
                  </w14:solidFill>
                </w14:textFill>
              </w:rPr>
              <w:t>软水</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站软水制备产生的废滤材、废油和废油桶</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p>
          <w:p w14:paraId="3AFFEE6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（1）除尘器</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回收尘</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及布袋除尘器废布袋</w:t>
            </w:r>
          </w:p>
          <w:p w14:paraId="0BCEB317">
            <w:pPr>
              <w:snapToGrid w:val="0"/>
              <w:spacing w:line="360" w:lineRule="auto"/>
              <w:ind w:firstLine="480" w:firstLineChars="20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项目</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除尘器回收尘来自</w:t>
            </w:r>
            <w:r>
              <w:rPr>
                <w:rFonts w:hint="eastAsia" w:cs="Times New Roman"/>
                <w:color w:val="000000" w:themeColor="text1"/>
                <w:sz w:val="24"/>
                <w:szCs w:val="24"/>
                <w:highlight w:val="none"/>
                <w:lang w:eastAsia="zh-CN"/>
                <w14:textFill>
                  <w14:solidFill>
                    <w14:schemeClr w14:val="tx1"/>
                  </w14:solidFill>
                </w14:textFill>
              </w:rPr>
              <w:t>布袋除尘器（覆膜袋式）</w:t>
            </w:r>
            <w:r>
              <w:rPr>
                <w:rFonts w:hint="default" w:ascii="Times New Roman" w:hAnsi="Times New Roman" w:eastAsia="宋体" w:cs="Times New Roman"/>
                <w:color w:val="000000" w:themeColor="text1"/>
                <w:sz w:val="24"/>
                <w:szCs w:val="24"/>
                <w:highlight w:val="none"/>
                <w14:textFill>
                  <w14:solidFill>
                    <w14:schemeClr w14:val="tx1"/>
                  </w14:solidFill>
                </w14:textFill>
              </w:rPr>
              <w:t>收集的粉尘</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粉尘</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收集</w:t>
            </w:r>
            <w:r>
              <w:rPr>
                <w:rFonts w:hint="default" w:ascii="Times New Roman" w:hAnsi="Times New Roman" w:eastAsia="宋体" w:cs="Times New Roman"/>
                <w:color w:val="000000" w:themeColor="text1"/>
                <w:sz w:val="24"/>
                <w:szCs w:val="24"/>
                <w:highlight w:val="none"/>
                <w14:textFill>
                  <w14:solidFill>
                    <w14:schemeClr w14:val="tx1"/>
                  </w14:solidFill>
                </w14:textFill>
              </w:rPr>
              <w:t>量为</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455.84</w:t>
            </w:r>
            <w:r>
              <w:rPr>
                <w:rFonts w:hint="default" w:ascii="Times New Roman" w:hAnsi="Times New Roman" w:eastAsia="宋体" w:cs="Times New Roman"/>
                <w:color w:val="000000" w:themeColor="text1"/>
                <w:sz w:val="24"/>
                <w:szCs w:val="24"/>
                <w:highlight w:val="none"/>
                <w14:textFill>
                  <w14:solidFill>
                    <w14:schemeClr w14:val="tx1"/>
                  </w14:solidFill>
                </w14:textFill>
              </w:rPr>
              <w:t>t/a，这些粉尘作为原材料回用于生产</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、不外排</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布袋除尘器废布袋产生量为0.5t/a，</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根据《固体废物分类与代码名录》，氮气等制备过程中产生的废滤料属于SW59其他工业固体废物中的废吸附剂</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900-009-S59</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，属于一般固体废物，</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定期外送由其生产厂家回收，综合利用。</w:t>
            </w:r>
          </w:p>
          <w:p w14:paraId="27870829">
            <w:pPr>
              <w:snapToGrid w:val="0"/>
              <w:spacing w:line="360" w:lineRule="auto"/>
              <w:ind w:firstLine="480" w:firstLineChars="20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（2）生活垃圾</w:t>
            </w:r>
          </w:p>
          <w:p w14:paraId="701033F3">
            <w:pPr>
              <w:snapToGrid w:val="0"/>
              <w:spacing w:line="360" w:lineRule="auto"/>
              <w:ind w:firstLine="480" w:firstLineChars="20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本项目定员3</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z w:val="24"/>
                <w:szCs w:val="24"/>
                <w:highlight w:val="none"/>
                <w14:textFill>
                  <w14:solidFill>
                    <w14:schemeClr w14:val="tx1"/>
                  </w14:solidFill>
                </w14:textFill>
              </w:rPr>
              <w:t>人，日产生活垃圾量按0.5kg/人，则本项目生活垃圾量为</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5.25</w:t>
            </w:r>
            <w:r>
              <w:rPr>
                <w:rFonts w:hint="default" w:ascii="Times New Roman" w:hAnsi="Times New Roman" w:eastAsia="宋体" w:cs="Times New Roman"/>
                <w:color w:val="000000" w:themeColor="text1"/>
                <w:sz w:val="24"/>
                <w:szCs w:val="24"/>
                <w:highlight w:val="none"/>
                <w14:textFill>
                  <w14:solidFill>
                    <w14:schemeClr w14:val="tx1"/>
                  </w14:solidFill>
                </w14:textFill>
              </w:rPr>
              <w:t>t/a，厂区集中收集后由环卫部门处理。</w:t>
            </w:r>
          </w:p>
          <w:p w14:paraId="7FFA12A0">
            <w:pPr>
              <w:snapToGrid w:val="0"/>
              <w:spacing w:line="360" w:lineRule="auto"/>
              <w:ind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（3）不合格品</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（黄料）</w:t>
            </w:r>
          </w:p>
          <w:p w14:paraId="76DA745F">
            <w:pPr>
              <w:snapToGrid w:val="0"/>
              <w:spacing w:line="360" w:lineRule="auto"/>
              <w:ind w:firstLine="480" w:firstLineChars="20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本项目在生产过程中会产生达不到质量标准的废成品</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黄料）</w:t>
            </w:r>
            <w:r>
              <w:rPr>
                <w:rFonts w:hint="default" w:ascii="Times New Roman" w:hAnsi="Times New Roman" w:eastAsia="宋体" w:cs="Times New Roman"/>
                <w:color w:val="000000" w:themeColor="text1"/>
                <w:sz w:val="24"/>
                <w:szCs w:val="24"/>
                <w:highlight w:val="none"/>
                <w14:textFill>
                  <w14:solidFill>
                    <w14:schemeClr w14:val="tx1"/>
                  </w14:solidFill>
                </w14:textFill>
              </w:rPr>
              <w:t>，产生量</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10526t/a</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暂存于2个黄料仓，外售作为建材综合利用，</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不外排</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p>
          <w:p w14:paraId="2DC15E5C">
            <w:pPr>
              <w:pStyle w:val="9"/>
              <w:spacing w:after="0" w:line="360" w:lineRule="auto"/>
              <w:ind w:left="0" w:leftChars="0"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4</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脱硫石膏</w:t>
            </w:r>
          </w:p>
          <w:p w14:paraId="6F08FA38">
            <w:pPr>
              <w:snapToGrid w:val="0"/>
              <w:spacing w:line="360" w:lineRule="auto"/>
              <w:ind w:firstLine="480" w:firstLineChars="20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根据物料衡算，本项目脱硫石膏产生量为</w:t>
            </w:r>
            <w:r>
              <w:rPr>
                <w:rFonts w:hint="eastAsia" w:cs="Times New Roman"/>
                <w:color w:val="000000" w:themeColor="text1"/>
                <w:sz w:val="24"/>
                <w:szCs w:val="24"/>
                <w:highlight w:val="none"/>
                <w:lang w:val="en-US" w:eastAsia="zh-CN"/>
                <w14:textFill>
                  <w14:solidFill>
                    <w14:schemeClr w14:val="tx1"/>
                  </w14:solidFill>
                </w14:textFill>
              </w:rPr>
              <w:t>1243</w:t>
            </w:r>
            <w:r>
              <w:rPr>
                <w:rFonts w:hint="default" w:ascii="Times New Roman" w:hAnsi="Times New Roman" w:eastAsia="宋体" w:cs="Times New Roman"/>
                <w:color w:val="000000" w:themeColor="text1"/>
                <w:sz w:val="24"/>
                <w:szCs w:val="24"/>
                <w:highlight w:val="none"/>
                <w14:textFill>
                  <w14:solidFill>
                    <w14:schemeClr w14:val="tx1"/>
                  </w14:solidFill>
                </w14:textFill>
              </w:rPr>
              <w:t>t/a</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cs="Times New Roman"/>
                <w:snapToGrid w:val="0"/>
                <w:color w:val="000000" w:themeColor="text1"/>
                <w:kern w:val="0"/>
                <w:sz w:val="24"/>
                <w:szCs w:val="24"/>
                <w:highlight w:val="none"/>
                <w:lang w:val="en-US" w:eastAsia="zh-CN"/>
                <w14:textFill>
                  <w14:solidFill>
                    <w14:schemeClr w14:val="tx1"/>
                  </w14:solidFill>
                </w14:textFill>
              </w:rPr>
              <w:t>根据《一般固体废物分类与代码》（GB/T39198-2020）中表1（续）</w:t>
            </w:r>
            <w:r>
              <w:rPr>
                <w:rFonts w:hint="eastAsia" w:cs="Times New Roman"/>
                <w:snapToGrid w:val="0"/>
                <w:color w:val="000000" w:themeColor="text1"/>
                <w:kern w:val="0"/>
                <w:sz w:val="24"/>
                <w:szCs w:val="24"/>
                <w:highlight w:val="none"/>
                <w:lang w:val="en-US" w:eastAsia="zh-CN"/>
                <w14:textFill>
                  <w14:solidFill>
                    <w14:schemeClr w14:val="tx1"/>
                  </w14:solidFill>
                </w14:textFill>
              </w:rPr>
              <w:t>－</w:t>
            </w:r>
            <w:r>
              <w:rPr>
                <w:rFonts w:hint="default" w:ascii="Times New Roman" w:hAnsi="Times New Roman" w:cs="Times New Roman"/>
                <w:snapToGrid w:val="0"/>
                <w:color w:val="000000" w:themeColor="text1"/>
                <w:kern w:val="0"/>
                <w:sz w:val="24"/>
                <w:szCs w:val="24"/>
                <w:highlight w:val="none"/>
                <w:lang w:val="en-US" w:eastAsia="zh-CN"/>
                <w14:textFill>
                  <w14:solidFill>
                    <w14:schemeClr w14:val="tx1"/>
                  </w14:solidFill>
                </w14:textFill>
              </w:rPr>
              <w:t>非特定行业生产过程中产生的一般固体废物，类别代码65脱硫石膏代码：900-999-65（非特定行业生产过程中产生的脱硫石膏）属于一般固废</w:t>
            </w:r>
            <w:r>
              <w:rPr>
                <w:rFonts w:hint="default" w:ascii="Times New Roman" w:hAnsi="Times New Roman" w:eastAsia="宋体" w:cs="Times New Roman"/>
                <w:color w:val="000000" w:themeColor="text1"/>
                <w:sz w:val="24"/>
                <w:szCs w:val="24"/>
                <w:highlight w:val="none"/>
                <w14:textFill>
                  <w14:solidFill>
                    <w14:schemeClr w14:val="tx1"/>
                  </w14:solidFill>
                </w14:textFill>
              </w:rPr>
              <w:t>，在厂区一般固体废物暂存库贮存，定期外售</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水泥建材的等</w:t>
            </w:r>
            <w:r>
              <w:rPr>
                <w:rFonts w:hint="default" w:ascii="Times New Roman" w:hAnsi="Times New Roman" w:eastAsia="宋体" w:cs="Times New Roman"/>
                <w:color w:val="000000" w:themeColor="text1"/>
                <w:sz w:val="24"/>
                <w:szCs w:val="24"/>
                <w:highlight w:val="none"/>
                <w14:textFill>
                  <w14:solidFill>
                    <w14:schemeClr w14:val="tx1"/>
                  </w14:solidFill>
                </w14:textFill>
              </w:rPr>
              <w:t>产线项目作为生产原料使用，措施可行。</w:t>
            </w:r>
          </w:p>
          <w:p w14:paraId="41FE0AC1">
            <w:pPr>
              <w:pStyle w:val="9"/>
              <w:spacing w:after="0" w:line="360" w:lineRule="auto"/>
              <w:ind w:left="0" w:leftChars="0" w:firstLine="480" w:firstLineChars="200"/>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脱硫废水处理产生</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污泥</w:t>
            </w:r>
          </w:p>
          <w:p w14:paraId="66591398">
            <w:pPr>
              <w:snapToGrid w:val="0"/>
              <w:spacing w:line="360" w:lineRule="auto"/>
              <w:ind w:firstLine="480" w:firstLineChars="200"/>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脱硫废水处理后产生的</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污泥</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污泥产生量</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约</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为</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6</w:t>
            </w:r>
            <w:r>
              <w:rPr>
                <w:rFonts w:hint="default" w:ascii="Times New Roman" w:hAnsi="Times New Roman" w:eastAsia="宋体" w:cs="Times New Roman"/>
                <w:color w:val="000000" w:themeColor="text1"/>
                <w:sz w:val="24"/>
                <w:szCs w:val="24"/>
                <w:highlight w:val="none"/>
                <w14:textFill>
                  <w14:solidFill>
                    <w14:schemeClr w14:val="tx1"/>
                  </w14:solidFill>
                </w14:textFill>
              </w:rPr>
              <w:t>t/a</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，脱硫废水污泥属烟气脱硫</w:t>
            </w:r>
            <w:r>
              <w:rPr>
                <w:rFonts w:hint="eastAsia" w:cs="Times New Roman"/>
                <w:color w:val="000000" w:themeColor="text1"/>
                <w:sz w:val="24"/>
                <w:szCs w:val="24"/>
                <w:highlight w:val="none"/>
                <w:lang w:eastAsia="zh-CN"/>
                <w14:textFill>
                  <w14:solidFill>
                    <w14:schemeClr w14:val="tx1"/>
                  </w14:solidFill>
                </w14:textFill>
              </w:rPr>
              <w:t>产物</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，应归入HW49其他废物，依据《国家危险废物名录（2025年版）》为危险固废，危险废物代码修改为900-000-49，因含有</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微量</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汞（Hg）、镉（Cd）、铬（Cr）、镍（Ni）等重金属，</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暂存危废库，按危废管理，</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鉴定后属于危废后，</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定期送有资质的</w:t>
            </w:r>
            <w:r>
              <w:rPr>
                <w:rFonts w:hint="eastAsia" w:cs="Times New Roman"/>
                <w:color w:val="000000" w:themeColor="text1"/>
                <w:sz w:val="24"/>
                <w:szCs w:val="24"/>
                <w:highlight w:val="none"/>
                <w:lang w:val="en-US" w:eastAsia="zh-CN"/>
                <w14:textFill>
                  <w14:solidFill>
                    <w14:schemeClr w14:val="tx1"/>
                  </w14:solidFill>
                </w14:textFill>
              </w:rPr>
              <w:t>单位</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处置，</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不外排。</w:t>
            </w:r>
          </w:p>
          <w:p w14:paraId="5C6178BA">
            <w:pPr>
              <w:snapToGrid w:val="0"/>
              <w:spacing w:line="360" w:lineRule="auto"/>
              <w:ind w:firstLine="480" w:firstLineChars="200"/>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6）软水制备废滤料</w:t>
            </w:r>
          </w:p>
          <w:p w14:paraId="3DB9A8D2">
            <w:pPr>
              <w:keepNext w:val="0"/>
              <w:keepLines w:val="0"/>
              <w:pageBreakBefore w:val="0"/>
              <w:widowControl w:val="0"/>
              <w:kinsoku/>
              <w:wordWrap/>
              <w:overflowPunct/>
              <w:topLinePunct w:val="0"/>
              <w:bidi w:val="0"/>
              <w:snapToGrid w:val="0"/>
              <w:spacing w:line="360" w:lineRule="auto"/>
              <w:ind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根据《固体废物分类与代码名录》，软水制备过程中产生的废滤料属于SW59其他工业固体废物中的废吸附剂，原水为市政供水管网的自来水，不属于工业废水，本项目废滤料为一般固废，产生量为2.4t/a，一般固废库暂存，定期外售综合利用。</w:t>
            </w:r>
          </w:p>
          <w:p w14:paraId="6E24776F">
            <w:pPr>
              <w:keepNext w:val="0"/>
              <w:keepLines w:val="0"/>
              <w:pageBreakBefore w:val="0"/>
              <w:widowControl w:val="0"/>
              <w:kinsoku/>
              <w:wordWrap/>
              <w:overflowPunct/>
              <w:topLinePunct w:val="0"/>
              <w:bidi w:val="0"/>
              <w:snapToGrid w:val="0"/>
              <w:spacing w:line="360" w:lineRule="auto"/>
              <w:ind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（7）空压站空气过滤器</w:t>
            </w:r>
          </w:p>
          <w:p w14:paraId="37901B32">
            <w:pPr>
              <w:keepNext w:val="0"/>
              <w:keepLines w:val="0"/>
              <w:pageBreakBefore w:val="0"/>
              <w:widowControl w:val="0"/>
              <w:kinsoku/>
              <w:wordWrap/>
              <w:overflowPunct/>
              <w:topLinePunct w:val="0"/>
              <w:bidi w:val="0"/>
              <w:snapToGrid w:val="0"/>
              <w:spacing w:line="360" w:lineRule="auto"/>
              <w:ind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空压站空气过滤器需要定期更换，更换产生废过滤器，根据建设单位提供的设备资料，废过滤器产生量为2.5t/a，根据《固体废物分类与代码名录》，氮气等制备过程中产生的废滤料属于SW59其他工业固体废物中的废吸附剂</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900-008-S59</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，属于一般固体废物，一般固废库暂存，定期外售综合利用。</w:t>
            </w:r>
          </w:p>
          <w:p w14:paraId="029C94B5">
            <w:pPr>
              <w:keepNext w:val="0"/>
              <w:keepLines w:val="0"/>
              <w:pageBreakBefore w:val="0"/>
              <w:widowControl w:val="0"/>
              <w:kinsoku/>
              <w:wordWrap/>
              <w:overflowPunct/>
              <w:topLinePunct w:val="0"/>
              <w:bidi w:val="0"/>
              <w:snapToGrid w:val="0"/>
              <w:spacing w:line="360" w:lineRule="auto"/>
              <w:ind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（8）废润滑油</w:t>
            </w:r>
          </w:p>
          <w:p w14:paraId="1E369C6C">
            <w:pPr>
              <w:keepNext w:val="0"/>
              <w:keepLines w:val="0"/>
              <w:pageBreakBefore w:val="0"/>
              <w:widowControl w:val="0"/>
              <w:kinsoku/>
              <w:wordWrap/>
              <w:overflowPunct/>
              <w:topLinePunct w:val="0"/>
              <w:bidi w:val="0"/>
              <w:snapToGrid w:val="0"/>
              <w:spacing w:line="360" w:lineRule="auto"/>
              <w:ind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项目运行期间设备检修等活动会产生废润滑油，产生量约1t/a，对照《国家危险废物名录》（2025年版），废矿物油属于“HW08废矿物油与含矿物油废物”中“900-214-08车辆、轮船及其它机械维修过程中产生的废发动机油、制动器油、自动变速器油、齿轮油等废润滑油”类危险废物，暂存于厂区危废暂存间，委托有资质单位处理。</w:t>
            </w:r>
          </w:p>
          <w:p w14:paraId="19541235">
            <w:pPr>
              <w:keepNext w:val="0"/>
              <w:keepLines w:val="0"/>
              <w:pageBreakBefore w:val="0"/>
              <w:widowControl w:val="0"/>
              <w:kinsoku/>
              <w:wordWrap/>
              <w:overflowPunct/>
              <w:topLinePunct w:val="0"/>
              <w:bidi w:val="0"/>
              <w:snapToGrid w:val="0"/>
              <w:spacing w:line="360" w:lineRule="auto"/>
              <w:ind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（9）废油桶</w:t>
            </w:r>
          </w:p>
          <w:p w14:paraId="5AFFFC3C">
            <w:pPr>
              <w:keepNext w:val="0"/>
              <w:keepLines w:val="0"/>
              <w:pageBreakBefore w:val="0"/>
              <w:widowControl w:val="0"/>
              <w:kinsoku/>
              <w:wordWrap/>
              <w:overflowPunct/>
              <w:topLinePunct w:val="0"/>
              <w:bidi w:val="0"/>
              <w:snapToGrid w:val="0"/>
              <w:spacing w:line="360" w:lineRule="auto"/>
              <w:ind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本项目生产设备维护产生少量废润滑油。盛装润滑油的油桶属于危险废物，本项目使用50kg/桶的润滑油，润滑油使用量为1.0t/a，年产生的废油桶为20个，每个油桶约5kg，经查《国家危险废物名录（2025版）》，属于“HW</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49</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废矿物油与含矿物油废物”中“900-</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041-49</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其他生产、销售、使用过程中产生的废矿物油及沾染矿物油的废弃包装物”类危险废物，废桶收集后暂存于厂内危废贮存库，交由有危险废物处理资质的单位处理。</w:t>
            </w:r>
          </w:p>
          <w:p w14:paraId="1F172E08">
            <w:pPr>
              <w:pStyle w:val="54"/>
              <w:keepNext w:val="0"/>
              <w:keepLines w:val="0"/>
              <w:pageBreakBefore w:val="0"/>
              <w:widowControl w:val="0"/>
              <w:kinsoku/>
              <w:wordWrap/>
              <w:overflowPunct/>
              <w:topLinePunct w:val="0"/>
              <w:bidi w:val="0"/>
              <w:snapToGrid w:val="0"/>
              <w:spacing w:line="360" w:lineRule="auto"/>
              <w:ind w:firstLine="480" w:firstLineChars="20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固体废物产生及处置情况一览表：</w:t>
            </w:r>
          </w:p>
          <w:p w14:paraId="172F6F39">
            <w:pPr>
              <w:pStyle w:val="8"/>
              <w:tabs>
                <w:tab w:val="left" w:pos="1180"/>
                <w:tab w:val="center" w:pos="4535"/>
              </w:tabs>
              <w:ind w:firstLineChars="200"/>
              <w:jc w:val="center"/>
              <w:rPr>
                <w:rFonts w:hint="default" w:ascii="Times New Roman" w:hAnsi="Times New Roman" w:cs="Times New Roman"/>
                <w:b/>
                <w:color w:val="000000" w:themeColor="text1"/>
                <w:highlight w:val="none"/>
                <w14:textFill>
                  <w14:solidFill>
                    <w14:schemeClr w14:val="tx1"/>
                  </w14:solidFill>
                </w14:textFill>
              </w:rPr>
            </w:pPr>
            <w:r>
              <w:rPr>
                <w:rFonts w:hint="default" w:ascii="Times New Roman" w:hAnsi="Times New Roman" w:eastAsia="宋体" w:cs="Times New Roman"/>
                <w:b/>
                <w:color w:val="000000" w:themeColor="text1"/>
                <w:highlight w:val="none"/>
                <w14:textFill>
                  <w14:solidFill>
                    <w14:schemeClr w14:val="tx1"/>
                  </w14:solidFill>
                </w14:textFill>
              </w:rPr>
              <w:t>表</w:t>
            </w:r>
            <w:r>
              <w:rPr>
                <w:rFonts w:hint="default" w:ascii="Times New Roman" w:hAnsi="Times New Roman" w:eastAsia="宋体" w:cs="Times New Roman"/>
                <w:b/>
                <w:color w:val="000000" w:themeColor="text1"/>
                <w:highlight w:val="none"/>
                <w:lang w:val="en-US" w:eastAsia="zh-CN"/>
                <w14:textFill>
                  <w14:solidFill>
                    <w14:schemeClr w14:val="tx1"/>
                  </w14:solidFill>
                </w14:textFill>
              </w:rPr>
              <w:t>4-1</w:t>
            </w:r>
            <w:r>
              <w:rPr>
                <w:rFonts w:hint="eastAsia" w:cs="Times New Roman"/>
                <w:b/>
                <w:color w:val="000000" w:themeColor="text1"/>
                <w:highlight w:val="none"/>
                <w:lang w:val="en-US" w:eastAsia="zh-CN"/>
                <w14:textFill>
                  <w14:solidFill>
                    <w14:schemeClr w14:val="tx1"/>
                  </w14:solidFill>
                </w14:textFill>
              </w:rPr>
              <w:t>9</w:t>
            </w:r>
            <w:r>
              <w:rPr>
                <w:rFonts w:hint="default" w:ascii="Times New Roman" w:hAnsi="Times New Roman" w:cs="Times New Roman"/>
                <w:b/>
                <w:color w:val="000000" w:themeColor="text1"/>
                <w:highlight w:val="none"/>
                <w14:textFill>
                  <w14:solidFill>
                    <w14:schemeClr w14:val="tx1"/>
                  </w14:solidFill>
                </w14:textFill>
              </w:rPr>
              <w:t>固体废物排放及处置情况一览表</w:t>
            </w:r>
          </w:p>
          <w:tbl>
            <w:tblPr>
              <w:tblStyle w:val="24"/>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1116"/>
              <w:gridCol w:w="794"/>
              <w:gridCol w:w="1313"/>
              <w:gridCol w:w="482"/>
              <w:gridCol w:w="767"/>
              <w:gridCol w:w="3042"/>
            </w:tblGrid>
            <w:tr w14:paraId="5F554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95" w:type="pct"/>
                  <w:noWrap w:val="0"/>
                  <w:vAlign w:val="center"/>
                </w:tcPr>
                <w:p w14:paraId="4254EE02">
                  <w:pPr>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序号</w:t>
                  </w:r>
                </w:p>
              </w:tc>
              <w:tc>
                <w:tcPr>
                  <w:tcW w:w="808" w:type="pct"/>
                  <w:noWrap w:val="0"/>
                  <w:vAlign w:val="center"/>
                </w:tcPr>
                <w:p w14:paraId="691B13AB">
                  <w:pPr>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名称</w:t>
                  </w:r>
                </w:p>
              </w:tc>
              <w:tc>
                <w:tcPr>
                  <w:tcW w:w="490" w:type="pct"/>
                  <w:noWrap w:val="0"/>
                  <w:vAlign w:val="center"/>
                </w:tcPr>
                <w:p w14:paraId="6854986E">
                  <w:pPr>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产生量</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t/a</w:t>
                  </w:r>
                </w:p>
              </w:tc>
              <w:tc>
                <w:tcPr>
                  <w:tcW w:w="504" w:type="pct"/>
                  <w:noWrap w:val="0"/>
                  <w:vAlign w:val="center"/>
                </w:tcPr>
                <w:p w14:paraId="1251B9A1">
                  <w:pPr>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固废代码</w:t>
                  </w:r>
                </w:p>
              </w:tc>
              <w:tc>
                <w:tcPr>
                  <w:tcW w:w="370" w:type="pct"/>
                  <w:noWrap w:val="0"/>
                  <w:vAlign w:val="center"/>
                </w:tcPr>
                <w:p w14:paraId="2CF97471">
                  <w:pPr>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类别</w:t>
                  </w:r>
                </w:p>
              </w:tc>
              <w:tc>
                <w:tcPr>
                  <w:tcW w:w="549" w:type="pct"/>
                  <w:noWrap w:val="0"/>
                  <w:vAlign w:val="center"/>
                </w:tcPr>
                <w:p w14:paraId="30FB1863">
                  <w:pPr>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储存</w:t>
                  </w:r>
                </w:p>
                <w:p w14:paraId="59E80456">
                  <w:pPr>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地点</w:t>
                  </w:r>
                </w:p>
              </w:tc>
              <w:tc>
                <w:tcPr>
                  <w:tcW w:w="1980" w:type="pct"/>
                  <w:noWrap w:val="0"/>
                  <w:vAlign w:val="center"/>
                </w:tcPr>
                <w:p w14:paraId="7E0DCABC">
                  <w:pPr>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处置方式</w:t>
                  </w:r>
                </w:p>
              </w:tc>
            </w:tr>
            <w:tr w14:paraId="3B247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295" w:type="pct"/>
                  <w:noWrap w:val="0"/>
                  <w:vAlign w:val="center"/>
                </w:tcPr>
                <w:p w14:paraId="62B5F0BD">
                  <w:pPr>
                    <w:numPr>
                      <w:ilvl w:val="0"/>
                      <w:numId w:val="6"/>
                    </w:numPr>
                    <w:ind w:left="425" w:leftChars="0" w:hanging="425" w:firstLineChars="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808" w:type="pct"/>
                  <w:noWrap w:val="0"/>
                  <w:vAlign w:val="center"/>
                </w:tcPr>
                <w:p w14:paraId="3A7E7E70">
                  <w:pPr>
                    <w:widowControl/>
                    <w:jc w:val="center"/>
                    <w:rPr>
                      <w:rFonts w:hint="default" w:ascii="Times New Roman" w:hAnsi="Times New Roman" w:eastAsia="宋体" w:cs="Times New Roman"/>
                      <w:b w:val="0"/>
                      <w:bCs w:val="0"/>
                      <w:color w:val="000000" w:themeColor="text1"/>
                      <w:kern w:val="0"/>
                      <w:sz w:val="21"/>
                      <w:szCs w:val="21"/>
                      <w:highlight w:val="none"/>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生活垃圾</w:t>
                  </w:r>
                </w:p>
              </w:tc>
              <w:tc>
                <w:tcPr>
                  <w:tcW w:w="490" w:type="pct"/>
                  <w:noWrap w:val="0"/>
                  <w:vAlign w:val="center"/>
                </w:tcPr>
                <w:p w14:paraId="3848FDFB">
                  <w:pPr>
                    <w:widowControl/>
                    <w:jc w:val="center"/>
                    <w:rPr>
                      <w:rFonts w:hint="default" w:ascii="Times New Roman" w:hAnsi="Times New Roman" w:eastAsia="宋体" w:cs="Times New Roman"/>
                      <w:b w:val="0"/>
                      <w:bCs w:val="0"/>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lang w:val="en-US" w:eastAsia="zh-CN"/>
                      <w14:textFill>
                        <w14:solidFill>
                          <w14:schemeClr w14:val="tx1"/>
                        </w14:solidFill>
                      </w14:textFill>
                    </w:rPr>
                    <w:t>5.25</w:t>
                  </w:r>
                </w:p>
              </w:tc>
              <w:tc>
                <w:tcPr>
                  <w:tcW w:w="504" w:type="pct"/>
                  <w:noWrap w:val="0"/>
                  <w:vAlign w:val="center"/>
                </w:tcPr>
                <w:p w14:paraId="530A06A1">
                  <w:pPr>
                    <w:widowControl/>
                    <w:jc w:val="center"/>
                    <w:rPr>
                      <w:rFonts w:hint="default" w:ascii="Times New Roman" w:hAnsi="Times New Roman" w:eastAsia="宋体" w:cs="Times New Roman"/>
                      <w:b w:val="0"/>
                      <w:bCs w:val="0"/>
                      <w:color w:val="000000" w:themeColor="text1"/>
                      <w:kern w:val="0"/>
                      <w:sz w:val="21"/>
                      <w:szCs w:val="21"/>
                      <w:highlight w:val="none"/>
                      <w:lang w:val="en-US" w:eastAsia="zh-CN"/>
                      <w14:textFill>
                        <w14:solidFill>
                          <w14:schemeClr w14:val="tx1"/>
                        </w14:solidFill>
                      </w14:textFill>
                    </w:rPr>
                  </w:pPr>
                  <w:r>
                    <w:rPr>
                      <w:rFonts w:hint="eastAsia" w:cs="Times New Roman"/>
                      <w:b w:val="0"/>
                      <w:bCs w:val="0"/>
                      <w:color w:val="000000" w:themeColor="text1"/>
                      <w:kern w:val="0"/>
                      <w:sz w:val="21"/>
                      <w:szCs w:val="21"/>
                      <w:highlight w:val="none"/>
                      <w:lang w:val="en-US" w:eastAsia="zh-CN"/>
                      <w14:textFill>
                        <w14:solidFill>
                          <w14:schemeClr w14:val="tx1"/>
                        </w14:solidFill>
                      </w14:textFill>
                    </w:rPr>
                    <w:t>/</w:t>
                  </w:r>
                </w:p>
              </w:tc>
              <w:tc>
                <w:tcPr>
                  <w:tcW w:w="370" w:type="pct"/>
                  <w:vMerge w:val="restart"/>
                  <w:noWrap w:val="0"/>
                  <w:vAlign w:val="center"/>
                </w:tcPr>
                <w:p w14:paraId="64777037">
                  <w:pPr>
                    <w:widowControl/>
                    <w:jc w:val="center"/>
                    <w:rPr>
                      <w:rFonts w:hint="default" w:ascii="Times New Roman" w:hAnsi="Times New Roman" w:eastAsia="宋体" w:cs="Times New Roman"/>
                      <w:b w:val="0"/>
                      <w:bCs w:val="0"/>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14:textFill>
                        <w14:solidFill>
                          <w14:schemeClr w14:val="tx1"/>
                        </w14:solidFill>
                      </w14:textFill>
                    </w:rPr>
                    <w:t>一般工业固体废物</w:t>
                  </w:r>
                </w:p>
              </w:tc>
              <w:tc>
                <w:tcPr>
                  <w:tcW w:w="549" w:type="pct"/>
                  <w:noWrap w:val="0"/>
                  <w:vAlign w:val="center"/>
                </w:tcPr>
                <w:p w14:paraId="17042850">
                  <w:pPr>
                    <w:widowControl/>
                    <w:jc w:val="center"/>
                    <w:rPr>
                      <w:rFonts w:hint="default" w:ascii="Times New Roman" w:hAnsi="Times New Roman" w:eastAsia="宋体" w:cs="Times New Roman"/>
                      <w:b w:val="0"/>
                      <w:bCs w:val="0"/>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14:textFill>
                        <w14:solidFill>
                          <w14:schemeClr w14:val="tx1"/>
                        </w14:solidFill>
                      </w14:textFill>
                    </w:rPr>
                    <w:t>不储存</w:t>
                  </w:r>
                </w:p>
              </w:tc>
              <w:tc>
                <w:tcPr>
                  <w:tcW w:w="1980" w:type="pct"/>
                  <w:noWrap w:val="0"/>
                  <w:vAlign w:val="center"/>
                </w:tcPr>
                <w:p w14:paraId="2F238434">
                  <w:pPr>
                    <w:widowControl/>
                    <w:jc w:val="center"/>
                    <w:rPr>
                      <w:rFonts w:hint="default" w:ascii="Times New Roman" w:hAnsi="Times New Roman" w:eastAsia="宋体" w:cs="Times New Roman"/>
                      <w:b w:val="0"/>
                      <w:bCs w:val="0"/>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14:textFill>
                        <w14:solidFill>
                          <w14:schemeClr w14:val="tx1"/>
                        </w14:solidFill>
                      </w14:textFill>
                    </w:rPr>
                    <w:t>厂区集中收集后</w:t>
                  </w:r>
                  <w:r>
                    <w:rPr>
                      <w:rFonts w:hint="default" w:ascii="Times New Roman" w:hAnsi="Times New Roman" w:eastAsia="宋体" w:cs="Times New Roman"/>
                      <w:b w:val="0"/>
                      <w:bCs w:val="0"/>
                      <w:color w:val="000000" w:themeColor="text1"/>
                      <w:kern w:val="0"/>
                      <w:sz w:val="21"/>
                      <w:szCs w:val="21"/>
                      <w:highlight w:val="none"/>
                      <w:lang w:val="en-US" w:eastAsia="zh-CN"/>
                      <w14:textFill>
                        <w14:solidFill>
                          <w14:schemeClr w14:val="tx1"/>
                        </w14:solidFill>
                      </w14:textFill>
                    </w:rPr>
                    <w:t>委托</w:t>
                  </w:r>
                  <w:r>
                    <w:rPr>
                      <w:rFonts w:hint="default" w:ascii="Times New Roman" w:hAnsi="Times New Roman" w:eastAsia="宋体" w:cs="Times New Roman"/>
                      <w:b w:val="0"/>
                      <w:bCs w:val="0"/>
                      <w:color w:val="000000" w:themeColor="text1"/>
                      <w:kern w:val="0"/>
                      <w:sz w:val="21"/>
                      <w:szCs w:val="21"/>
                      <w:highlight w:val="none"/>
                      <w14:textFill>
                        <w14:solidFill>
                          <w14:schemeClr w14:val="tx1"/>
                        </w14:solidFill>
                      </w14:textFill>
                    </w:rPr>
                    <w:t>环卫部门处理</w:t>
                  </w:r>
                </w:p>
              </w:tc>
            </w:tr>
            <w:tr w14:paraId="606A3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295" w:type="pct"/>
                  <w:noWrap w:val="0"/>
                  <w:vAlign w:val="center"/>
                </w:tcPr>
                <w:p w14:paraId="3FD85D21">
                  <w:pPr>
                    <w:numPr>
                      <w:ilvl w:val="0"/>
                      <w:numId w:val="6"/>
                    </w:numPr>
                    <w:ind w:left="425" w:leftChars="0" w:hanging="425" w:firstLineChars="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808" w:type="pct"/>
                  <w:noWrap w:val="0"/>
                  <w:vAlign w:val="center"/>
                </w:tcPr>
                <w:p w14:paraId="076B0EA2">
                  <w:pPr>
                    <w:widowControl/>
                    <w:jc w:val="center"/>
                    <w:rPr>
                      <w:rFonts w:hint="default" w:ascii="Times New Roman" w:hAnsi="Times New Roman" w:eastAsia="宋体" w:cs="Times New Roman"/>
                      <w:b w:val="0"/>
                      <w:bCs w:val="0"/>
                      <w:color w:val="000000" w:themeColor="text1"/>
                      <w:kern w:val="0"/>
                      <w:sz w:val="21"/>
                      <w:szCs w:val="21"/>
                      <w:highlight w:val="none"/>
                      <w:lang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lang w:eastAsia="zh-CN"/>
                      <w14:textFill>
                        <w14:solidFill>
                          <w14:schemeClr w14:val="tx1"/>
                        </w14:solidFill>
                      </w14:textFill>
                    </w:rPr>
                    <w:t>除尘器</w:t>
                  </w:r>
                </w:p>
                <w:p w14:paraId="1C3942D2">
                  <w:pPr>
                    <w:widowControl/>
                    <w:jc w:val="center"/>
                    <w:rPr>
                      <w:rFonts w:hint="default" w:ascii="Times New Roman" w:hAnsi="Times New Roman" w:eastAsia="宋体" w:cs="Times New Roman"/>
                      <w:b w:val="0"/>
                      <w:bCs w:val="0"/>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lang w:eastAsia="zh-CN"/>
                      <w14:textFill>
                        <w14:solidFill>
                          <w14:schemeClr w14:val="tx1"/>
                        </w14:solidFill>
                      </w14:textFill>
                    </w:rPr>
                    <w:t>回收尘</w:t>
                  </w:r>
                </w:p>
              </w:tc>
              <w:tc>
                <w:tcPr>
                  <w:tcW w:w="490" w:type="pct"/>
                  <w:noWrap w:val="0"/>
                  <w:vAlign w:val="center"/>
                </w:tcPr>
                <w:p w14:paraId="701CDE02">
                  <w:pPr>
                    <w:widowControl/>
                    <w:jc w:val="center"/>
                    <w:rPr>
                      <w:rFonts w:hint="default" w:ascii="Times New Roman" w:hAnsi="Times New Roman" w:eastAsia="宋体" w:cs="Times New Roman"/>
                      <w:b w:val="0"/>
                      <w:bCs w:val="0"/>
                      <w:color w:val="000000" w:themeColor="text1"/>
                      <w:kern w:val="0"/>
                      <w:sz w:val="21"/>
                      <w:szCs w:val="21"/>
                      <w:highlight w:val="none"/>
                      <w:lang w:val="en-US" w:eastAsia="zh-CN"/>
                      <w14:textFill>
                        <w14:solidFill>
                          <w14:schemeClr w14:val="tx1"/>
                        </w14:solidFill>
                      </w14:textFill>
                    </w:rPr>
                  </w:pPr>
                  <w:r>
                    <w:rPr>
                      <w:rFonts w:hint="eastAsia" w:ascii="Times New Roman" w:hAnsi="Times New Roman" w:cs="Times New Roman"/>
                      <w:b w:val="0"/>
                      <w:bCs w:val="0"/>
                      <w:color w:val="000000" w:themeColor="text1"/>
                      <w:kern w:val="0"/>
                      <w:sz w:val="21"/>
                      <w:szCs w:val="21"/>
                      <w:highlight w:val="none"/>
                      <w:lang w:val="en-US" w:eastAsia="zh-CN"/>
                      <w14:textFill>
                        <w14:solidFill>
                          <w14:schemeClr w14:val="tx1"/>
                        </w14:solidFill>
                      </w14:textFill>
                    </w:rPr>
                    <w:t>455.84</w:t>
                  </w:r>
                </w:p>
              </w:tc>
              <w:tc>
                <w:tcPr>
                  <w:tcW w:w="504" w:type="pct"/>
                  <w:noWrap w:val="0"/>
                  <w:vAlign w:val="center"/>
                </w:tcPr>
                <w:p w14:paraId="06C52400">
                  <w:pPr>
                    <w:widowControl/>
                    <w:jc w:val="cente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SW59</w:t>
                  </w:r>
                </w:p>
                <w:p w14:paraId="3C3FAC13">
                  <w:pPr>
                    <w:widowControl/>
                    <w:jc w:val="center"/>
                    <w:rPr>
                      <w:rFonts w:hint="default" w:ascii="Times New Roman" w:hAnsi="Times New Roman" w:cs="Times New Roman"/>
                      <w:b w:val="0"/>
                      <w:bCs w:val="0"/>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900-099-S59</w:t>
                  </w:r>
                </w:p>
              </w:tc>
              <w:tc>
                <w:tcPr>
                  <w:tcW w:w="370" w:type="pct"/>
                  <w:vMerge w:val="continue"/>
                  <w:noWrap w:val="0"/>
                  <w:vAlign w:val="center"/>
                </w:tcPr>
                <w:p w14:paraId="026913F6">
                  <w:pPr>
                    <w:widowControl/>
                    <w:jc w:val="center"/>
                    <w:rPr>
                      <w:rFonts w:hint="default" w:ascii="Times New Roman" w:hAnsi="Times New Roman" w:eastAsia="宋体" w:cs="Times New Roman"/>
                      <w:b w:val="0"/>
                      <w:bCs w:val="0"/>
                      <w:color w:val="000000" w:themeColor="text1"/>
                      <w:kern w:val="0"/>
                      <w:sz w:val="21"/>
                      <w:szCs w:val="21"/>
                      <w:highlight w:val="none"/>
                      <w14:textFill>
                        <w14:solidFill>
                          <w14:schemeClr w14:val="tx1"/>
                        </w14:solidFill>
                      </w14:textFill>
                    </w:rPr>
                  </w:pPr>
                </w:p>
              </w:tc>
              <w:tc>
                <w:tcPr>
                  <w:tcW w:w="549" w:type="pct"/>
                  <w:noWrap w:val="0"/>
                  <w:vAlign w:val="center"/>
                </w:tcPr>
                <w:p w14:paraId="3555211B">
                  <w:pPr>
                    <w:widowControl/>
                    <w:jc w:val="center"/>
                    <w:rPr>
                      <w:rFonts w:hint="default" w:ascii="Times New Roman" w:hAnsi="Times New Roman" w:eastAsia="宋体" w:cs="Times New Roman"/>
                      <w:b w:val="0"/>
                      <w:bCs w:val="0"/>
                      <w:color w:val="000000" w:themeColor="text1"/>
                      <w:kern w:val="0"/>
                      <w:sz w:val="21"/>
                      <w:szCs w:val="21"/>
                      <w:highlight w:val="none"/>
                      <w:lang w:val="en-US" w:eastAsia="zh-CN"/>
                      <w14:textFill>
                        <w14:solidFill>
                          <w14:schemeClr w14:val="tx1"/>
                        </w14:solidFill>
                      </w14:textFill>
                    </w:rPr>
                  </w:pPr>
                  <w:r>
                    <w:rPr>
                      <w:rFonts w:hint="eastAsia" w:cs="Times New Roman"/>
                      <w:b w:val="0"/>
                      <w:bCs w:val="0"/>
                      <w:color w:val="000000" w:themeColor="text1"/>
                      <w:kern w:val="0"/>
                      <w:sz w:val="21"/>
                      <w:szCs w:val="21"/>
                      <w:highlight w:val="none"/>
                      <w:lang w:val="en-US" w:eastAsia="zh-CN"/>
                      <w14:textFill>
                        <w14:solidFill>
                          <w14:schemeClr w14:val="tx1"/>
                        </w14:solidFill>
                      </w14:textFill>
                    </w:rPr>
                    <w:t>储灰仓</w:t>
                  </w:r>
                </w:p>
              </w:tc>
              <w:tc>
                <w:tcPr>
                  <w:tcW w:w="1980" w:type="pct"/>
                  <w:noWrap w:val="0"/>
                  <w:vAlign w:val="center"/>
                </w:tcPr>
                <w:p w14:paraId="24B944B9">
                  <w:pPr>
                    <w:widowControl/>
                    <w:jc w:val="center"/>
                    <w:rPr>
                      <w:rFonts w:hint="default" w:ascii="Times New Roman" w:hAnsi="Times New Roman" w:eastAsia="宋体" w:cs="Times New Roman"/>
                      <w:b w:val="0"/>
                      <w:bCs w:val="0"/>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外售作为建材综合利用，</w:t>
                  </w: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不外排</w:t>
                  </w:r>
                </w:p>
              </w:tc>
            </w:tr>
            <w:tr w14:paraId="034F0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295" w:type="pct"/>
                  <w:noWrap w:val="0"/>
                  <w:vAlign w:val="center"/>
                </w:tcPr>
                <w:p w14:paraId="7A6AF63F">
                  <w:pPr>
                    <w:numPr>
                      <w:ilvl w:val="0"/>
                      <w:numId w:val="6"/>
                    </w:numPr>
                    <w:ind w:left="425" w:leftChars="0" w:hanging="425" w:firstLineChars="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1163" w:type="dxa"/>
                  <w:noWrap w:val="0"/>
                  <w:vAlign w:val="center"/>
                </w:tcPr>
                <w:p w14:paraId="7FD01CF0">
                  <w:pPr>
                    <w:widowControl/>
                    <w:jc w:val="cente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highlight w:val="none"/>
                      <w:lang w:val="en-US" w:eastAsia="zh-CN"/>
                      <w14:textFill>
                        <w14:solidFill>
                          <w14:schemeClr w14:val="tx1"/>
                        </w14:solidFill>
                      </w14:textFill>
                    </w:rPr>
                    <w:t>布袋除尘器废布袋</w:t>
                  </w:r>
                </w:p>
              </w:tc>
              <w:tc>
                <w:tcPr>
                  <w:tcW w:w="794" w:type="dxa"/>
                  <w:noWrap w:val="0"/>
                  <w:vAlign w:val="center"/>
                </w:tcPr>
                <w:p w14:paraId="59A7EED4">
                  <w:pPr>
                    <w:widowControl/>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highlight w:val="none"/>
                      <w:lang w:val="en-US" w:eastAsia="zh-CN"/>
                      <w14:textFill>
                        <w14:solidFill>
                          <w14:schemeClr w14:val="tx1"/>
                        </w14:solidFill>
                      </w14:textFill>
                    </w:rPr>
                    <w:t>0.5</w:t>
                  </w:r>
                </w:p>
              </w:tc>
              <w:tc>
                <w:tcPr>
                  <w:tcW w:w="1196" w:type="dxa"/>
                  <w:noWrap w:val="0"/>
                  <w:vAlign w:val="center"/>
                </w:tcPr>
                <w:p w14:paraId="7536DE9E">
                  <w:pPr>
                    <w:widowControl/>
                    <w:jc w:val="cente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SW59</w:t>
                  </w:r>
                </w:p>
                <w:p w14:paraId="439D88F5">
                  <w:pPr>
                    <w:widowControl/>
                    <w:jc w:val="center"/>
                    <w:rPr>
                      <w:rFonts w:hint="eastAsia"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900-009-S59</w:t>
                  </w:r>
                </w:p>
              </w:tc>
              <w:tc>
                <w:tcPr>
                  <w:tcW w:w="370" w:type="pct"/>
                  <w:vMerge w:val="continue"/>
                  <w:noWrap w:val="0"/>
                  <w:vAlign w:val="center"/>
                </w:tcPr>
                <w:p w14:paraId="0EBC3263">
                  <w:pPr>
                    <w:widowControl/>
                    <w:jc w:val="center"/>
                    <w:rPr>
                      <w:rFonts w:hint="default" w:ascii="Times New Roman" w:hAnsi="Times New Roman" w:eastAsia="宋体" w:cs="Times New Roman"/>
                      <w:b w:val="0"/>
                      <w:bCs w:val="0"/>
                      <w:color w:val="000000" w:themeColor="text1"/>
                      <w:kern w:val="0"/>
                      <w:sz w:val="21"/>
                      <w:szCs w:val="21"/>
                      <w:highlight w:val="none"/>
                      <w14:textFill>
                        <w14:solidFill>
                          <w14:schemeClr w14:val="tx1"/>
                        </w14:solidFill>
                      </w14:textFill>
                    </w:rPr>
                  </w:pPr>
                </w:p>
              </w:tc>
              <w:tc>
                <w:tcPr>
                  <w:tcW w:w="790" w:type="dxa"/>
                  <w:noWrap w:val="0"/>
                  <w:vAlign w:val="center"/>
                </w:tcPr>
                <w:p w14:paraId="29F8129B">
                  <w:pPr>
                    <w:widowControl/>
                    <w:jc w:val="center"/>
                    <w:rPr>
                      <w:rFonts w:hint="default" w:ascii="Times New Roman" w:hAnsi="Times New Roman" w:eastAsia="宋体" w:cs="Times New Roman"/>
                      <w:b w:val="0"/>
                      <w:bCs w:val="0"/>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14:textFill>
                        <w14:solidFill>
                          <w14:schemeClr w14:val="tx1"/>
                        </w14:solidFill>
                      </w14:textFill>
                    </w:rPr>
                    <w:t>不储存</w:t>
                  </w:r>
                </w:p>
              </w:tc>
              <w:tc>
                <w:tcPr>
                  <w:tcW w:w="3065" w:type="dxa"/>
                  <w:noWrap w:val="0"/>
                  <w:vAlign w:val="center"/>
                </w:tcPr>
                <w:p w14:paraId="7A15D544">
                  <w:pPr>
                    <w:widowControl/>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highlight w:val="none"/>
                      <w:lang w:val="en-US" w:eastAsia="zh-CN"/>
                      <w14:textFill>
                        <w14:solidFill>
                          <w14:schemeClr w14:val="tx1"/>
                        </w14:solidFill>
                      </w14:textFill>
                    </w:rPr>
                    <w:t>送综合利用</w:t>
                  </w:r>
                </w:p>
              </w:tc>
            </w:tr>
            <w:tr w14:paraId="652EA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295" w:type="pct"/>
                  <w:noWrap w:val="0"/>
                  <w:vAlign w:val="center"/>
                </w:tcPr>
                <w:p w14:paraId="72551A2C">
                  <w:pPr>
                    <w:numPr>
                      <w:ilvl w:val="0"/>
                      <w:numId w:val="6"/>
                    </w:numPr>
                    <w:ind w:left="425" w:leftChars="0" w:hanging="425" w:firstLineChars="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808" w:type="pct"/>
                  <w:noWrap w:val="0"/>
                  <w:vAlign w:val="center"/>
                </w:tcPr>
                <w:p w14:paraId="518D77CC">
                  <w:pPr>
                    <w:widowControl/>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不合格品</w:t>
                  </w:r>
                </w:p>
                <w:p w14:paraId="0B36341E">
                  <w:pPr>
                    <w:widowControl/>
                    <w:jc w:val="cente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黄料</w:t>
                  </w: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w:t>
                  </w:r>
                </w:p>
              </w:tc>
              <w:tc>
                <w:tcPr>
                  <w:tcW w:w="490" w:type="pct"/>
                  <w:noWrap w:val="0"/>
                  <w:vAlign w:val="center"/>
                </w:tcPr>
                <w:p w14:paraId="53DE6FB9">
                  <w:pPr>
                    <w:widowControl/>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10526</w:t>
                  </w:r>
                </w:p>
              </w:tc>
              <w:tc>
                <w:tcPr>
                  <w:tcW w:w="504" w:type="pct"/>
                  <w:noWrap w:val="0"/>
                  <w:vAlign w:val="center"/>
                </w:tcPr>
                <w:p w14:paraId="4DD17D2A">
                  <w:pPr>
                    <w:widowControl/>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w:t>
                  </w:r>
                </w:p>
              </w:tc>
              <w:tc>
                <w:tcPr>
                  <w:tcW w:w="370" w:type="pct"/>
                  <w:vMerge w:val="continue"/>
                  <w:noWrap w:val="0"/>
                  <w:vAlign w:val="center"/>
                </w:tcPr>
                <w:p w14:paraId="07657536">
                  <w:pPr>
                    <w:widowControl/>
                    <w:jc w:val="center"/>
                    <w:rPr>
                      <w:rFonts w:hint="default" w:ascii="Times New Roman" w:hAnsi="Times New Roman" w:eastAsia="宋体" w:cs="Times New Roman"/>
                      <w:b w:val="0"/>
                      <w:bCs w:val="0"/>
                      <w:color w:val="000000" w:themeColor="text1"/>
                      <w:kern w:val="0"/>
                      <w:sz w:val="21"/>
                      <w:szCs w:val="21"/>
                      <w:highlight w:val="none"/>
                      <w14:textFill>
                        <w14:solidFill>
                          <w14:schemeClr w14:val="tx1"/>
                        </w14:solidFill>
                      </w14:textFill>
                    </w:rPr>
                  </w:pPr>
                </w:p>
              </w:tc>
              <w:tc>
                <w:tcPr>
                  <w:tcW w:w="549" w:type="pct"/>
                  <w:noWrap w:val="0"/>
                  <w:vAlign w:val="center"/>
                </w:tcPr>
                <w:p w14:paraId="65D73C0A">
                  <w:pPr>
                    <w:widowControl/>
                    <w:jc w:val="center"/>
                    <w:rPr>
                      <w:rFonts w:hint="default" w:ascii="Times New Roman" w:hAnsi="Times New Roman" w:eastAsia="宋体" w:cs="Times New Roman"/>
                      <w:b w:val="0"/>
                      <w:bCs w:val="0"/>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lang w:val="en-US" w:eastAsia="zh-CN"/>
                      <w14:textFill>
                        <w14:solidFill>
                          <w14:schemeClr w14:val="tx1"/>
                        </w14:solidFill>
                      </w14:textFill>
                    </w:rPr>
                    <w:t>黄料仓</w:t>
                  </w:r>
                </w:p>
              </w:tc>
              <w:tc>
                <w:tcPr>
                  <w:tcW w:w="1980" w:type="pct"/>
                  <w:noWrap w:val="0"/>
                  <w:vAlign w:val="center"/>
                </w:tcPr>
                <w:p w14:paraId="63CAA10B">
                  <w:pPr>
                    <w:widowControl/>
                    <w:jc w:val="both"/>
                    <w:rPr>
                      <w:rFonts w:hint="default" w:ascii="Times New Roman" w:hAnsi="Times New Roman" w:eastAsia="宋体" w:cs="Times New Roman"/>
                      <w:b w:val="0"/>
                      <w:bCs w:val="0"/>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黄料筒仓暂存，定期外售作为建材综合利用，</w:t>
                  </w: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不外排</w:t>
                  </w:r>
                </w:p>
              </w:tc>
            </w:tr>
            <w:tr w14:paraId="011E0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295" w:type="pct"/>
                  <w:noWrap w:val="0"/>
                  <w:vAlign w:val="center"/>
                </w:tcPr>
                <w:p w14:paraId="03ABFC4D">
                  <w:pPr>
                    <w:numPr>
                      <w:ilvl w:val="0"/>
                      <w:numId w:val="6"/>
                    </w:numPr>
                    <w:ind w:left="425" w:leftChars="0" w:hanging="425" w:firstLineChars="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p>
              </w:tc>
              <w:tc>
                <w:tcPr>
                  <w:tcW w:w="808" w:type="pct"/>
                  <w:noWrap w:val="0"/>
                  <w:vAlign w:val="center"/>
                </w:tcPr>
                <w:p w14:paraId="604885CA">
                  <w:pPr>
                    <w:widowControl/>
                    <w:jc w:val="cente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脱硫石膏</w:t>
                  </w:r>
                </w:p>
              </w:tc>
              <w:tc>
                <w:tcPr>
                  <w:tcW w:w="490" w:type="pct"/>
                  <w:noWrap w:val="0"/>
                  <w:vAlign w:val="center"/>
                </w:tcPr>
                <w:p w14:paraId="0FA58581">
                  <w:pPr>
                    <w:widowControl/>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1243</w:t>
                  </w:r>
                </w:p>
              </w:tc>
              <w:tc>
                <w:tcPr>
                  <w:tcW w:w="504" w:type="pct"/>
                  <w:noWrap w:val="0"/>
                  <w:vAlign w:val="center"/>
                </w:tcPr>
                <w:p w14:paraId="5742C03F">
                  <w:pPr>
                    <w:widowControl/>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SW</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06</w:t>
                  </w:r>
                </w:p>
                <w:p w14:paraId="7E9755B0">
                  <w:pPr>
                    <w:widowControl/>
                    <w:jc w:val="center"/>
                    <w:rPr>
                      <w:rFonts w:hint="eastAsia"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900-099-S06</w:t>
                  </w:r>
                </w:p>
              </w:tc>
              <w:tc>
                <w:tcPr>
                  <w:tcW w:w="370" w:type="pct"/>
                  <w:vMerge w:val="continue"/>
                  <w:noWrap w:val="0"/>
                  <w:vAlign w:val="center"/>
                </w:tcPr>
                <w:p w14:paraId="56A0776C">
                  <w:pPr>
                    <w:widowControl/>
                    <w:jc w:val="center"/>
                    <w:rPr>
                      <w:rFonts w:hint="default" w:ascii="Times New Roman" w:hAnsi="Times New Roman" w:eastAsia="宋体" w:cs="Times New Roman"/>
                      <w:b w:val="0"/>
                      <w:bCs w:val="0"/>
                      <w:color w:val="000000" w:themeColor="text1"/>
                      <w:kern w:val="0"/>
                      <w:sz w:val="21"/>
                      <w:szCs w:val="21"/>
                      <w:highlight w:val="none"/>
                      <w14:textFill>
                        <w14:solidFill>
                          <w14:schemeClr w14:val="tx1"/>
                        </w14:solidFill>
                      </w14:textFill>
                    </w:rPr>
                  </w:pPr>
                </w:p>
              </w:tc>
              <w:tc>
                <w:tcPr>
                  <w:tcW w:w="549" w:type="pct"/>
                  <w:noWrap w:val="0"/>
                  <w:vAlign w:val="center"/>
                </w:tcPr>
                <w:p w14:paraId="23B1CCB5">
                  <w:pPr>
                    <w:widowControl/>
                    <w:jc w:val="center"/>
                    <w:rPr>
                      <w:rFonts w:hint="default" w:ascii="Times New Roman" w:hAnsi="Times New Roman" w:eastAsia="宋体" w:cs="Times New Roman"/>
                      <w:b w:val="0"/>
                      <w:bCs w:val="0"/>
                      <w:color w:val="000000" w:themeColor="text1"/>
                      <w:kern w:val="0"/>
                      <w:sz w:val="21"/>
                      <w:szCs w:val="21"/>
                      <w:highlight w:val="none"/>
                      <w:lang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lang w:val="en-US" w:eastAsia="zh-CN"/>
                      <w14:textFill>
                        <w14:solidFill>
                          <w14:schemeClr w14:val="tx1"/>
                        </w14:solidFill>
                      </w14:textFill>
                    </w:rPr>
                    <w:t>一般固废库</w:t>
                  </w:r>
                </w:p>
              </w:tc>
              <w:tc>
                <w:tcPr>
                  <w:tcW w:w="1980" w:type="pct"/>
                  <w:noWrap w:val="0"/>
                  <w:vAlign w:val="center"/>
                </w:tcPr>
                <w:p w14:paraId="144111AD">
                  <w:pPr>
                    <w:widowControl/>
                    <w:jc w:val="both"/>
                    <w:rPr>
                      <w:rFonts w:hint="default" w:ascii="Times New Roman" w:hAnsi="Times New Roman" w:eastAsia="宋体" w:cs="Times New Roman"/>
                      <w:b w:val="0"/>
                      <w:bCs w:val="0"/>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外售作为建材综合利用，</w:t>
                  </w: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不外排</w:t>
                  </w:r>
                </w:p>
              </w:tc>
            </w:tr>
            <w:tr w14:paraId="1A17E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295" w:type="pct"/>
                  <w:noWrap w:val="0"/>
                  <w:vAlign w:val="center"/>
                </w:tcPr>
                <w:p w14:paraId="3C857EFA">
                  <w:pPr>
                    <w:numPr>
                      <w:ilvl w:val="0"/>
                      <w:numId w:val="6"/>
                    </w:numPr>
                    <w:ind w:left="425" w:leftChars="0" w:hanging="425" w:firstLineChars="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p>
              </w:tc>
              <w:tc>
                <w:tcPr>
                  <w:tcW w:w="808" w:type="pct"/>
                  <w:noWrap w:val="0"/>
                  <w:vAlign w:val="center"/>
                </w:tcPr>
                <w:p w14:paraId="7AE5BDE9">
                  <w:pPr>
                    <w:widowControl/>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软水制备废滤料</w:t>
                  </w:r>
                </w:p>
              </w:tc>
              <w:tc>
                <w:tcPr>
                  <w:tcW w:w="490" w:type="pct"/>
                  <w:noWrap w:val="0"/>
                  <w:vAlign w:val="center"/>
                </w:tcPr>
                <w:p w14:paraId="13CB1D77">
                  <w:pPr>
                    <w:widowControl/>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2.4</w:t>
                  </w:r>
                </w:p>
              </w:tc>
              <w:tc>
                <w:tcPr>
                  <w:tcW w:w="504" w:type="pct"/>
                  <w:noWrap w:val="0"/>
                  <w:vAlign w:val="center"/>
                </w:tcPr>
                <w:p w14:paraId="730DDB63">
                  <w:pPr>
                    <w:widowControl/>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SW59</w:t>
                  </w:r>
                </w:p>
                <w:p w14:paraId="499F3ABD">
                  <w:pPr>
                    <w:widowControl/>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color w:val="000000" w:themeColor="text1"/>
                      <w:sz w:val="21"/>
                      <w:szCs w:val="21"/>
                      <w:lang w:val="en-US" w:eastAsia="zh-CN"/>
                      <w14:textFill>
                        <w14:solidFill>
                          <w14:schemeClr w14:val="tx1"/>
                        </w14:solidFill>
                      </w14:textFill>
                    </w:rPr>
                    <w:t>900-099-S06</w:t>
                  </w:r>
                </w:p>
              </w:tc>
              <w:tc>
                <w:tcPr>
                  <w:tcW w:w="370" w:type="pct"/>
                  <w:vMerge w:val="continue"/>
                  <w:noWrap w:val="0"/>
                  <w:vAlign w:val="center"/>
                </w:tcPr>
                <w:p w14:paraId="4DAA8398">
                  <w:pPr>
                    <w:widowControl/>
                    <w:jc w:val="center"/>
                    <w:rPr>
                      <w:rFonts w:hint="default" w:ascii="Times New Roman" w:hAnsi="Times New Roman" w:eastAsia="宋体" w:cs="Times New Roman"/>
                      <w:b w:val="0"/>
                      <w:bCs w:val="0"/>
                      <w:color w:val="000000" w:themeColor="text1"/>
                      <w:kern w:val="0"/>
                      <w:sz w:val="21"/>
                      <w:szCs w:val="21"/>
                      <w:highlight w:val="none"/>
                      <w14:textFill>
                        <w14:solidFill>
                          <w14:schemeClr w14:val="tx1"/>
                        </w14:solidFill>
                      </w14:textFill>
                    </w:rPr>
                  </w:pPr>
                </w:p>
              </w:tc>
              <w:tc>
                <w:tcPr>
                  <w:tcW w:w="549" w:type="pct"/>
                  <w:noWrap w:val="0"/>
                  <w:vAlign w:val="center"/>
                </w:tcPr>
                <w:p w14:paraId="1DC976A7">
                  <w:pPr>
                    <w:widowControl/>
                    <w:jc w:val="center"/>
                    <w:rPr>
                      <w:rFonts w:hint="default" w:ascii="Times New Roman" w:hAnsi="Times New Roman" w:eastAsia="宋体" w:cs="Times New Roman"/>
                      <w:b w:val="0"/>
                      <w:bCs w:val="0"/>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lang w:val="en-US" w:eastAsia="zh-CN"/>
                      <w14:textFill>
                        <w14:solidFill>
                          <w14:schemeClr w14:val="tx1"/>
                        </w14:solidFill>
                      </w14:textFill>
                    </w:rPr>
                    <w:t>一般固废库</w:t>
                  </w:r>
                </w:p>
              </w:tc>
              <w:tc>
                <w:tcPr>
                  <w:tcW w:w="1980" w:type="pct"/>
                  <w:vMerge w:val="restart"/>
                  <w:noWrap w:val="0"/>
                  <w:vAlign w:val="center"/>
                </w:tcPr>
                <w:p w14:paraId="76EC9EA6">
                  <w:pPr>
                    <w:widowControl/>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一般固废库暂存，定期外售综合利用</w:t>
                  </w:r>
                </w:p>
              </w:tc>
            </w:tr>
            <w:tr w14:paraId="26409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295" w:type="pct"/>
                  <w:noWrap w:val="0"/>
                  <w:vAlign w:val="center"/>
                </w:tcPr>
                <w:p w14:paraId="62922E4B">
                  <w:pPr>
                    <w:numPr>
                      <w:ilvl w:val="0"/>
                      <w:numId w:val="6"/>
                    </w:numPr>
                    <w:ind w:left="425" w:leftChars="0" w:hanging="425" w:firstLineChars="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p>
              </w:tc>
              <w:tc>
                <w:tcPr>
                  <w:tcW w:w="808" w:type="pct"/>
                  <w:noWrap w:val="0"/>
                  <w:vAlign w:val="center"/>
                </w:tcPr>
                <w:p w14:paraId="3C03D1DB">
                  <w:pPr>
                    <w:widowControl/>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空压站废滤材</w:t>
                  </w:r>
                </w:p>
              </w:tc>
              <w:tc>
                <w:tcPr>
                  <w:tcW w:w="490" w:type="pct"/>
                  <w:noWrap w:val="0"/>
                  <w:vAlign w:val="center"/>
                </w:tcPr>
                <w:p w14:paraId="6C2D42A5">
                  <w:pPr>
                    <w:widowControl/>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2.5</w:t>
                  </w:r>
                </w:p>
              </w:tc>
              <w:tc>
                <w:tcPr>
                  <w:tcW w:w="504" w:type="pct"/>
                  <w:noWrap w:val="0"/>
                  <w:vAlign w:val="center"/>
                </w:tcPr>
                <w:p w14:paraId="7A926650">
                  <w:pPr>
                    <w:widowControl/>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SW59</w:t>
                  </w:r>
                </w:p>
                <w:p w14:paraId="47ABC622">
                  <w:pPr>
                    <w:widowControl/>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color w:val="000000" w:themeColor="text1"/>
                      <w:sz w:val="21"/>
                      <w:szCs w:val="21"/>
                      <w:lang w:val="en-US" w:eastAsia="zh-CN"/>
                      <w14:textFill>
                        <w14:solidFill>
                          <w14:schemeClr w14:val="tx1"/>
                        </w14:solidFill>
                      </w14:textFill>
                    </w:rPr>
                    <w:t>900-099-S06</w:t>
                  </w:r>
                </w:p>
              </w:tc>
              <w:tc>
                <w:tcPr>
                  <w:tcW w:w="370" w:type="pct"/>
                  <w:vMerge w:val="continue"/>
                  <w:noWrap w:val="0"/>
                  <w:vAlign w:val="center"/>
                </w:tcPr>
                <w:p w14:paraId="5E89B989">
                  <w:pPr>
                    <w:widowControl/>
                    <w:jc w:val="center"/>
                    <w:rPr>
                      <w:rFonts w:hint="default" w:ascii="Times New Roman" w:hAnsi="Times New Roman" w:eastAsia="宋体" w:cs="Times New Roman"/>
                      <w:b w:val="0"/>
                      <w:bCs w:val="0"/>
                      <w:color w:val="000000" w:themeColor="text1"/>
                      <w:kern w:val="0"/>
                      <w:sz w:val="21"/>
                      <w:szCs w:val="21"/>
                      <w:highlight w:val="none"/>
                      <w14:textFill>
                        <w14:solidFill>
                          <w14:schemeClr w14:val="tx1"/>
                        </w14:solidFill>
                      </w14:textFill>
                    </w:rPr>
                  </w:pPr>
                </w:p>
              </w:tc>
              <w:tc>
                <w:tcPr>
                  <w:tcW w:w="549" w:type="pct"/>
                  <w:noWrap w:val="0"/>
                  <w:vAlign w:val="center"/>
                </w:tcPr>
                <w:p w14:paraId="745815CC">
                  <w:pPr>
                    <w:widowControl/>
                    <w:jc w:val="center"/>
                    <w:rPr>
                      <w:rFonts w:hint="default" w:ascii="Times New Roman" w:hAnsi="Times New Roman" w:eastAsia="宋体" w:cs="Times New Roman"/>
                      <w:b w:val="0"/>
                      <w:bCs w:val="0"/>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lang w:val="en-US" w:eastAsia="zh-CN"/>
                      <w14:textFill>
                        <w14:solidFill>
                          <w14:schemeClr w14:val="tx1"/>
                        </w14:solidFill>
                      </w14:textFill>
                    </w:rPr>
                    <w:t>一般固废库</w:t>
                  </w:r>
                </w:p>
              </w:tc>
              <w:tc>
                <w:tcPr>
                  <w:tcW w:w="1980" w:type="pct"/>
                  <w:vMerge w:val="continue"/>
                  <w:noWrap w:val="0"/>
                  <w:vAlign w:val="center"/>
                </w:tcPr>
                <w:p w14:paraId="54643D47">
                  <w:pPr>
                    <w:widowControl/>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p>
              </w:tc>
            </w:tr>
            <w:tr w14:paraId="41E6B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295" w:type="pct"/>
                  <w:noWrap w:val="0"/>
                  <w:vAlign w:val="center"/>
                </w:tcPr>
                <w:p w14:paraId="09902336">
                  <w:pPr>
                    <w:numPr>
                      <w:ilvl w:val="0"/>
                      <w:numId w:val="6"/>
                    </w:numPr>
                    <w:ind w:left="425" w:leftChars="0" w:hanging="425" w:firstLineChars="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p>
              </w:tc>
              <w:tc>
                <w:tcPr>
                  <w:tcW w:w="808" w:type="pct"/>
                  <w:noWrap w:val="0"/>
                  <w:vAlign w:val="center"/>
                </w:tcPr>
                <w:p w14:paraId="6A791B64">
                  <w:pPr>
                    <w:widowControl/>
                    <w:jc w:val="cente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废油</w:t>
                  </w:r>
                </w:p>
              </w:tc>
              <w:tc>
                <w:tcPr>
                  <w:tcW w:w="490" w:type="pct"/>
                  <w:noWrap w:val="0"/>
                  <w:vAlign w:val="center"/>
                </w:tcPr>
                <w:p w14:paraId="48365FCB">
                  <w:pPr>
                    <w:widowControl/>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1</w:t>
                  </w:r>
                </w:p>
              </w:tc>
              <w:tc>
                <w:tcPr>
                  <w:tcW w:w="504" w:type="pct"/>
                  <w:noWrap w:val="0"/>
                  <w:vAlign w:val="center"/>
                </w:tcPr>
                <w:p w14:paraId="341EE307">
                  <w:pPr>
                    <w:widowControl/>
                    <w:jc w:val="center"/>
                    <w:rPr>
                      <w:rFonts w:hint="default" w:ascii="Times New Roman" w:hAnsi="Times New Roman" w:eastAsia="宋体" w:cs="Times New Roman"/>
                      <w:b w:val="0"/>
                      <w:bCs w:val="0"/>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lang w:val="en-US" w:eastAsia="zh-CN"/>
                      <w14:textFill>
                        <w14:solidFill>
                          <w14:schemeClr w14:val="tx1"/>
                        </w14:solidFill>
                      </w14:textFill>
                    </w:rPr>
                    <w:t>HW08</w:t>
                  </w:r>
                </w:p>
                <w:p w14:paraId="0E31E7E6">
                  <w:pPr>
                    <w:widowControl/>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lang w:val="en-US" w:eastAsia="zh-CN"/>
                      <w14:textFill>
                        <w14:solidFill>
                          <w14:schemeClr w14:val="tx1"/>
                        </w14:solidFill>
                      </w14:textFill>
                    </w:rPr>
                    <w:t>900-214-08</w:t>
                  </w:r>
                </w:p>
              </w:tc>
              <w:tc>
                <w:tcPr>
                  <w:tcW w:w="370" w:type="pct"/>
                  <w:vMerge w:val="restart"/>
                  <w:noWrap w:val="0"/>
                  <w:vAlign w:val="center"/>
                </w:tcPr>
                <w:p w14:paraId="6DA0DE77">
                  <w:pPr>
                    <w:widowControl/>
                    <w:jc w:val="center"/>
                    <w:rPr>
                      <w:rFonts w:hint="default" w:ascii="Times New Roman" w:hAnsi="Times New Roman" w:eastAsia="宋体" w:cs="Times New Roman"/>
                      <w:b w:val="0"/>
                      <w:bCs w:val="0"/>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lang w:val="en-US" w:eastAsia="zh-CN"/>
                      <w14:textFill>
                        <w14:solidFill>
                          <w14:schemeClr w14:val="tx1"/>
                        </w14:solidFill>
                      </w14:textFill>
                    </w:rPr>
                    <w:t>危险废物</w:t>
                  </w:r>
                </w:p>
              </w:tc>
              <w:tc>
                <w:tcPr>
                  <w:tcW w:w="549" w:type="pct"/>
                  <w:vMerge w:val="restart"/>
                  <w:noWrap w:val="0"/>
                  <w:vAlign w:val="center"/>
                </w:tcPr>
                <w:p w14:paraId="36E37CD0">
                  <w:pPr>
                    <w:widowControl/>
                    <w:jc w:val="center"/>
                    <w:rPr>
                      <w:rFonts w:hint="default" w:ascii="Times New Roman" w:hAnsi="Times New Roman" w:eastAsia="宋体" w:cs="Times New Roman"/>
                      <w:b w:val="0"/>
                      <w:bCs w:val="0"/>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lang w:val="en-US" w:eastAsia="zh-CN"/>
                      <w14:textFill>
                        <w14:solidFill>
                          <w14:schemeClr w14:val="tx1"/>
                        </w14:solidFill>
                      </w14:textFill>
                    </w:rPr>
                    <w:t>危废库</w:t>
                  </w:r>
                </w:p>
              </w:tc>
              <w:tc>
                <w:tcPr>
                  <w:tcW w:w="1980" w:type="pct"/>
                  <w:vMerge w:val="restart"/>
                  <w:noWrap w:val="0"/>
                  <w:vAlign w:val="center"/>
                </w:tcPr>
                <w:p w14:paraId="12048BB6">
                  <w:pPr>
                    <w:widowControl/>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暂存危废库，</w:t>
                  </w:r>
                  <w:r>
                    <w:rPr>
                      <w:rFonts w:hint="eastAsia" w:ascii="Times New Roman" w:hAnsi="Times New Roman" w:cs="Times New Roman"/>
                      <w:color w:val="000000" w:themeColor="text1"/>
                      <w:spacing w:val="1"/>
                      <w:sz w:val="21"/>
                      <w:szCs w:val="21"/>
                      <w:highlight w:val="none"/>
                      <w:lang w:val="en-US" w:eastAsia="zh-CN"/>
                      <w14:textFill>
                        <w14:solidFill>
                          <w14:schemeClr w14:val="tx1"/>
                        </w14:solidFill>
                      </w14:textFill>
                    </w:rPr>
                    <w:t>按危废管理，</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定期委托有资质单位处置</w:t>
                  </w:r>
                </w:p>
              </w:tc>
            </w:tr>
            <w:tr w14:paraId="16A79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295" w:type="pct"/>
                  <w:noWrap w:val="0"/>
                  <w:vAlign w:val="center"/>
                </w:tcPr>
                <w:p w14:paraId="024E7591">
                  <w:pPr>
                    <w:numPr>
                      <w:ilvl w:val="0"/>
                      <w:numId w:val="6"/>
                    </w:numPr>
                    <w:ind w:left="425" w:leftChars="0" w:hanging="425" w:firstLineChars="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p>
              </w:tc>
              <w:tc>
                <w:tcPr>
                  <w:tcW w:w="808" w:type="pct"/>
                  <w:noWrap w:val="0"/>
                  <w:vAlign w:val="center"/>
                </w:tcPr>
                <w:p w14:paraId="12BBA3BC">
                  <w:pPr>
                    <w:widowControl/>
                    <w:jc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废油桶</w:t>
                  </w:r>
                </w:p>
              </w:tc>
              <w:tc>
                <w:tcPr>
                  <w:tcW w:w="490" w:type="pct"/>
                  <w:noWrap w:val="0"/>
                  <w:vAlign w:val="center"/>
                </w:tcPr>
                <w:p w14:paraId="1C7DFD11">
                  <w:pPr>
                    <w:widowControl/>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1</w:t>
                  </w:r>
                </w:p>
              </w:tc>
              <w:tc>
                <w:tcPr>
                  <w:tcW w:w="504" w:type="pct"/>
                  <w:noWrap w:val="0"/>
                  <w:vAlign w:val="center"/>
                </w:tcPr>
                <w:p w14:paraId="530B7484">
                  <w:pPr>
                    <w:widowControl/>
                    <w:jc w:val="center"/>
                    <w:rPr>
                      <w:rFonts w:hint="default" w:ascii="Times New Roman" w:hAnsi="Times New Roman" w:eastAsia="宋体" w:cs="Times New Roman"/>
                      <w:b w:val="0"/>
                      <w:bCs w:val="0"/>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lang w:val="en-US" w:eastAsia="zh-CN"/>
                      <w14:textFill>
                        <w14:solidFill>
                          <w14:schemeClr w14:val="tx1"/>
                        </w14:solidFill>
                      </w14:textFill>
                    </w:rPr>
                    <w:t>HW08</w:t>
                  </w:r>
                </w:p>
                <w:p w14:paraId="761D9541">
                  <w:pPr>
                    <w:widowControl/>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lang w:val="en-US" w:eastAsia="zh-CN"/>
                      <w14:textFill>
                        <w14:solidFill>
                          <w14:schemeClr w14:val="tx1"/>
                        </w14:solidFill>
                      </w14:textFill>
                    </w:rPr>
                    <w:t>900-249-08</w:t>
                  </w:r>
                </w:p>
              </w:tc>
              <w:tc>
                <w:tcPr>
                  <w:tcW w:w="370" w:type="pct"/>
                  <w:vMerge w:val="continue"/>
                  <w:noWrap w:val="0"/>
                  <w:vAlign w:val="center"/>
                </w:tcPr>
                <w:p w14:paraId="0BABE010">
                  <w:pPr>
                    <w:widowControl/>
                    <w:jc w:val="center"/>
                    <w:rPr>
                      <w:rFonts w:hint="default" w:ascii="Times New Roman" w:hAnsi="Times New Roman" w:eastAsia="宋体" w:cs="Times New Roman"/>
                      <w:b w:val="0"/>
                      <w:bCs w:val="0"/>
                      <w:color w:val="000000" w:themeColor="text1"/>
                      <w:kern w:val="0"/>
                      <w:sz w:val="21"/>
                      <w:szCs w:val="21"/>
                      <w:highlight w:val="none"/>
                      <w14:textFill>
                        <w14:solidFill>
                          <w14:schemeClr w14:val="tx1"/>
                        </w14:solidFill>
                      </w14:textFill>
                    </w:rPr>
                  </w:pPr>
                </w:p>
              </w:tc>
              <w:tc>
                <w:tcPr>
                  <w:tcW w:w="549" w:type="pct"/>
                  <w:vMerge w:val="continue"/>
                  <w:noWrap w:val="0"/>
                  <w:vAlign w:val="center"/>
                </w:tcPr>
                <w:p w14:paraId="6DA6D087">
                  <w:pPr>
                    <w:widowControl/>
                    <w:jc w:val="center"/>
                    <w:rPr>
                      <w:rFonts w:hint="default" w:ascii="Times New Roman" w:hAnsi="Times New Roman" w:eastAsia="宋体" w:cs="Times New Roman"/>
                      <w:b w:val="0"/>
                      <w:bCs w:val="0"/>
                      <w:color w:val="000000" w:themeColor="text1"/>
                      <w:kern w:val="0"/>
                      <w:sz w:val="21"/>
                      <w:szCs w:val="21"/>
                      <w:highlight w:val="none"/>
                      <w14:textFill>
                        <w14:solidFill>
                          <w14:schemeClr w14:val="tx1"/>
                        </w14:solidFill>
                      </w14:textFill>
                    </w:rPr>
                  </w:pPr>
                </w:p>
              </w:tc>
              <w:tc>
                <w:tcPr>
                  <w:tcW w:w="1980" w:type="pct"/>
                  <w:vMerge w:val="continue"/>
                  <w:noWrap w:val="0"/>
                  <w:vAlign w:val="center"/>
                </w:tcPr>
                <w:p w14:paraId="06F583BD">
                  <w:pPr>
                    <w:widowControl/>
                    <w:jc w:val="center"/>
                    <w:rPr>
                      <w:rFonts w:hint="default" w:ascii="Times New Roman" w:hAnsi="Times New Roman" w:eastAsia="宋体" w:cs="Times New Roman"/>
                      <w:b w:val="0"/>
                      <w:bCs w:val="0"/>
                      <w:color w:val="000000" w:themeColor="text1"/>
                      <w:kern w:val="0"/>
                      <w:sz w:val="21"/>
                      <w:szCs w:val="21"/>
                      <w:highlight w:val="none"/>
                      <w14:textFill>
                        <w14:solidFill>
                          <w14:schemeClr w14:val="tx1"/>
                        </w14:solidFill>
                      </w14:textFill>
                    </w:rPr>
                  </w:pPr>
                </w:p>
              </w:tc>
            </w:tr>
            <w:tr w14:paraId="48C90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295" w:type="pct"/>
                  <w:noWrap w:val="0"/>
                  <w:vAlign w:val="center"/>
                </w:tcPr>
                <w:p w14:paraId="5978168D">
                  <w:pPr>
                    <w:numPr>
                      <w:ilvl w:val="0"/>
                      <w:numId w:val="6"/>
                    </w:numPr>
                    <w:ind w:left="425" w:leftChars="0" w:hanging="425" w:firstLineChars="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p>
              </w:tc>
              <w:tc>
                <w:tcPr>
                  <w:tcW w:w="808" w:type="pct"/>
                  <w:noWrap w:val="0"/>
                  <w:vAlign w:val="center"/>
                </w:tcPr>
                <w:p w14:paraId="7EC413C2">
                  <w:pPr>
                    <w:widowControl/>
                    <w:jc w:val="cente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脱硫废水污泥</w:t>
                  </w:r>
                </w:p>
              </w:tc>
              <w:tc>
                <w:tcPr>
                  <w:tcW w:w="490" w:type="pct"/>
                  <w:noWrap w:val="0"/>
                  <w:vAlign w:val="center"/>
                </w:tcPr>
                <w:p w14:paraId="2D1FC08A">
                  <w:pPr>
                    <w:widowControl/>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6</w:t>
                  </w:r>
                </w:p>
              </w:tc>
              <w:tc>
                <w:tcPr>
                  <w:tcW w:w="504" w:type="pct"/>
                  <w:noWrap w:val="0"/>
                  <w:vAlign w:val="center"/>
                </w:tcPr>
                <w:p w14:paraId="50684DB0">
                  <w:pPr>
                    <w:widowControl/>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w:t>
                  </w:r>
                </w:p>
              </w:tc>
              <w:tc>
                <w:tcPr>
                  <w:tcW w:w="370" w:type="pct"/>
                  <w:vMerge w:val="continue"/>
                  <w:noWrap w:val="0"/>
                  <w:vAlign w:val="center"/>
                </w:tcPr>
                <w:p w14:paraId="27799091">
                  <w:pPr>
                    <w:widowControl/>
                    <w:jc w:val="center"/>
                    <w:rPr>
                      <w:rFonts w:hint="default" w:ascii="Times New Roman" w:hAnsi="Times New Roman" w:eastAsia="宋体" w:cs="Times New Roman"/>
                      <w:b w:val="0"/>
                      <w:bCs w:val="0"/>
                      <w:color w:val="000000" w:themeColor="text1"/>
                      <w:kern w:val="0"/>
                      <w:sz w:val="21"/>
                      <w:szCs w:val="21"/>
                      <w:highlight w:val="none"/>
                      <w14:textFill>
                        <w14:solidFill>
                          <w14:schemeClr w14:val="tx1"/>
                        </w14:solidFill>
                      </w14:textFill>
                    </w:rPr>
                  </w:pPr>
                </w:p>
              </w:tc>
              <w:tc>
                <w:tcPr>
                  <w:tcW w:w="549" w:type="pct"/>
                  <w:vMerge w:val="continue"/>
                  <w:noWrap w:val="0"/>
                  <w:vAlign w:val="center"/>
                </w:tcPr>
                <w:p w14:paraId="2AC6DF47">
                  <w:pPr>
                    <w:widowControl/>
                    <w:jc w:val="center"/>
                    <w:rPr>
                      <w:rFonts w:hint="default" w:ascii="Times New Roman" w:hAnsi="Times New Roman" w:eastAsia="宋体" w:cs="Times New Roman"/>
                      <w:b w:val="0"/>
                      <w:bCs w:val="0"/>
                      <w:color w:val="000000" w:themeColor="text1"/>
                      <w:kern w:val="0"/>
                      <w:sz w:val="21"/>
                      <w:szCs w:val="21"/>
                      <w:highlight w:val="none"/>
                      <w14:textFill>
                        <w14:solidFill>
                          <w14:schemeClr w14:val="tx1"/>
                        </w14:solidFill>
                      </w14:textFill>
                    </w:rPr>
                  </w:pPr>
                </w:p>
              </w:tc>
              <w:tc>
                <w:tcPr>
                  <w:tcW w:w="1980" w:type="pct"/>
                  <w:noWrap w:val="0"/>
                  <w:vAlign w:val="center"/>
                </w:tcPr>
                <w:p w14:paraId="0AD74656">
                  <w:pPr>
                    <w:widowControl/>
                    <w:jc w:val="center"/>
                    <w:rPr>
                      <w:rFonts w:hint="default" w:ascii="Times New Roman" w:hAnsi="Times New Roman" w:eastAsia="宋体" w:cs="Times New Roman"/>
                      <w:b w:val="0"/>
                      <w:bCs w:val="0"/>
                      <w:color w:val="000000" w:themeColor="text1"/>
                      <w:kern w:val="0"/>
                      <w:sz w:val="21"/>
                      <w:szCs w:val="21"/>
                      <w:highlight w:val="none"/>
                      <w14:textFill>
                        <w14:solidFill>
                          <w14:schemeClr w14:val="tx1"/>
                        </w14:solidFill>
                      </w14:textFill>
                    </w:rPr>
                  </w:pPr>
                  <w:r>
                    <w:rPr>
                      <w:rFonts w:hint="default" w:ascii="Times New Roman" w:hAnsi="Times New Roman" w:cs="Times New Roman"/>
                      <w:color w:val="000000" w:themeColor="text1"/>
                      <w:spacing w:val="1"/>
                      <w:sz w:val="21"/>
                      <w:szCs w:val="21"/>
                      <w:highlight w:val="none"/>
                      <w:lang w:val="en-US" w:eastAsia="zh-CN"/>
                      <w14:textFill>
                        <w14:solidFill>
                          <w14:schemeClr w14:val="tx1"/>
                        </w14:solidFill>
                      </w14:textFill>
                    </w:rPr>
                    <w:t>鉴定后属于危废后，定期送有资质的处置，</w:t>
                  </w:r>
                  <w:r>
                    <w:rPr>
                      <w:rFonts w:hint="default" w:ascii="Times New Roman" w:hAnsi="Times New Roman" w:cs="Times New Roman"/>
                      <w:color w:val="000000" w:themeColor="text1"/>
                      <w:spacing w:val="1"/>
                      <w:sz w:val="21"/>
                      <w:szCs w:val="21"/>
                      <w:highlight w:val="none"/>
                      <w:lang w:eastAsia="zh-CN"/>
                      <w14:textFill>
                        <w14:solidFill>
                          <w14:schemeClr w14:val="tx1"/>
                        </w14:solidFill>
                      </w14:textFill>
                    </w:rPr>
                    <w:t>不外排。</w:t>
                  </w:r>
                </w:p>
              </w:tc>
            </w:tr>
          </w:tbl>
          <w:p w14:paraId="544AD45F">
            <w:pPr>
              <w:pStyle w:val="54"/>
              <w:keepNext w:val="0"/>
              <w:keepLines w:val="0"/>
              <w:pageBreakBefore w:val="0"/>
              <w:widowControl w:val="0"/>
              <w:kinsoku/>
              <w:wordWrap/>
              <w:overflowPunct/>
              <w:topLinePunct w:val="0"/>
              <w:bidi w:val="0"/>
              <w:spacing w:line="360" w:lineRule="auto"/>
              <w:ind w:firstLine="480" w:firstLineChars="20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综上所述，本项目运营期产生的固废均得到有效处置，不会对环境造成二次污染，对周围环境影响不大。</w:t>
            </w:r>
          </w:p>
          <w:p w14:paraId="12436E3E">
            <w:pPr>
              <w:keepNext w:val="0"/>
              <w:keepLines w:val="0"/>
              <w:pageBreakBefore w:val="0"/>
              <w:widowControl w:val="0"/>
              <w:kinsoku/>
              <w:wordWrap/>
              <w:overflowPunct/>
              <w:topLinePunct w:val="0"/>
              <w:bidi w:val="0"/>
              <w:spacing w:line="360" w:lineRule="auto"/>
              <w:ind w:firstLine="482"/>
              <w:jc w:val="both"/>
              <w:rPr>
                <w:rFonts w:hint="default" w:ascii="Times New Roman" w:hAnsi="Times New Roman" w:eastAsia="宋体" w:cs="Times New Roman"/>
                <w:b/>
                <w:bCs/>
                <w:color w:val="000000" w:themeColor="text1"/>
                <w:sz w:val="24"/>
                <w:highlight w:val="none"/>
                <w14:textFill>
                  <w14:solidFill>
                    <w14:schemeClr w14:val="tx1"/>
                  </w14:solidFill>
                </w14:textFill>
              </w:rPr>
            </w:pPr>
            <w:r>
              <w:rPr>
                <w:rFonts w:hint="default" w:ascii="Times New Roman" w:hAnsi="Times New Roman" w:eastAsia="宋体" w:cs="Times New Roman"/>
                <w:b/>
                <w:bCs/>
                <w:color w:val="000000" w:themeColor="text1"/>
                <w:sz w:val="24"/>
                <w:highlight w:val="none"/>
                <w:lang w:eastAsia="zh-CN"/>
                <w14:textFill>
                  <w14:solidFill>
                    <w14:schemeClr w14:val="tx1"/>
                  </w14:solidFill>
                </w14:textFill>
              </w:rPr>
              <w:t>4.</w:t>
            </w:r>
            <w:r>
              <w:rPr>
                <w:rFonts w:hint="default" w:ascii="Times New Roman" w:hAnsi="Times New Roman" w:eastAsia="宋体" w:cs="Times New Roman"/>
                <w:b/>
                <w:bCs/>
                <w:color w:val="000000" w:themeColor="text1"/>
                <w:sz w:val="24"/>
                <w:highlight w:val="none"/>
                <w14:textFill>
                  <w14:solidFill>
                    <w14:schemeClr w14:val="tx1"/>
                  </w14:solidFill>
                </w14:textFill>
              </w:rPr>
              <w:t>噪声</w:t>
            </w:r>
          </w:p>
          <w:p w14:paraId="01847B84">
            <w:pPr>
              <w:keepNext w:val="0"/>
              <w:keepLines w:val="0"/>
              <w:pageBreakBefore w:val="0"/>
              <w:widowControl w:val="0"/>
              <w:kinsoku/>
              <w:wordWrap/>
              <w:overflowPunct/>
              <w:topLinePunct w:val="0"/>
              <w:bidi w:val="0"/>
              <w:snapToGrid w:val="0"/>
              <w:spacing w:line="360" w:lineRule="auto"/>
              <w:ind w:firstLine="482"/>
              <w:jc w:val="both"/>
              <w:outlineLvl w:val="3"/>
              <w:rPr>
                <w:rFonts w:hint="default" w:ascii="Times New Roman" w:hAnsi="Times New Roman" w:eastAsia="宋体" w:cs="Times New Roman"/>
                <w:b/>
                <w:bCs/>
                <w:color w:val="000000" w:themeColor="text1"/>
                <w:sz w:val="24"/>
                <w:highlight w:val="none"/>
                <w14:textFill>
                  <w14:solidFill>
                    <w14:schemeClr w14:val="tx1"/>
                  </w14:solidFill>
                </w14:textFill>
              </w:rPr>
            </w:pPr>
            <w:r>
              <w:rPr>
                <w:rFonts w:hint="default" w:ascii="Times New Roman" w:hAnsi="Times New Roman" w:eastAsia="宋体" w:cs="Times New Roman"/>
                <w:b/>
                <w:bCs/>
                <w:color w:val="000000" w:themeColor="text1"/>
                <w:sz w:val="24"/>
                <w:highlight w:val="none"/>
                <w14:textFill>
                  <w14:solidFill>
                    <w14:schemeClr w14:val="tx1"/>
                  </w14:solidFill>
                </w14:textFill>
              </w:rPr>
              <w:t>4.1噪声源强分析</w:t>
            </w:r>
          </w:p>
          <w:p w14:paraId="382117FB">
            <w:pPr>
              <w:pStyle w:val="54"/>
              <w:keepNext w:val="0"/>
              <w:keepLines w:val="0"/>
              <w:pageBreakBefore w:val="0"/>
              <w:widowControl w:val="0"/>
              <w:kinsoku/>
              <w:wordWrap/>
              <w:overflowPunct/>
              <w:topLinePunct w:val="0"/>
              <w:bidi w:val="0"/>
              <w:spacing w:line="360" w:lineRule="auto"/>
              <w:ind w:firstLine="480" w:firstLineChars="200"/>
              <w:jc w:val="both"/>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本项目噪声主要来源于</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空分、风机、各种泵、打散机、粉磨机</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、包装机</w:t>
            </w:r>
            <w:r>
              <w:rPr>
                <w:rFonts w:hint="default" w:ascii="Times New Roman" w:hAnsi="Times New Roman" w:eastAsia="宋体" w:cs="Times New Roman"/>
                <w:color w:val="000000" w:themeColor="text1"/>
                <w:sz w:val="24"/>
                <w:szCs w:val="24"/>
                <w:highlight w:val="none"/>
                <w14:textFill>
                  <w14:solidFill>
                    <w14:schemeClr w14:val="tx1"/>
                  </w14:solidFill>
                </w14:textFill>
              </w:rPr>
              <w:t>等设备的运行过程，噪声源强范围在70～90dB</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A</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，主要噪声源强详见下表。</w:t>
            </w:r>
          </w:p>
          <w:p w14:paraId="799EAB56">
            <w:pPr>
              <w:ind w:firstLine="482" w:firstLineChars="200"/>
              <w:jc w:val="center"/>
              <w:rPr>
                <w:rFonts w:hint="default" w:ascii="Times New Roman" w:hAnsi="Times New Roman" w:eastAsia="仿宋" w:cs="Times New Roman"/>
                <w:b/>
                <w:bCs/>
                <w:color w:val="000000" w:themeColor="text1"/>
                <w:sz w:val="24"/>
                <w:highlight w:val="none"/>
                <w14:textFill>
                  <w14:solidFill>
                    <w14:schemeClr w14:val="tx1"/>
                  </w14:solidFill>
                </w14:textFill>
              </w:rPr>
            </w:pPr>
            <w:r>
              <w:rPr>
                <w:rFonts w:hint="default" w:ascii="Times New Roman" w:hAnsi="Times New Roman" w:eastAsia="宋体" w:cs="Times New Roman"/>
                <w:b/>
                <w:color w:val="000000" w:themeColor="text1"/>
                <w:sz w:val="24"/>
                <w:highlight w:val="none"/>
                <w14:textFill>
                  <w14:solidFill>
                    <w14:schemeClr w14:val="tx1"/>
                  </w14:solidFill>
                </w14:textFill>
              </w:rPr>
              <w:t>表</w:t>
            </w:r>
            <w:r>
              <w:rPr>
                <w:rFonts w:hint="default" w:ascii="Times New Roman" w:hAnsi="Times New Roman" w:eastAsia="宋体" w:cs="Times New Roman"/>
                <w:b/>
                <w:color w:val="000000" w:themeColor="text1"/>
                <w:sz w:val="24"/>
                <w:highlight w:val="none"/>
                <w:lang w:val="en-US" w:eastAsia="zh-CN"/>
                <w14:textFill>
                  <w14:solidFill>
                    <w14:schemeClr w14:val="tx1"/>
                  </w14:solidFill>
                </w14:textFill>
              </w:rPr>
              <w:t>4-</w:t>
            </w:r>
            <w:r>
              <w:rPr>
                <w:rFonts w:hint="eastAsia" w:cs="Times New Roman"/>
                <w:b/>
                <w:color w:val="000000" w:themeColor="text1"/>
                <w:sz w:val="24"/>
                <w:highlight w:val="none"/>
                <w:lang w:val="en-US" w:eastAsia="zh-CN"/>
                <w14:textFill>
                  <w14:solidFill>
                    <w14:schemeClr w14:val="tx1"/>
                  </w14:solidFill>
                </w14:textFill>
              </w:rPr>
              <w:t>20</w:t>
            </w:r>
            <w:r>
              <w:rPr>
                <w:rFonts w:hint="default" w:ascii="Times New Roman" w:hAnsi="Times New Roman" w:eastAsia="宋体" w:cs="Times New Roman"/>
                <w:b/>
                <w:color w:val="000000" w:themeColor="text1"/>
                <w:sz w:val="24"/>
                <w:highlight w:val="none"/>
                <w14:textFill>
                  <w14:solidFill>
                    <w14:schemeClr w14:val="tx1"/>
                  </w14:solidFill>
                </w14:textFill>
              </w:rPr>
              <w:t>主</w:t>
            </w:r>
            <w:r>
              <w:rPr>
                <w:rFonts w:hint="default" w:ascii="Times New Roman" w:hAnsi="Times New Roman" w:cs="Times New Roman"/>
                <w:b/>
                <w:color w:val="000000" w:themeColor="text1"/>
                <w:sz w:val="24"/>
                <w:highlight w:val="none"/>
                <w14:textFill>
                  <w14:solidFill>
                    <w14:schemeClr w14:val="tx1"/>
                  </w14:solidFill>
                </w14:textFill>
              </w:rPr>
              <w:t>要设备噪声源强一览表</w:t>
            </w:r>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7"/>
              <w:gridCol w:w="1868"/>
              <w:gridCol w:w="1808"/>
              <w:gridCol w:w="1762"/>
              <w:gridCol w:w="2071"/>
            </w:tblGrid>
            <w:tr w14:paraId="7DDCB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pct"/>
                  <w:gridSpan w:val="2"/>
                  <w:noWrap w:val="0"/>
                  <w:vAlign w:val="center"/>
                </w:tcPr>
                <w:p w14:paraId="34B138DC">
                  <w:pPr>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噪声源及排放点</w:t>
                  </w:r>
                </w:p>
              </w:tc>
              <w:tc>
                <w:tcPr>
                  <w:tcW w:w="1137" w:type="pct"/>
                  <w:noWrap w:val="0"/>
                  <w:vAlign w:val="top"/>
                </w:tcPr>
                <w:p w14:paraId="51D2A659">
                  <w:pPr>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声源声级dB（A）</w:t>
                  </w:r>
                </w:p>
              </w:tc>
              <w:tc>
                <w:tcPr>
                  <w:tcW w:w="1108" w:type="pct"/>
                  <w:noWrap w:val="0"/>
                  <w:vAlign w:val="center"/>
                </w:tcPr>
                <w:p w14:paraId="1E20395A">
                  <w:pPr>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治理措施</w:t>
                  </w:r>
                </w:p>
              </w:tc>
              <w:tc>
                <w:tcPr>
                  <w:tcW w:w="1302" w:type="pct"/>
                  <w:noWrap w:val="0"/>
                  <w:vAlign w:val="center"/>
                </w:tcPr>
                <w:p w14:paraId="5FD68619">
                  <w:pPr>
                    <w:jc w:val="both"/>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降噪后源强dB（A）</w:t>
                  </w:r>
                </w:p>
              </w:tc>
            </w:tr>
            <w:tr w14:paraId="7BDFE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275" w:type="pct"/>
                  <w:vMerge w:val="restart"/>
                  <w:noWrap w:val="0"/>
                  <w:vAlign w:val="center"/>
                </w:tcPr>
                <w:p w14:paraId="2A0FD1A5">
                  <w:pPr>
                    <w:spacing w:line="240" w:lineRule="exact"/>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生产</w:t>
                  </w:r>
                </w:p>
                <w:p w14:paraId="79ACD8F8">
                  <w:pPr>
                    <w:spacing w:line="240" w:lineRule="exact"/>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装置</w:t>
                  </w:r>
                </w:p>
              </w:tc>
              <w:tc>
                <w:tcPr>
                  <w:tcW w:w="1175" w:type="pct"/>
                  <w:noWrap w:val="0"/>
                  <w:vAlign w:val="center"/>
                </w:tcPr>
                <w:p w14:paraId="69ED5F7D">
                  <w:pPr>
                    <w:pStyle w:val="85"/>
                    <w:rPr>
                      <w:rFonts w:hint="default" w:ascii="Times New Roman" w:hAnsi="Times New Roman" w:eastAsia="宋体" w:cs="Times New Roman"/>
                      <w:b w:val="0"/>
                      <w:bCs w:val="0"/>
                      <w:color w:val="000000" w:themeColor="text1"/>
                      <w:kern w:val="28"/>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28"/>
                      <w:sz w:val="21"/>
                      <w:szCs w:val="21"/>
                      <w:highlight w:val="none"/>
                      <w:lang w:val="en-US" w:eastAsia="zh-CN"/>
                      <w14:textFill>
                        <w14:solidFill>
                          <w14:schemeClr w14:val="tx1"/>
                        </w14:solidFill>
                      </w14:textFill>
                    </w:rPr>
                    <w:t>风机</w:t>
                  </w:r>
                </w:p>
              </w:tc>
              <w:tc>
                <w:tcPr>
                  <w:tcW w:w="1137" w:type="pct"/>
                  <w:noWrap w:val="0"/>
                  <w:vAlign w:val="center"/>
                </w:tcPr>
                <w:p w14:paraId="22778683">
                  <w:pPr>
                    <w:autoSpaceDE w:val="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90</w:t>
                  </w:r>
                </w:p>
              </w:tc>
              <w:tc>
                <w:tcPr>
                  <w:tcW w:w="1108" w:type="pct"/>
                  <w:vMerge w:val="restart"/>
                  <w:noWrap w:val="0"/>
                  <w:vAlign w:val="center"/>
                </w:tcPr>
                <w:p w14:paraId="564D0764">
                  <w:pPr>
                    <w:widowControl/>
                    <w:jc w:val="center"/>
                    <w:rPr>
                      <w:rFonts w:hint="default" w:ascii="Times New Roman" w:hAnsi="Times New Roman" w:cs="Times New Roman"/>
                      <w:b w:val="0"/>
                      <w:bCs w:val="0"/>
                      <w:color w:val="000000" w:themeColor="text1"/>
                      <w:kern w:val="0"/>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厂房隔声、基础减震、消声器</w:t>
                  </w:r>
                </w:p>
              </w:tc>
              <w:tc>
                <w:tcPr>
                  <w:tcW w:w="1302" w:type="pct"/>
                  <w:noWrap w:val="0"/>
                  <w:vAlign w:val="center"/>
                </w:tcPr>
                <w:p w14:paraId="035D474A">
                  <w:pPr>
                    <w:pStyle w:val="108"/>
                    <w:widowControl w:val="0"/>
                    <w:autoSpaceDE w:val="0"/>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70</w:t>
                  </w:r>
                </w:p>
              </w:tc>
            </w:tr>
            <w:tr w14:paraId="26375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275" w:type="pct"/>
                  <w:vMerge w:val="continue"/>
                  <w:noWrap w:val="0"/>
                  <w:vAlign w:val="center"/>
                </w:tcPr>
                <w:p w14:paraId="520C133B">
                  <w:pPr>
                    <w:spacing w:line="240" w:lineRule="exact"/>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p>
              </w:tc>
              <w:tc>
                <w:tcPr>
                  <w:tcW w:w="1175" w:type="pct"/>
                  <w:noWrap w:val="0"/>
                  <w:vAlign w:val="center"/>
                </w:tcPr>
                <w:p w14:paraId="21480D9D">
                  <w:pPr>
                    <w:pStyle w:val="85"/>
                    <w:rPr>
                      <w:rFonts w:hint="default" w:ascii="Times New Roman" w:hAnsi="Times New Roman" w:eastAsia="宋体" w:cs="Times New Roman"/>
                      <w:b w:val="0"/>
                      <w:bCs w:val="0"/>
                      <w:color w:val="000000" w:themeColor="text1"/>
                      <w:kern w:val="28"/>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28"/>
                      <w:sz w:val="21"/>
                      <w:szCs w:val="21"/>
                      <w:highlight w:val="none"/>
                      <w:lang w:val="en-US" w:eastAsia="zh-CN"/>
                      <w14:textFill>
                        <w14:solidFill>
                          <w14:schemeClr w14:val="tx1"/>
                        </w14:solidFill>
                      </w14:textFill>
                    </w:rPr>
                    <w:t>空分</w:t>
                  </w:r>
                </w:p>
              </w:tc>
              <w:tc>
                <w:tcPr>
                  <w:tcW w:w="1137" w:type="pct"/>
                  <w:noWrap w:val="0"/>
                  <w:vAlign w:val="center"/>
                </w:tcPr>
                <w:p w14:paraId="7FC6A010">
                  <w:pPr>
                    <w:autoSpaceDE w:val="0"/>
                    <w:jc w:val="cente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95</w:t>
                  </w:r>
                </w:p>
              </w:tc>
              <w:tc>
                <w:tcPr>
                  <w:tcW w:w="1108" w:type="pct"/>
                  <w:vMerge w:val="continue"/>
                  <w:noWrap w:val="0"/>
                  <w:vAlign w:val="center"/>
                </w:tcPr>
                <w:p w14:paraId="1F732A31">
                  <w:pPr>
                    <w:widowControl/>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p>
              </w:tc>
              <w:tc>
                <w:tcPr>
                  <w:tcW w:w="1302" w:type="pct"/>
                  <w:noWrap w:val="0"/>
                  <w:vAlign w:val="center"/>
                </w:tcPr>
                <w:p w14:paraId="53905BE0">
                  <w:pPr>
                    <w:pStyle w:val="108"/>
                    <w:widowControl w:val="0"/>
                    <w:autoSpaceDE w:val="0"/>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75</w:t>
                  </w:r>
                </w:p>
              </w:tc>
            </w:tr>
            <w:tr w14:paraId="6CDCC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 w:type="pct"/>
                  <w:vMerge w:val="continue"/>
                  <w:noWrap w:val="0"/>
                  <w:vAlign w:val="center"/>
                </w:tcPr>
                <w:p w14:paraId="535F6C64">
                  <w:pPr>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p>
              </w:tc>
              <w:tc>
                <w:tcPr>
                  <w:tcW w:w="1175" w:type="pct"/>
                  <w:noWrap w:val="0"/>
                  <w:vAlign w:val="center"/>
                </w:tcPr>
                <w:p w14:paraId="5D7A00A2">
                  <w:pPr>
                    <w:pStyle w:val="85"/>
                    <w:rPr>
                      <w:rFonts w:hint="default" w:ascii="Times New Roman" w:hAnsi="Times New Roman" w:eastAsia="宋体" w:cs="Times New Roman"/>
                      <w:b w:val="0"/>
                      <w:bCs w:val="0"/>
                      <w:color w:val="000000" w:themeColor="text1"/>
                      <w:kern w:val="2"/>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highlight w:val="none"/>
                      <w:lang w:val="en-US" w:eastAsia="zh-CN"/>
                      <w14:textFill>
                        <w14:solidFill>
                          <w14:schemeClr w14:val="tx1"/>
                        </w14:solidFill>
                      </w14:textFill>
                    </w:rPr>
                    <w:t>各种泵</w:t>
                  </w:r>
                </w:p>
              </w:tc>
              <w:tc>
                <w:tcPr>
                  <w:tcW w:w="1137" w:type="pct"/>
                  <w:noWrap w:val="0"/>
                  <w:vAlign w:val="center"/>
                </w:tcPr>
                <w:p w14:paraId="13BE85DA">
                  <w:pPr>
                    <w:autoSpaceDE w:val="0"/>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90</w:t>
                  </w:r>
                </w:p>
              </w:tc>
              <w:tc>
                <w:tcPr>
                  <w:tcW w:w="1108" w:type="pct"/>
                  <w:vMerge w:val="continue"/>
                  <w:noWrap w:val="0"/>
                  <w:vAlign w:val="center"/>
                </w:tcPr>
                <w:p w14:paraId="081930B6">
                  <w:pPr>
                    <w:jc w:val="center"/>
                    <w:rPr>
                      <w:rFonts w:hint="default" w:ascii="Times New Roman" w:hAnsi="Times New Roman" w:cs="Times New Roman"/>
                      <w:b w:val="0"/>
                      <w:bCs w:val="0"/>
                      <w:color w:val="000000" w:themeColor="text1"/>
                      <w:kern w:val="0"/>
                      <w:sz w:val="21"/>
                      <w:szCs w:val="21"/>
                      <w:highlight w:val="none"/>
                      <w14:textFill>
                        <w14:solidFill>
                          <w14:schemeClr w14:val="tx1"/>
                        </w14:solidFill>
                      </w14:textFill>
                    </w:rPr>
                  </w:pPr>
                </w:p>
              </w:tc>
              <w:tc>
                <w:tcPr>
                  <w:tcW w:w="1302" w:type="pct"/>
                  <w:noWrap w:val="0"/>
                  <w:vAlign w:val="center"/>
                </w:tcPr>
                <w:p w14:paraId="54E66113">
                  <w:pPr>
                    <w:pStyle w:val="108"/>
                    <w:widowControl w:val="0"/>
                    <w:autoSpaceDE w:val="0"/>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70</w:t>
                  </w:r>
                </w:p>
              </w:tc>
            </w:tr>
            <w:tr w14:paraId="28C08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 w:type="pct"/>
                  <w:vMerge w:val="continue"/>
                  <w:noWrap w:val="0"/>
                  <w:vAlign w:val="center"/>
                </w:tcPr>
                <w:p w14:paraId="18AD5666">
                  <w:pPr>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p>
              </w:tc>
              <w:tc>
                <w:tcPr>
                  <w:tcW w:w="1175" w:type="pct"/>
                  <w:noWrap w:val="0"/>
                  <w:vAlign w:val="center"/>
                </w:tcPr>
                <w:p w14:paraId="6E291390">
                  <w:pPr>
                    <w:pStyle w:val="85"/>
                    <w:rPr>
                      <w:rFonts w:hint="default" w:ascii="Times New Roman" w:hAnsi="Times New Roman" w:eastAsia="宋体" w:cs="Times New Roman"/>
                      <w:b w:val="0"/>
                      <w:bCs w:val="0"/>
                      <w:color w:val="000000" w:themeColor="text1"/>
                      <w:kern w:val="2"/>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highlight w:val="none"/>
                      <w:lang w:val="en-US" w:eastAsia="zh-CN"/>
                      <w14:textFill>
                        <w14:solidFill>
                          <w14:schemeClr w14:val="tx1"/>
                        </w14:solidFill>
                      </w14:textFill>
                    </w:rPr>
                    <w:t>打散机</w:t>
                  </w:r>
                </w:p>
              </w:tc>
              <w:tc>
                <w:tcPr>
                  <w:tcW w:w="1137" w:type="pct"/>
                  <w:noWrap w:val="0"/>
                  <w:vAlign w:val="center"/>
                </w:tcPr>
                <w:p w14:paraId="64C70FA7">
                  <w:pPr>
                    <w:autoSpaceDE w:val="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75</w:t>
                  </w:r>
                </w:p>
              </w:tc>
              <w:tc>
                <w:tcPr>
                  <w:tcW w:w="1108" w:type="pct"/>
                  <w:vMerge w:val="continue"/>
                  <w:noWrap w:val="0"/>
                  <w:vAlign w:val="center"/>
                </w:tcPr>
                <w:p w14:paraId="0CF1D13B">
                  <w:pPr>
                    <w:jc w:val="center"/>
                    <w:rPr>
                      <w:rFonts w:hint="default" w:ascii="Times New Roman" w:hAnsi="Times New Roman" w:cs="Times New Roman"/>
                      <w:b w:val="0"/>
                      <w:bCs w:val="0"/>
                      <w:color w:val="000000" w:themeColor="text1"/>
                      <w:kern w:val="0"/>
                      <w:sz w:val="21"/>
                      <w:szCs w:val="21"/>
                      <w:highlight w:val="none"/>
                      <w14:textFill>
                        <w14:solidFill>
                          <w14:schemeClr w14:val="tx1"/>
                        </w14:solidFill>
                      </w14:textFill>
                    </w:rPr>
                  </w:pPr>
                </w:p>
              </w:tc>
              <w:tc>
                <w:tcPr>
                  <w:tcW w:w="1302" w:type="pct"/>
                  <w:noWrap w:val="0"/>
                  <w:vAlign w:val="center"/>
                </w:tcPr>
                <w:p w14:paraId="4C209AD5">
                  <w:pPr>
                    <w:pStyle w:val="108"/>
                    <w:widowControl w:val="0"/>
                    <w:autoSpaceDE w:val="0"/>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55</w:t>
                  </w:r>
                </w:p>
              </w:tc>
            </w:tr>
            <w:tr w14:paraId="7BAC0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 w:type="pct"/>
                  <w:vMerge w:val="continue"/>
                  <w:noWrap w:val="0"/>
                  <w:vAlign w:val="center"/>
                </w:tcPr>
                <w:p w14:paraId="7F252369">
                  <w:pPr>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p>
              </w:tc>
              <w:tc>
                <w:tcPr>
                  <w:tcW w:w="1175" w:type="pct"/>
                  <w:noWrap w:val="0"/>
                  <w:vAlign w:val="center"/>
                </w:tcPr>
                <w:p w14:paraId="4AA336CD">
                  <w:pPr>
                    <w:pStyle w:val="85"/>
                    <w:rPr>
                      <w:rFonts w:hint="default" w:ascii="Times New Roman" w:hAnsi="Times New Roman" w:eastAsia="宋体" w:cs="Times New Roman"/>
                      <w:b w:val="0"/>
                      <w:bCs w:val="0"/>
                      <w:color w:val="000000" w:themeColor="text1"/>
                      <w:kern w:val="2"/>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highlight w:val="none"/>
                      <w:lang w:val="en-US" w:eastAsia="zh-CN"/>
                      <w14:textFill>
                        <w14:solidFill>
                          <w14:schemeClr w14:val="tx1"/>
                        </w14:solidFill>
                      </w14:textFill>
                    </w:rPr>
                    <w:t>粉磨机</w:t>
                  </w:r>
                </w:p>
              </w:tc>
              <w:tc>
                <w:tcPr>
                  <w:tcW w:w="1137" w:type="pct"/>
                  <w:noWrap w:val="0"/>
                  <w:vAlign w:val="center"/>
                </w:tcPr>
                <w:p w14:paraId="5D51AC8D">
                  <w:pPr>
                    <w:autoSpaceDE w:val="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85</w:t>
                  </w:r>
                </w:p>
              </w:tc>
              <w:tc>
                <w:tcPr>
                  <w:tcW w:w="1108" w:type="pct"/>
                  <w:vMerge w:val="continue"/>
                  <w:noWrap w:val="0"/>
                  <w:vAlign w:val="center"/>
                </w:tcPr>
                <w:p w14:paraId="7331483A">
                  <w:pPr>
                    <w:jc w:val="center"/>
                    <w:rPr>
                      <w:rFonts w:hint="default" w:ascii="Times New Roman" w:hAnsi="Times New Roman" w:cs="Times New Roman"/>
                      <w:b w:val="0"/>
                      <w:bCs w:val="0"/>
                      <w:color w:val="000000" w:themeColor="text1"/>
                      <w:kern w:val="0"/>
                      <w:sz w:val="21"/>
                      <w:szCs w:val="21"/>
                      <w:highlight w:val="none"/>
                      <w14:textFill>
                        <w14:solidFill>
                          <w14:schemeClr w14:val="tx1"/>
                        </w14:solidFill>
                      </w14:textFill>
                    </w:rPr>
                  </w:pPr>
                </w:p>
              </w:tc>
              <w:tc>
                <w:tcPr>
                  <w:tcW w:w="1302" w:type="pct"/>
                  <w:noWrap w:val="0"/>
                  <w:vAlign w:val="center"/>
                </w:tcPr>
                <w:p w14:paraId="58882B52">
                  <w:pPr>
                    <w:pStyle w:val="108"/>
                    <w:widowControl w:val="0"/>
                    <w:autoSpaceDE w:val="0"/>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65</w:t>
                  </w:r>
                </w:p>
              </w:tc>
            </w:tr>
            <w:tr w14:paraId="26BDE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 w:type="pct"/>
                  <w:vMerge w:val="continue"/>
                  <w:noWrap w:val="0"/>
                  <w:vAlign w:val="center"/>
                </w:tcPr>
                <w:p w14:paraId="68597E2A">
                  <w:pPr>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p>
              </w:tc>
              <w:tc>
                <w:tcPr>
                  <w:tcW w:w="1175" w:type="pct"/>
                  <w:noWrap w:val="0"/>
                  <w:vAlign w:val="center"/>
                </w:tcPr>
                <w:p w14:paraId="1A58D9F5">
                  <w:pPr>
                    <w:pStyle w:val="85"/>
                    <w:rPr>
                      <w:rFonts w:hint="default" w:ascii="Times New Roman" w:hAnsi="Times New Roman" w:eastAsia="宋体" w:cs="Times New Roman"/>
                      <w:b w:val="0"/>
                      <w:bCs w:val="0"/>
                      <w:color w:val="000000" w:themeColor="text1"/>
                      <w:kern w:val="2"/>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highlight w:val="none"/>
                      <w:lang w:val="en-US" w:eastAsia="zh-CN"/>
                      <w14:textFill>
                        <w14:solidFill>
                          <w14:schemeClr w14:val="tx1"/>
                        </w14:solidFill>
                      </w14:textFill>
                    </w:rPr>
                    <w:t>包装</w:t>
                  </w:r>
                  <w:r>
                    <w:rPr>
                      <w:rFonts w:hint="eastAsia" w:ascii="Times New Roman" w:hAnsi="Times New Roman" w:cs="Times New Roman"/>
                      <w:b w:val="0"/>
                      <w:bCs w:val="0"/>
                      <w:color w:val="000000" w:themeColor="text1"/>
                      <w:kern w:val="2"/>
                      <w:sz w:val="21"/>
                      <w:szCs w:val="21"/>
                      <w:highlight w:val="none"/>
                      <w:lang w:val="en-US" w:eastAsia="zh-CN"/>
                      <w14:textFill>
                        <w14:solidFill>
                          <w14:schemeClr w14:val="tx1"/>
                        </w14:solidFill>
                      </w14:textFill>
                    </w:rPr>
                    <w:t>机</w:t>
                  </w:r>
                </w:p>
              </w:tc>
              <w:tc>
                <w:tcPr>
                  <w:tcW w:w="1137" w:type="pct"/>
                  <w:noWrap w:val="0"/>
                  <w:vAlign w:val="center"/>
                </w:tcPr>
                <w:p w14:paraId="4505FBFA">
                  <w:pPr>
                    <w:autoSpaceDE w:val="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80</w:t>
                  </w:r>
                </w:p>
              </w:tc>
              <w:tc>
                <w:tcPr>
                  <w:tcW w:w="1108" w:type="pct"/>
                  <w:vMerge w:val="continue"/>
                  <w:noWrap w:val="0"/>
                  <w:vAlign w:val="center"/>
                </w:tcPr>
                <w:p w14:paraId="7E406AB1">
                  <w:pPr>
                    <w:jc w:val="center"/>
                    <w:rPr>
                      <w:rFonts w:hint="default" w:ascii="Times New Roman" w:hAnsi="Times New Roman" w:cs="Times New Roman"/>
                      <w:b w:val="0"/>
                      <w:bCs w:val="0"/>
                      <w:color w:val="000000" w:themeColor="text1"/>
                      <w:kern w:val="0"/>
                      <w:sz w:val="21"/>
                      <w:szCs w:val="21"/>
                      <w:highlight w:val="none"/>
                      <w14:textFill>
                        <w14:solidFill>
                          <w14:schemeClr w14:val="tx1"/>
                        </w14:solidFill>
                      </w14:textFill>
                    </w:rPr>
                  </w:pPr>
                </w:p>
              </w:tc>
              <w:tc>
                <w:tcPr>
                  <w:tcW w:w="1302" w:type="pct"/>
                  <w:noWrap w:val="0"/>
                  <w:vAlign w:val="center"/>
                </w:tcPr>
                <w:p w14:paraId="75DC3FBA">
                  <w:pPr>
                    <w:pStyle w:val="108"/>
                    <w:widowControl w:val="0"/>
                    <w:autoSpaceDE w:val="0"/>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60</w:t>
                  </w:r>
                </w:p>
              </w:tc>
            </w:tr>
          </w:tbl>
          <w:p w14:paraId="5B59B7E2">
            <w:pPr>
              <w:keepNext w:val="0"/>
              <w:keepLines w:val="0"/>
              <w:pageBreakBefore w:val="0"/>
              <w:widowControl w:val="0"/>
              <w:kinsoku/>
              <w:wordWrap/>
              <w:overflowPunct/>
              <w:topLinePunct w:val="0"/>
              <w:bidi w:val="0"/>
              <w:snapToGrid w:val="0"/>
              <w:spacing w:line="360" w:lineRule="auto"/>
              <w:ind w:firstLine="482"/>
              <w:jc w:val="both"/>
              <w:outlineLvl w:val="3"/>
              <w:rPr>
                <w:rFonts w:hint="default" w:ascii="Times New Roman" w:hAnsi="Times New Roman" w:eastAsia="宋体" w:cs="Times New Roman"/>
                <w:b/>
                <w:bCs/>
                <w:color w:val="000000" w:themeColor="text1"/>
                <w:sz w:val="24"/>
                <w:highlight w:val="none"/>
                <w14:textFill>
                  <w14:solidFill>
                    <w14:schemeClr w14:val="tx1"/>
                  </w14:solidFill>
                </w14:textFill>
              </w:rPr>
            </w:pPr>
            <w:r>
              <w:rPr>
                <w:rFonts w:hint="default" w:ascii="Times New Roman" w:hAnsi="Times New Roman" w:eastAsia="宋体" w:cs="Times New Roman"/>
                <w:b/>
                <w:bCs/>
                <w:color w:val="000000" w:themeColor="text1"/>
                <w:sz w:val="24"/>
                <w:highlight w:val="none"/>
                <w14:textFill>
                  <w14:solidFill>
                    <w14:schemeClr w14:val="tx1"/>
                  </w14:solidFill>
                </w14:textFill>
              </w:rPr>
              <w:t>4.2噪声预测及影响分析</w:t>
            </w:r>
          </w:p>
          <w:p w14:paraId="0CF1AA7D">
            <w:pPr>
              <w:keepNext w:val="0"/>
              <w:keepLines w:val="0"/>
              <w:pageBreakBefore w:val="0"/>
              <w:widowControl w:val="0"/>
              <w:kinsoku/>
              <w:wordWrap/>
              <w:overflowPunct/>
              <w:topLinePunct w:val="0"/>
              <w:bidi w:val="0"/>
              <w:snapToGrid w:val="0"/>
              <w:spacing w:line="360" w:lineRule="auto"/>
              <w:ind w:firstLine="482"/>
              <w:jc w:val="both"/>
              <w:outlineLvl w:val="3"/>
              <w:rPr>
                <w:rFonts w:hint="default" w:ascii="Times New Roman" w:hAnsi="Times New Roman" w:eastAsia="宋体" w:cs="Times New Roman"/>
                <w:b w:val="0"/>
                <w:bCs w:val="0"/>
                <w:color w:val="000000" w:themeColor="text1"/>
                <w:sz w:val="24"/>
                <w:highlight w:val="none"/>
                <w14:textFill>
                  <w14:solidFill>
                    <w14:schemeClr w14:val="tx1"/>
                  </w14:solidFill>
                </w14:textFill>
              </w:rPr>
            </w:pPr>
            <w:r>
              <w:rPr>
                <w:rFonts w:hint="default" w:ascii="Times New Roman" w:hAnsi="Times New Roman" w:eastAsia="宋体" w:cs="Times New Roman"/>
                <w:b w:val="0"/>
                <w:bCs w:val="0"/>
                <w:color w:val="000000" w:themeColor="text1"/>
                <w:sz w:val="24"/>
                <w:highlight w:val="none"/>
                <w14:textFill>
                  <w14:solidFill>
                    <w14:schemeClr w14:val="tx1"/>
                  </w14:solidFill>
                </w14:textFill>
              </w:rPr>
              <w:t>本项目噪声预测模式采用《环境影响评价技术导则</w:t>
            </w:r>
            <w:r>
              <w:rPr>
                <w:rFonts w:hint="eastAsia" w:cs="Times New Roman"/>
                <w:b w:val="0"/>
                <w:bCs w:val="0"/>
                <w:color w:val="000000" w:themeColor="text1"/>
                <w:sz w:val="24"/>
                <w:highlight w:val="none"/>
                <w:lang w:val="en-US" w:eastAsia="zh-CN"/>
                <w14:textFill>
                  <w14:solidFill>
                    <w14:schemeClr w14:val="tx1"/>
                  </w14:solidFill>
                </w14:textFill>
              </w:rPr>
              <w:t xml:space="preserve"> </w:t>
            </w:r>
            <w:r>
              <w:rPr>
                <w:rFonts w:hint="default" w:ascii="Times New Roman" w:hAnsi="Times New Roman" w:eastAsia="宋体" w:cs="Times New Roman"/>
                <w:b w:val="0"/>
                <w:bCs w:val="0"/>
                <w:color w:val="000000" w:themeColor="text1"/>
                <w:sz w:val="24"/>
                <w:highlight w:val="none"/>
                <w14:textFill>
                  <w14:solidFill>
                    <w14:schemeClr w14:val="tx1"/>
                  </w14:solidFill>
                </w14:textFill>
              </w:rPr>
              <w:t>声环境》（HJ2.4-20</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21</w:t>
            </w:r>
            <w:r>
              <w:rPr>
                <w:rFonts w:hint="default" w:ascii="Times New Roman" w:hAnsi="Times New Roman" w:eastAsia="宋体" w:cs="Times New Roman"/>
                <w:b w:val="0"/>
                <w:bCs w:val="0"/>
                <w:color w:val="000000" w:themeColor="text1"/>
                <w:sz w:val="24"/>
                <w:highlight w:val="none"/>
                <w14:textFill>
                  <w14:solidFill>
                    <w14:schemeClr w14:val="tx1"/>
                  </w14:solidFill>
                </w14:textFill>
              </w:rPr>
              <w:t>）中推荐的噪声预测模式。</w:t>
            </w:r>
          </w:p>
          <w:p w14:paraId="248AAA70">
            <w:pPr>
              <w:adjustRightInd w:val="0"/>
              <w:snapToGrid w:val="0"/>
              <w:spacing w:line="360" w:lineRule="auto"/>
              <w:ind w:firstLine="480" w:firstLineChars="200"/>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lang w:eastAsia="zh-CN"/>
                <w14:textFill>
                  <w14:solidFill>
                    <w14:schemeClr w14:val="tx1"/>
                  </w14:solidFill>
                </w14:textFill>
              </w:rPr>
              <w:t>采用</w:t>
            </w:r>
            <w:r>
              <w:rPr>
                <w:rFonts w:hint="default" w:ascii="Times New Roman" w:hAnsi="Times New Roman" w:cs="Times New Roman"/>
                <w:color w:val="000000" w:themeColor="text1"/>
                <w:sz w:val="24"/>
                <w:highlight w:val="none"/>
                <w14:textFill>
                  <w14:solidFill>
                    <w14:schemeClr w14:val="tx1"/>
                  </w14:solidFill>
                </w14:textFill>
              </w:rPr>
              <w:t>《环境影响评价技术导则声环境》（HJT2.4-20</w:t>
            </w:r>
            <w:r>
              <w:rPr>
                <w:rFonts w:hint="default" w:ascii="Times New Roman" w:hAnsi="Times New Roman" w:cs="Times New Roman"/>
                <w:color w:val="000000" w:themeColor="text1"/>
                <w:sz w:val="24"/>
                <w:highlight w:val="none"/>
                <w:lang w:val="en-US" w:eastAsia="zh-CN"/>
                <w14:textFill>
                  <w14:solidFill>
                    <w14:schemeClr w14:val="tx1"/>
                  </w14:solidFill>
                </w14:textFill>
              </w:rPr>
              <w:t>21</w:t>
            </w:r>
            <w:r>
              <w:rPr>
                <w:rFonts w:hint="default" w:ascii="Times New Roman" w:hAnsi="Times New Roman" w:cs="Times New Roman"/>
                <w:color w:val="000000" w:themeColor="text1"/>
                <w:sz w:val="24"/>
                <w:highlight w:val="none"/>
                <w14:textFill>
                  <w14:solidFill>
                    <w14:schemeClr w14:val="tx1"/>
                  </w14:solidFill>
                </w14:textFill>
              </w:rPr>
              <w:t>）中工业噪声预测模式。</w:t>
            </w:r>
          </w:p>
          <w:p w14:paraId="6535DA5E">
            <w:pPr>
              <w:adjustRightInd w:val="0"/>
              <w:snapToGrid w:val="0"/>
              <w:spacing w:line="360" w:lineRule="auto"/>
              <w:ind w:left="420"/>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①单个室外点声源在预测点产生的声级计算基本公式</w:t>
            </w:r>
          </w:p>
          <w:p w14:paraId="434E49EF">
            <w:pPr>
              <w:adjustRightInd w:val="0"/>
              <w:snapToGrid w:val="0"/>
              <w:spacing w:line="360" w:lineRule="auto"/>
              <w:ind w:firstLine="480" w:firstLineChars="200"/>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如已知声源的倍频带声功率级，预测点位置的倍频带声压级Lp（r）可按公式（1）计算：</w:t>
            </w:r>
          </w:p>
          <w:p w14:paraId="16D47EE5">
            <w:pPr>
              <w:adjustRightInd w:val="0"/>
              <w:snapToGrid w:val="0"/>
              <w:spacing w:line="360" w:lineRule="auto"/>
              <w:ind w:firstLine="480" w:firstLineChars="200"/>
              <w:jc w:val="center"/>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drawing>
                <wp:inline distT="0" distB="0" distL="114300" distR="114300">
                  <wp:extent cx="2516505" cy="392430"/>
                  <wp:effectExtent l="0" t="0" r="17145" b="7620"/>
                  <wp:docPr id="52" name="图片 14" descr="截图_20213724053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14" descr="截图_20213724053732"/>
                          <pic:cNvPicPr>
                            <a:picLocks noChangeAspect="1"/>
                          </pic:cNvPicPr>
                        </pic:nvPicPr>
                        <pic:blipFill>
                          <a:blip r:embed="rId30"/>
                          <a:stretch>
                            <a:fillRect/>
                          </a:stretch>
                        </pic:blipFill>
                        <pic:spPr>
                          <a:xfrm>
                            <a:off x="0" y="0"/>
                            <a:ext cx="2516505" cy="392430"/>
                          </a:xfrm>
                          <a:prstGeom prst="rect">
                            <a:avLst/>
                          </a:prstGeom>
                          <a:noFill/>
                          <a:ln>
                            <a:noFill/>
                          </a:ln>
                        </pic:spPr>
                      </pic:pic>
                    </a:graphicData>
                  </a:graphic>
                </wp:inline>
              </w:drawing>
            </w:r>
          </w:p>
          <w:p w14:paraId="68B3D57B">
            <w:pPr>
              <w:adjustRightInd w:val="0"/>
              <w:snapToGrid w:val="0"/>
              <w:spacing w:line="360" w:lineRule="auto"/>
              <w:ind w:firstLine="480" w:firstLineChars="200"/>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式中：</w:t>
            </w:r>
          </w:p>
          <w:p w14:paraId="4A50AA3C">
            <w:pPr>
              <w:adjustRightInd w:val="0"/>
              <w:snapToGrid w:val="0"/>
              <w:spacing w:line="360" w:lineRule="auto"/>
              <w:ind w:firstLine="480" w:firstLineChars="200"/>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Lw—倍频带声功率级，dB；</w:t>
            </w:r>
          </w:p>
          <w:p w14:paraId="25D23C27">
            <w:pPr>
              <w:adjustRightInd w:val="0"/>
              <w:snapToGrid w:val="0"/>
              <w:spacing w:line="360" w:lineRule="auto"/>
              <w:ind w:firstLine="480" w:firstLineChars="200"/>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Dc—指向性校正，dB，对辐射到自由空间的全向点声源，为0；</w:t>
            </w:r>
          </w:p>
          <w:p w14:paraId="2D597C47">
            <w:pPr>
              <w:adjustRightInd w:val="0"/>
              <w:snapToGrid w:val="0"/>
              <w:spacing w:line="360" w:lineRule="auto"/>
              <w:ind w:firstLine="480" w:firstLineChars="200"/>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倍频带衰减，dB；</w:t>
            </w:r>
          </w:p>
          <w:p w14:paraId="05629B10">
            <w:pPr>
              <w:adjustRightInd w:val="0"/>
              <w:snapToGrid w:val="0"/>
              <w:spacing w:line="360" w:lineRule="auto"/>
              <w:ind w:firstLine="480" w:firstLineChars="200"/>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Adiv—几何发散引起的倍频带衰减，dB；</w:t>
            </w:r>
          </w:p>
          <w:p w14:paraId="546D0ED7">
            <w:pPr>
              <w:adjustRightInd w:val="0"/>
              <w:snapToGrid w:val="0"/>
              <w:spacing w:line="360" w:lineRule="auto"/>
              <w:ind w:firstLine="480" w:firstLineChars="200"/>
              <w:rPr>
                <w:rFonts w:hint="eastAsia" w:ascii="Times New Roman" w:hAnsi="Times New Roman" w:eastAsia="宋体" w:cs="Times New Roman"/>
                <w:color w:val="000000" w:themeColor="text1"/>
                <w:sz w:val="24"/>
                <w:highlight w:val="none"/>
                <w:lang w:eastAsia="zh-CN"/>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Aatm—大气吸收引起的倍频带衰减，dB；</w:t>
            </w:r>
          </w:p>
          <w:p w14:paraId="7452435A">
            <w:pPr>
              <w:adjustRightInd w:val="0"/>
              <w:snapToGrid w:val="0"/>
              <w:spacing w:line="360" w:lineRule="auto"/>
              <w:ind w:firstLine="480" w:firstLineChars="200"/>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Agr—地面效应吸收引起的倍频带衰减，dB；</w:t>
            </w:r>
          </w:p>
          <w:p w14:paraId="22D7A561">
            <w:pPr>
              <w:adjustRightInd w:val="0"/>
              <w:snapToGrid w:val="0"/>
              <w:spacing w:line="360" w:lineRule="auto"/>
              <w:ind w:firstLine="480" w:firstLineChars="200"/>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Abar—声屏障引起的倍频带衰减，dB；</w:t>
            </w:r>
          </w:p>
          <w:p w14:paraId="490E8546">
            <w:pPr>
              <w:adjustRightInd w:val="0"/>
              <w:snapToGrid w:val="0"/>
              <w:spacing w:line="360" w:lineRule="auto"/>
              <w:ind w:firstLine="480" w:firstLineChars="200"/>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Amisc—其他多方面效应引起的倍频带衰减，dB。</w:t>
            </w:r>
          </w:p>
          <w:p w14:paraId="45B5888F">
            <w:pPr>
              <w:adjustRightInd w:val="0"/>
              <w:snapToGrid w:val="0"/>
              <w:spacing w:line="360" w:lineRule="auto"/>
              <w:ind w:firstLine="480" w:firstLineChars="200"/>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如已知靠近声源处某点的倍频带声压级Lp（r0）时，相同方向预测点位置的倍频带声压级Lp（r）可按公式（2）计算：</w:t>
            </w:r>
          </w:p>
          <w:p w14:paraId="22BBD0C7">
            <w:pPr>
              <w:adjustRightInd w:val="0"/>
              <w:snapToGrid w:val="0"/>
              <w:spacing w:line="360" w:lineRule="auto"/>
              <w:ind w:firstLine="480" w:firstLineChars="200"/>
              <w:jc w:val="center"/>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drawing>
                <wp:inline distT="0" distB="0" distL="114300" distR="114300">
                  <wp:extent cx="2517775" cy="301625"/>
                  <wp:effectExtent l="0" t="0" r="9525" b="3175"/>
                  <wp:docPr id="53" name="图片 15" descr="截图_20210325110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15" descr="截图_20210325110311"/>
                          <pic:cNvPicPr>
                            <a:picLocks noChangeAspect="1"/>
                          </pic:cNvPicPr>
                        </pic:nvPicPr>
                        <pic:blipFill>
                          <a:blip r:embed="rId31"/>
                          <a:stretch>
                            <a:fillRect/>
                          </a:stretch>
                        </pic:blipFill>
                        <pic:spPr>
                          <a:xfrm>
                            <a:off x="0" y="0"/>
                            <a:ext cx="2517775" cy="301625"/>
                          </a:xfrm>
                          <a:prstGeom prst="rect">
                            <a:avLst/>
                          </a:prstGeom>
                          <a:noFill/>
                          <a:ln>
                            <a:noFill/>
                          </a:ln>
                        </pic:spPr>
                      </pic:pic>
                    </a:graphicData>
                  </a:graphic>
                </wp:inline>
              </w:drawing>
            </w:r>
          </w:p>
          <w:p w14:paraId="1E302995">
            <w:pPr>
              <w:adjustRightInd w:val="0"/>
              <w:snapToGrid w:val="0"/>
              <w:spacing w:line="360" w:lineRule="auto"/>
              <w:ind w:firstLine="480" w:firstLineChars="200"/>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预测点的A声级LA（r），可利用8个倍频带的声压级公式（3）计算</w:t>
            </w:r>
          </w:p>
          <w:p w14:paraId="3016A58E">
            <w:pPr>
              <w:adjustRightInd w:val="0"/>
              <w:snapToGrid w:val="0"/>
              <w:spacing w:line="360" w:lineRule="auto"/>
              <w:ind w:firstLine="480" w:firstLineChars="200"/>
              <w:jc w:val="center"/>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drawing>
                <wp:inline distT="0" distB="0" distL="114300" distR="114300">
                  <wp:extent cx="3101975" cy="513715"/>
                  <wp:effectExtent l="0" t="0" r="9525" b="6985"/>
                  <wp:docPr id="54" name="图片 16" descr="截图_20210425110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16" descr="截图_20210425110434"/>
                          <pic:cNvPicPr>
                            <a:picLocks noChangeAspect="1"/>
                          </pic:cNvPicPr>
                        </pic:nvPicPr>
                        <pic:blipFill>
                          <a:blip r:embed="rId32"/>
                          <a:stretch>
                            <a:fillRect/>
                          </a:stretch>
                        </pic:blipFill>
                        <pic:spPr>
                          <a:xfrm>
                            <a:off x="0" y="0"/>
                            <a:ext cx="3101975" cy="513715"/>
                          </a:xfrm>
                          <a:prstGeom prst="rect">
                            <a:avLst/>
                          </a:prstGeom>
                          <a:noFill/>
                          <a:ln>
                            <a:noFill/>
                          </a:ln>
                        </pic:spPr>
                      </pic:pic>
                    </a:graphicData>
                  </a:graphic>
                </wp:inline>
              </w:drawing>
            </w:r>
          </w:p>
          <w:p w14:paraId="26033D67">
            <w:pPr>
              <w:adjustRightInd w:val="0"/>
              <w:snapToGrid w:val="0"/>
              <w:spacing w:line="360" w:lineRule="auto"/>
              <w:ind w:firstLine="480" w:firstLineChars="200"/>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式中：</w:t>
            </w:r>
          </w:p>
          <w:p w14:paraId="7862D43C">
            <w:pPr>
              <w:adjustRightInd w:val="0"/>
              <w:snapToGrid w:val="0"/>
              <w:spacing w:line="360" w:lineRule="auto"/>
              <w:ind w:firstLine="480" w:firstLineChars="200"/>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LPi（r）—预测点（r）处，第i倍频带声压级，dB；</w:t>
            </w:r>
          </w:p>
          <w:p w14:paraId="2692A2C2">
            <w:pPr>
              <w:adjustRightInd w:val="0"/>
              <w:snapToGrid w:val="0"/>
              <w:spacing w:line="360" w:lineRule="auto"/>
              <w:ind w:firstLine="480" w:firstLineChars="200"/>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△Li—第i倍频带的A计权网络修正值，dB；</w:t>
            </w:r>
          </w:p>
          <w:p w14:paraId="6DDFA094">
            <w:pPr>
              <w:adjustRightInd w:val="0"/>
              <w:snapToGrid w:val="0"/>
              <w:spacing w:line="360" w:lineRule="auto"/>
              <w:ind w:firstLine="480" w:firstLineChars="200"/>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在不能取得声源倍频带声功率级或倍频带声压级，只能获得A声功率级或某点的A声级时，可按公式（4）</w:t>
            </w:r>
            <w:r>
              <w:rPr>
                <w:rFonts w:hint="eastAsia" w:cs="Times New Roman"/>
                <w:color w:val="000000" w:themeColor="text1"/>
                <w:sz w:val="24"/>
                <w:highlight w:val="none"/>
                <w:lang w:eastAsia="zh-CN"/>
                <w14:textFill>
                  <w14:solidFill>
                    <w14:schemeClr w14:val="tx1"/>
                  </w14:solidFill>
                </w14:textFill>
              </w:rPr>
              <w:t>做</w:t>
            </w:r>
            <w:r>
              <w:rPr>
                <w:rFonts w:hint="default" w:ascii="Times New Roman" w:hAnsi="Times New Roman" w:cs="Times New Roman"/>
                <w:color w:val="000000" w:themeColor="text1"/>
                <w:sz w:val="24"/>
                <w:highlight w:val="none"/>
                <w14:textFill>
                  <w14:solidFill>
                    <w14:schemeClr w14:val="tx1"/>
                  </w14:solidFill>
                </w14:textFill>
              </w:rPr>
              <w:t>近似计算：</w:t>
            </w:r>
          </w:p>
          <w:p w14:paraId="03923ED8">
            <w:pPr>
              <w:adjustRightInd w:val="0"/>
              <w:snapToGrid w:val="0"/>
              <w:spacing w:line="360" w:lineRule="auto"/>
              <w:ind w:firstLine="480" w:firstLineChars="200"/>
              <w:jc w:val="center"/>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drawing>
                <wp:inline distT="0" distB="0" distL="114300" distR="114300">
                  <wp:extent cx="2532380" cy="798195"/>
                  <wp:effectExtent l="0" t="0" r="1270" b="1905"/>
                  <wp:docPr id="55" name="图片 17" descr="截图_20210625110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17" descr="截图_20210625110615"/>
                          <pic:cNvPicPr>
                            <a:picLocks noChangeAspect="1"/>
                          </pic:cNvPicPr>
                        </pic:nvPicPr>
                        <pic:blipFill>
                          <a:blip r:embed="rId33"/>
                          <a:stretch>
                            <a:fillRect/>
                          </a:stretch>
                        </pic:blipFill>
                        <pic:spPr>
                          <a:xfrm>
                            <a:off x="0" y="0"/>
                            <a:ext cx="2532380" cy="798195"/>
                          </a:xfrm>
                          <a:prstGeom prst="rect">
                            <a:avLst/>
                          </a:prstGeom>
                          <a:noFill/>
                          <a:ln>
                            <a:noFill/>
                          </a:ln>
                        </pic:spPr>
                      </pic:pic>
                    </a:graphicData>
                  </a:graphic>
                </wp:inline>
              </w:drawing>
            </w:r>
          </w:p>
          <w:p w14:paraId="338639B4">
            <w:pPr>
              <w:adjustRightInd w:val="0"/>
              <w:snapToGrid w:val="0"/>
              <w:spacing w:line="360" w:lineRule="auto"/>
              <w:ind w:firstLine="480" w:firstLineChars="200"/>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A可选择对A声级影响最大的倍频带计算，一般可</w:t>
            </w:r>
            <w:r>
              <w:rPr>
                <w:rFonts w:hint="eastAsia" w:cs="Times New Roman"/>
                <w:color w:val="000000" w:themeColor="text1"/>
                <w:sz w:val="24"/>
                <w:highlight w:val="none"/>
                <w:lang w:eastAsia="zh-CN"/>
                <w14:textFill>
                  <w14:solidFill>
                    <w14:schemeClr w14:val="tx1"/>
                  </w14:solidFill>
                </w14:textFill>
              </w:rPr>
              <w:t>选择</w:t>
            </w:r>
            <w:r>
              <w:rPr>
                <w:rFonts w:hint="default" w:ascii="Times New Roman" w:hAnsi="Times New Roman" w:cs="Times New Roman"/>
                <w:color w:val="000000" w:themeColor="text1"/>
                <w:sz w:val="24"/>
                <w:highlight w:val="none"/>
                <w14:textFill>
                  <w14:solidFill>
                    <w14:schemeClr w14:val="tx1"/>
                  </w14:solidFill>
                </w14:textFill>
              </w:rPr>
              <w:t>中心频率为500Hz的倍频带估算。</w:t>
            </w:r>
          </w:p>
          <w:p w14:paraId="4F44E37D">
            <w:pPr>
              <w:adjustRightInd w:val="0"/>
              <w:snapToGrid w:val="0"/>
              <w:spacing w:line="360" w:lineRule="auto"/>
              <w:ind w:firstLine="480" w:firstLineChars="200"/>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②室内声源等效室外声源声功率级计算方法</w:t>
            </w:r>
          </w:p>
          <w:p w14:paraId="5733C83D">
            <w:pPr>
              <w:adjustRightInd w:val="0"/>
              <w:snapToGrid w:val="0"/>
              <w:spacing w:line="360" w:lineRule="auto"/>
              <w:ind w:firstLine="480" w:firstLineChars="200"/>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设靠近开口处（或窗户）室内，室外某倍频带的声压级分别为LP1和LP2。</w:t>
            </w:r>
          </w:p>
          <w:p w14:paraId="09DB12AA">
            <w:pPr>
              <w:adjustRightInd w:val="0"/>
              <w:snapToGrid w:val="0"/>
              <w:spacing w:line="360" w:lineRule="auto"/>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若声源所在室内声场为近似扩散声场，则室外倍频声压级可</w:t>
            </w:r>
            <w:r>
              <w:rPr>
                <w:rFonts w:hint="default" w:ascii="Times New Roman" w:hAnsi="Times New Roman" w:cs="Times New Roman"/>
                <w:color w:val="000000" w:themeColor="text1"/>
                <w:sz w:val="24"/>
                <w:highlight w:val="none"/>
                <w:lang w:eastAsia="zh-CN"/>
                <w14:textFill>
                  <w14:solidFill>
                    <w14:schemeClr w14:val="tx1"/>
                  </w14:solidFill>
                </w14:textFill>
              </w:rPr>
              <w:t>按以下公式</w:t>
            </w:r>
            <w:r>
              <w:rPr>
                <w:rFonts w:hint="default" w:ascii="Times New Roman" w:hAnsi="Times New Roman" w:cs="Times New Roman"/>
                <w:color w:val="000000" w:themeColor="text1"/>
                <w:sz w:val="24"/>
                <w:highlight w:val="none"/>
                <w14:textFill>
                  <w14:solidFill>
                    <w14:schemeClr w14:val="tx1"/>
                  </w14:solidFill>
                </w14:textFill>
              </w:rPr>
              <w:t>近似求出：</w:t>
            </w:r>
          </w:p>
          <w:p w14:paraId="189F1160">
            <w:pPr>
              <w:adjustRightInd w:val="0"/>
              <w:snapToGrid w:val="0"/>
              <w:spacing w:line="360" w:lineRule="auto"/>
              <w:ind w:firstLine="480" w:firstLineChars="200"/>
              <w:jc w:val="center"/>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drawing>
                <wp:inline distT="0" distB="0" distL="114300" distR="114300">
                  <wp:extent cx="2259330" cy="389890"/>
                  <wp:effectExtent l="0" t="0" r="7620" b="10160"/>
                  <wp:docPr id="56" name="图片 18" descr="截图_20210725110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18" descr="截图_20210725110748"/>
                          <pic:cNvPicPr>
                            <a:picLocks noChangeAspect="1"/>
                          </pic:cNvPicPr>
                        </pic:nvPicPr>
                        <pic:blipFill>
                          <a:blip r:embed="rId34"/>
                          <a:stretch>
                            <a:fillRect/>
                          </a:stretch>
                        </pic:blipFill>
                        <pic:spPr>
                          <a:xfrm>
                            <a:off x="0" y="0"/>
                            <a:ext cx="2259330" cy="389890"/>
                          </a:xfrm>
                          <a:prstGeom prst="rect">
                            <a:avLst/>
                          </a:prstGeom>
                          <a:noFill/>
                          <a:ln>
                            <a:noFill/>
                          </a:ln>
                        </pic:spPr>
                      </pic:pic>
                    </a:graphicData>
                  </a:graphic>
                </wp:inline>
              </w:drawing>
            </w:r>
          </w:p>
          <w:p w14:paraId="47DC9FA2">
            <w:pPr>
              <w:adjustRightInd w:val="0"/>
              <w:snapToGrid w:val="0"/>
              <w:spacing w:line="360" w:lineRule="auto"/>
              <w:ind w:firstLine="480" w:firstLineChars="200"/>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式中：</w:t>
            </w:r>
          </w:p>
          <w:p w14:paraId="2D08EFB2">
            <w:pPr>
              <w:adjustRightInd w:val="0"/>
              <w:snapToGrid w:val="0"/>
              <w:spacing w:line="360" w:lineRule="auto"/>
              <w:ind w:firstLine="480" w:firstLineChars="200"/>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TL—隔墙或窗户倍频带的隔声量，dB。</w:t>
            </w:r>
          </w:p>
          <w:p w14:paraId="57D6E330">
            <w:pPr>
              <w:adjustRightInd w:val="0"/>
              <w:snapToGrid w:val="0"/>
              <w:spacing w:line="360" w:lineRule="auto"/>
              <w:ind w:firstLine="480" w:firstLineChars="200"/>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③有限长线声源</w:t>
            </w:r>
          </w:p>
          <w:p w14:paraId="085EFBCA">
            <w:pPr>
              <w:adjustRightInd w:val="0"/>
              <w:snapToGrid w:val="0"/>
              <w:spacing w:line="360" w:lineRule="auto"/>
              <w:ind w:firstLine="480" w:firstLineChars="200"/>
              <w:jc w:val="center"/>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drawing>
                <wp:inline distT="0" distB="0" distL="114300" distR="114300">
                  <wp:extent cx="2356485" cy="490220"/>
                  <wp:effectExtent l="0" t="0" r="5715" b="5080"/>
                  <wp:docPr id="57" name="图片 19" descr="截图_20210925110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19" descr="截图_20210925110930"/>
                          <pic:cNvPicPr>
                            <a:picLocks noChangeAspect="1"/>
                          </pic:cNvPicPr>
                        </pic:nvPicPr>
                        <pic:blipFill>
                          <a:blip r:embed="rId35"/>
                          <a:stretch>
                            <a:fillRect/>
                          </a:stretch>
                        </pic:blipFill>
                        <pic:spPr>
                          <a:xfrm>
                            <a:off x="0" y="0"/>
                            <a:ext cx="2356485" cy="490220"/>
                          </a:xfrm>
                          <a:prstGeom prst="rect">
                            <a:avLst/>
                          </a:prstGeom>
                          <a:noFill/>
                          <a:ln>
                            <a:noFill/>
                          </a:ln>
                        </pic:spPr>
                      </pic:pic>
                    </a:graphicData>
                  </a:graphic>
                </wp:inline>
              </w:drawing>
            </w:r>
            <w:r>
              <w:rPr>
                <w:rFonts w:hint="eastAsia" w:cs="Times New Roman"/>
                <w:color w:val="000000" w:themeColor="text1"/>
                <w:sz w:val="24"/>
                <w:highlight w:val="none"/>
                <w:lang w:eastAsia="zh-CN"/>
                <w14:textFill>
                  <w14:solidFill>
                    <w14:schemeClr w14:val="tx1"/>
                  </w14:solidFill>
                </w14:textFill>
              </w:rPr>
              <w:t>(</w:t>
            </w:r>
            <w:r>
              <w:rPr>
                <w:rFonts w:hint="default" w:ascii="Times New Roman" w:hAnsi="Times New Roman" w:cs="Times New Roman"/>
                <w:color w:val="000000" w:themeColor="text1"/>
                <w:sz w:val="24"/>
                <w:highlight w:val="none"/>
                <w14:textFill>
                  <w14:solidFill>
                    <w14:schemeClr w14:val="tx1"/>
                  </w14:solidFill>
                </w14:textFill>
              </w:rPr>
              <w:t>7</w:t>
            </w:r>
            <w:r>
              <w:rPr>
                <w:rFonts w:hint="eastAsia" w:cs="Times New Roman"/>
                <w:color w:val="000000" w:themeColor="text1"/>
                <w:sz w:val="24"/>
                <w:highlight w:val="none"/>
                <w:lang w:eastAsia="zh-CN"/>
                <w14:textFill>
                  <w14:solidFill>
                    <w14:schemeClr w14:val="tx1"/>
                  </w14:solidFill>
                </w14:textFill>
              </w:rPr>
              <w:t>)</w:t>
            </w:r>
          </w:p>
          <w:p w14:paraId="476C3726">
            <w:pPr>
              <w:adjustRightInd w:val="0"/>
              <w:snapToGrid w:val="0"/>
              <w:spacing w:line="360" w:lineRule="auto"/>
              <w:ind w:firstLine="480" w:firstLineChars="200"/>
              <w:jc w:val="left"/>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④噪声贡献值计算：</w:t>
            </w:r>
          </w:p>
          <w:p w14:paraId="5319D409">
            <w:pPr>
              <w:adjustRightInd w:val="0"/>
              <w:snapToGrid w:val="0"/>
              <w:spacing w:line="360" w:lineRule="auto"/>
              <w:ind w:firstLine="480" w:firstLineChars="200"/>
              <w:jc w:val="left"/>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设第i个室外声源在预测点产生的A声级为LAi，在T时间内该声源工作时间为ti；第j个等效室外声源在预测点产生的A声级为LAj，在T时间内该声源工作时间为tj；则拟建工程声源对预测点产生的贡献值为（Leqg）：</w:t>
            </w:r>
          </w:p>
          <w:p w14:paraId="61BAE35D">
            <w:pPr>
              <w:adjustRightInd w:val="0"/>
              <w:snapToGrid w:val="0"/>
              <w:spacing w:line="360" w:lineRule="auto"/>
              <w:ind w:firstLine="480" w:firstLineChars="200"/>
              <w:jc w:val="center"/>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drawing>
                <wp:inline distT="0" distB="0" distL="114300" distR="114300">
                  <wp:extent cx="2879090" cy="568325"/>
                  <wp:effectExtent l="0" t="0" r="16510" b="3175"/>
                  <wp:docPr id="58" name="图片 20" descr="截图_20211125111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20" descr="截图_20211125111104"/>
                          <pic:cNvPicPr>
                            <a:picLocks noChangeAspect="1"/>
                          </pic:cNvPicPr>
                        </pic:nvPicPr>
                        <pic:blipFill>
                          <a:blip r:embed="rId36"/>
                          <a:stretch>
                            <a:fillRect/>
                          </a:stretch>
                        </pic:blipFill>
                        <pic:spPr>
                          <a:xfrm>
                            <a:off x="0" y="0"/>
                            <a:ext cx="2879090" cy="568325"/>
                          </a:xfrm>
                          <a:prstGeom prst="rect">
                            <a:avLst/>
                          </a:prstGeom>
                          <a:noFill/>
                          <a:ln>
                            <a:noFill/>
                          </a:ln>
                        </pic:spPr>
                      </pic:pic>
                    </a:graphicData>
                  </a:graphic>
                </wp:inline>
              </w:drawing>
            </w:r>
            <w:r>
              <w:rPr>
                <w:rFonts w:hint="eastAsia" w:cs="Times New Roman"/>
                <w:color w:val="000000" w:themeColor="text1"/>
                <w:sz w:val="24"/>
                <w:highlight w:val="none"/>
                <w:lang w:eastAsia="zh-CN"/>
                <w14:textFill>
                  <w14:solidFill>
                    <w14:schemeClr w14:val="tx1"/>
                  </w14:solidFill>
                </w14:textFill>
              </w:rPr>
              <w:t>(</w:t>
            </w:r>
            <w:r>
              <w:rPr>
                <w:rFonts w:hint="default" w:ascii="Times New Roman" w:hAnsi="Times New Roman" w:cs="Times New Roman"/>
                <w:color w:val="000000" w:themeColor="text1"/>
                <w:sz w:val="24"/>
                <w:highlight w:val="none"/>
                <w14:textFill>
                  <w14:solidFill>
                    <w14:schemeClr w14:val="tx1"/>
                  </w14:solidFill>
                </w14:textFill>
              </w:rPr>
              <w:t>8</w:t>
            </w:r>
            <w:r>
              <w:rPr>
                <w:rFonts w:hint="eastAsia" w:cs="Times New Roman"/>
                <w:color w:val="000000" w:themeColor="text1"/>
                <w:sz w:val="24"/>
                <w:highlight w:val="none"/>
                <w:lang w:eastAsia="zh-CN"/>
                <w14:textFill>
                  <w14:solidFill>
                    <w14:schemeClr w14:val="tx1"/>
                  </w14:solidFill>
                </w14:textFill>
              </w:rPr>
              <w:t>)</w:t>
            </w:r>
          </w:p>
          <w:p w14:paraId="0DE4681A">
            <w:pPr>
              <w:adjustRightInd w:val="0"/>
              <w:snapToGrid w:val="0"/>
              <w:spacing w:line="360" w:lineRule="auto"/>
              <w:ind w:firstLine="480" w:firstLineChars="200"/>
              <w:jc w:val="both"/>
              <w:rPr>
                <w:rFonts w:hint="default" w:ascii="Times New Roman" w:hAnsi="Times New Roman" w:eastAsia="宋体" w:cs="Times New Roman"/>
                <w:color w:val="000000" w:themeColor="text1"/>
                <w:sz w:val="24"/>
                <w:highlight w:val="none"/>
                <w:lang w:eastAsia="zh-CN"/>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式中</w:t>
            </w:r>
            <w:r>
              <w:rPr>
                <w:rFonts w:hint="default" w:ascii="Times New Roman" w:hAnsi="Times New Roman" w:cs="Times New Roman"/>
                <w:color w:val="000000" w:themeColor="text1"/>
                <w:sz w:val="24"/>
                <w:highlight w:val="none"/>
                <w:lang w:eastAsia="zh-CN"/>
                <w14:textFill>
                  <w14:solidFill>
                    <w14:schemeClr w14:val="tx1"/>
                  </w14:solidFill>
                </w14:textFill>
              </w:rPr>
              <w:t>：</w:t>
            </w:r>
          </w:p>
          <w:p w14:paraId="50020BD6">
            <w:pPr>
              <w:adjustRightInd w:val="0"/>
              <w:snapToGrid w:val="0"/>
              <w:spacing w:line="360" w:lineRule="auto"/>
              <w:ind w:firstLine="480" w:firstLineChars="200"/>
              <w:jc w:val="both"/>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tj—在T时间内j声源工作时间，s；</w:t>
            </w:r>
          </w:p>
          <w:p w14:paraId="16974FC4">
            <w:pPr>
              <w:adjustRightInd w:val="0"/>
              <w:snapToGrid w:val="0"/>
              <w:spacing w:line="360" w:lineRule="auto"/>
              <w:ind w:firstLine="480" w:firstLineChars="200"/>
              <w:jc w:val="both"/>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ti—在T时间内i声源工作时间，s；</w:t>
            </w:r>
          </w:p>
          <w:p w14:paraId="1DE4499C">
            <w:pPr>
              <w:adjustRightInd w:val="0"/>
              <w:snapToGrid w:val="0"/>
              <w:spacing w:line="360" w:lineRule="auto"/>
              <w:ind w:firstLine="480" w:firstLineChars="200"/>
              <w:jc w:val="both"/>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T—用于计算等效声级的时间，s；</w:t>
            </w:r>
          </w:p>
          <w:p w14:paraId="792183F0">
            <w:pPr>
              <w:adjustRightInd w:val="0"/>
              <w:snapToGrid w:val="0"/>
              <w:spacing w:line="360" w:lineRule="auto"/>
              <w:ind w:firstLine="480" w:firstLineChars="200"/>
              <w:jc w:val="both"/>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N—室外声源个数；</w:t>
            </w:r>
          </w:p>
          <w:p w14:paraId="76734958">
            <w:pPr>
              <w:adjustRightInd w:val="0"/>
              <w:snapToGrid w:val="0"/>
              <w:spacing w:line="360" w:lineRule="auto"/>
              <w:ind w:firstLine="480" w:firstLineChars="200"/>
              <w:jc w:val="both"/>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M—等效室外声源个数。</w:t>
            </w:r>
          </w:p>
          <w:p w14:paraId="7A42BA6D">
            <w:pPr>
              <w:adjustRightInd w:val="0"/>
              <w:snapToGrid w:val="0"/>
              <w:spacing w:line="360" w:lineRule="auto"/>
              <w:ind w:firstLine="480" w:firstLineChars="200"/>
              <w:jc w:val="both"/>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（2）预测结果</w:t>
            </w:r>
          </w:p>
          <w:p w14:paraId="1D32E7F4">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szCs w:val="24"/>
                <w:highlight w:val="none"/>
                <w:lang w:val="en-GB"/>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本次环评中为了更准确、快速地进行噪声预测分析，采用了宁波环科院六五软件工作室开发的EIAN2.0噪声预测评价软件。预测点高度为15m。预测区内测算点的间隔为25m。预测范围为厂界200m范围内。坐标原点为规划厂界</w:t>
            </w:r>
            <w:r>
              <w:rPr>
                <w:rFonts w:hint="default" w:ascii="Times New Roman" w:hAnsi="Times New Roman" w:eastAsia="宋体" w:cs="Times New Roman"/>
                <w:color w:val="000000" w:themeColor="text1"/>
                <w:sz w:val="24"/>
                <w:szCs w:val="24"/>
                <w:highlight w:val="none"/>
                <w:lang w:val="en-GB"/>
                <w14:textFill>
                  <w14:solidFill>
                    <w14:schemeClr w14:val="tx1"/>
                  </w14:solidFill>
                </w14:textFill>
              </w:rPr>
              <w:t>西南处，原点以东方向为</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X</w:t>
            </w:r>
            <w:r>
              <w:rPr>
                <w:rFonts w:hint="default" w:ascii="Times New Roman" w:hAnsi="Times New Roman" w:eastAsia="宋体" w:cs="Times New Roman"/>
                <w:color w:val="000000" w:themeColor="text1"/>
                <w:sz w:val="24"/>
                <w:szCs w:val="24"/>
                <w:highlight w:val="none"/>
                <w:lang w:val="en-GB"/>
                <w14:textFill>
                  <w14:solidFill>
                    <w14:schemeClr w14:val="tx1"/>
                  </w14:solidFill>
                </w14:textFill>
              </w:rPr>
              <w:t>轴正方向，原点以北方向为Y轴正方向。</w:t>
            </w:r>
          </w:p>
          <w:p w14:paraId="624E123A">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szCs w:val="24"/>
                <w:highlight w:val="none"/>
                <w:lang w:val="en-GB"/>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GB"/>
                <w14:textFill>
                  <w14:solidFill>
                    <w14:schemeClr w14:val="tx1"/>
                  </w14:solidFill>
                </w14:textFill>
              </w:rPr>
              <w:t>按导则中的噪声衰减模式预测噪声源对厂界的影响。各预测受声点的噪声评价值为受声点的贡献值，详见下表。</w:t>
            </w:r>
          </w:p>
          <w:p w14:paraId="780EE97B">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szCs w:val="24"/>
                <w:highlight w:val="none"/>
                <w:lang w:val="en-GB"/>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GB"/>
                <w14:textFill>
                  <w14:solidFill>
                    <w14:schemeClr w14:val="tx1"/>
                  </w14:solidFill>
                </w14:textFill>
              </w:rPr>
              <w:t>项目建成后</w:t>
            </w:r>
            <w:r>
              <w:rPr>
                <w:rFonts w:hint="default" w:ascii="Times New Roman" w:hAnsi="Times New Roman" w:eastAsia="宋体" w:cs="Times New Roman"/>
                <w:color w:val="000000" w:themeColor="text1"/>
                <w:sz w:val="24"/>
                <w:szCs w:val="24"/>
                <w:highlight w:val="none"/>
                <w:lang w:val="en-GB"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GB"/>
                <w14:textFill>
                  <w14:solidFill>
                    <w14:schemeClr w14:val="tx1"/>
                  </w14:solidFill>
                </w14:textFill>
              </w:rPr>
              <w:t>预测同时考虑厂区内噪声源</w:t>
            </w:r>
            <w:r>
              <w:rPr>
                <w:rFonts w:hint="default" w:ascii="Times New Roman" w:hAnsi="Times New Roman" w:eastAsia="宋体" w:cs="Times New Roman"/>
                <w:color w:val="000000" w:themeColor="text1"/>
                <w:sz w:val="24"/>
                <w:szCs w:val="24"/>
                <w:highlight w:val="none"/>
                <w:lang w:val="en-GB"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GB"/>
                <w14:textFill>
                  <w14:solidFill>
                    <w14:schemeClr w14:val="tx1"/>
                  </w14:solidFill>
                </w14:textFill>
              </w:rPr>
              <w:t>对厂界贡献值预测结果见</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下</w:t>
            </w:r>
            <w:r>
              <w:rPr>
                <w:rFonts w:hint="default" w:ascii="Times New Roman" w:hAnsi="Times New Roman" w:eastAsia="宋体" w:cs="Times New Roman"/>
                <w:color w:val="000000" w:themeColor="text1"/>
                <w:sz w:val="24"/>
                <w:szCs w:val="24"/>
                <w:highlight w:val="none"/>
                <w:lang w:val="en-GB"/>
                <w14:textFill>
                  <w14:solidFill>
                    <w14:schemeClr w14:val="tx1"/>
                  </w14:solidFill>
                </w14:textFill>
              </w:rPr>
              <w:t>表。</w:t>
            </w:r>
          </w:p>
          <w:p w14:paraId="6E3B53F4">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szCs w:val="24"/>
                <w:highlight w:val="none"/>
                <w:lang w:val="en-GB"/>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GB"/>
                <w14:textFill>
                  <w14:solidFill>
                    <w14:schemeClr w14:val="tx1"/>
                  </w14:solidFill>
                </w14:textFill>
              </w:rPr>
              <w:t>在考虑采取设备噪声消声、隔声和距离衰减的情况下，项目厂界噪声如下表所示。</w:t>
            </w:r>
          </w:p>
          <w:p w14:paraId="01327B6F">
            <w:pPr>
              <w:ind w:firstLine="482" w:firstLineChars="200"/>
              <w:jc w:val="center"/>
              <w:rPr>
                <w:rFonts w:hint="default" w:ascii="Times New Roman" w:hAnsi="Times New Roman" w:eastAsia="仿宋" w:cs="Times New Roman"/>
                <w:b/>
                <w:color w:val="000000" w:themeColor="text1"/>
                <w:sz w:val="24"/>
                <w:highlight w:val="none"/>
                <w14:textFill>
                  <w14:solidFill>
                    <w14:schemeClr w14:val="tx1"/>
                  </w14:solidFill>
                </w14:textFill>
              </w:rPr>
            </w:pPr>
            <w:r>
              <w:rPr>
                <w:rFonts w:hint="default" w:ascii="Times New Roman" w:hAnsi="Times New Roman" w:cs="Times New Roman"/>
                <w:b/>
                <w:bCs w:val="0"/>
                <w:color w:val="000000" w:themeColor="text1"/>
                <w:sz w:val="24"/>
                <w:szCs w:val="24"/>
                <w:highlight w:val="none"/>
                <w:lang w:val="en-GB"/>
                <w14:textFill>
                  <w14:solidFill>
                    <w14:schemeClr w14:val="tx1"/>
                  </w14:solidFill>
                </w14:textFill>
              </w:rPr>
              <w:t>表</w:t>
            </w:r>
            <w:r>
              <w:rPr>
                <w:rFonts w:hint="default" w:ascii="Times New Roman" w:hAnsi="Times New Roman" w:cs="Times New Roman"/>
                <w:b/>
                <w:bCs w:val="0"/>
                <w:color w:val="000000" w:themeColor="text1"/>
                <w:sz w:val="24"/>
                <w:szCs w:val="24"/>
                <w:highlight w:val="none"/>
                <w:lang w:val="en-US" w:eastAsia="zh-CN"/>
                <w14:textFill>
                  <w14:solidFill>
                    <w14:schemeClr w14:val="tx1"/>
                  </w14:solidFill>
                </w14:textFill>
              </w:rPr>
              <w:t>4-</w:t>
            </w:r>
            <w:r>
              <w:rPr>
                <w:rFonts w:hint="eastAsia" w:cs="Times New Roman"/>
                <w:b/>
                <w:bCs w:val="0"/>
                <w:color w:val="000000" w:themeColor="text1"/>
                <w:sz w:val="24"/>
                <w:szCs w:val="24"/>
                <w:highlight w:val="none"/>
                <w:lang w:val="en-US" w:eastAsia="zh-CN"/>
                <w14:textFill>
                  <w14:solidFill>
                    <w14:schemeClr w14:val="tx1"/>
                  </w14:solidFill>
                </w14:textFill>
              </w:rPr>
              <w:t>21</w:t>
            </w:r>
            <w:r>
              <w:rPr>
                <w:rFonts w:hint="default" w:ascii="Times New Roman" w:hAnsi="Times New Roman" w:cs="Times New Roman"/>
                <w:b/>
                <w:color w:val="000000" w:themeColor="text1"/>
                <w:sz w:val="24"/>
                <w:szCs w:val="24"/>
                <w:highlight w:val="none"/>
                <w:lang w:val="en-GB"/>
                <w14:textFill>
                  <w14:solidFill>
                    <w14:schemeClr w14:val="tx1"/>
                  </w14:solidFill>
                </w14:textFill>
              </w:rPr>
              <w:t>项</w:t>
            </w:r>
            <w:r>
              <w:rPr>
                <w:rFonts w:hint="default" w:ascii="Times New Roman" w:hAnsi="Times New Roman" w:cs="Times New Roman"/>
                <w:b/>
                <w:color w:val="000000" w:themeColor="text1"/>
                <w:sz w:val="24"/>
                <w:highlight w:val="none"/>
                <w:lang w:val="en-GB"/>
                <w14:textFill>
                  <w14:solidFill>
                    <w14:schemeClr w14:val="tx1"/>
                  </w14:solidFill>
                </w14:textFill>
              </w:rPr>
              <w:t>目</w:t>
            </w:r>
            <w:r>
              <w:rPr>
                <w:rFonts w:hint="default" w:ascii="Times New Roman" w:hAnsi="Times New Roman" w:cs="Times New Roman"/>
                <w:b/>
                <w:color w:val="000000" w:themeColor="text1"/>
                <w:sz w:val="24"/>
                <w:highlight w:val="none"/>
                <w14:textFill>
                  <w14:solidFill>
                    <w14:schemeClr w14:val="tx1"/>
                  </w14:solidFill>
                </w14:textFill>
              </w:rPr>
              <w:t>厂界噪声单位</w:t>
            </w:r>
            <w:r>
              <w:rPr>
                <w:rFonts w:hint="default" w:ascii="Times New Roman" w:hAnsi="Times New Roman" w:eastAsia="仿宋" w:cs="Times New Roman"/>
                <w:b/>
                <w:color w:val="000000" w:themeColor="text1"/>
                <w:sz w:val="24"/>
                <w:highlight w:val="none"/>
                <w14:textFill>
                  <w14:solidFill>
                    <w14:schemeClr w14:val="tx1"/>
                  </w14:solidFill>
                </w14:textFill>
              </w:rPr>
              <w:t>：dB（A）</w:t>
            </w:r>
          </w:p>
          <w:tbl>
            <w:tblPr>
              <w:tblStyle w:val="2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61"/>
              <w:gridCol w:w="1789"/>
              <w:gridCol w:w="1311"/>
              <w:gridCol w:w="1314"/>
              <w:gridCol w:w="1368"/>
            </w:tblGrid>
            <w:tr w14:paraId="13F2A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60" w:type="pct"/>
                  <w:vMerge w:val="restart"/>
                  <w:noWrap w:val="0"/>
                  <w:vAlign w:val="center"/>
                </w:tcPr>
                <w:p w14:paraId="203DF51A">
                  <w:pPr>
                    <w:jc w:val="center"/>
                    <w:rPr>
                      <w:rFonts w:hint="default" w:ascii="Times New Roman" w:hAnsi="Times New Roman" w:cs="Times New Roman"/>
                      <w:b w:val="0"/>
                      <w:bCs/>
                      <w:color w:val="000000" w:themeColor="text1"/>
                      <w:sz w:val="21"/>
                      <w:szCs w:val="21"/>
                      <w:highlight w:val="none"/>
                      <w14:textFill>
                        <w14:solidFill>
                          <w14:schemeClr w14:val="tx1"/>
                        </w14:solidFill>
                      </w14:textFill>
                    </w:rPr>
                  </w:pPr>
                  <w:r>
                    <w:rPr>
                      <w:rFonts w:hint="default" w:ascii="Times New Roman" w:hAnsi="Times New Roman" w:cs="Times New Roman"/>
                      <w:b w:val="0"/>
                      <w:bCs/>
                      <w:color w:val="000000" w:themeColor="text1"/>
                      <w:sz w:val="21"/>
                      <w:szCs w:val="21"/>
                      <w:highlight w:val="none"/>
                      <w14:textFill>
                        <w14:solidFill>
                          <w14:schemeClr w14:val="tx1"/>
                        </w14:solidFill>
                      </w14:textFill>
                    </w:rPr>
                    <w:t>点位</w:t>
                  </w:r>
                </w:p>
              </w:tc>
              <w:tc>
                <w:tcPr>
                  <w:tcW w:w="1126" w:type="pct"/>
                  <w:vMerge w:val="restart"/>
                  <w:noWrap w:val="0"/>
                  <w:vAlign w:val="center"/>
                </w:tcPr>
                <w:p w14:paraId="3D3C648E">
                  <w:pPr>
                    <w:jc w:val="center"/>
                    <w:rPr>
                      <w:rFonts w:hint="default" w:ascii="Times New Roman" w:hAnsi="Times New Roman" w:cs="Times New Roman"/>
                      <w:b w:val="0"/>
                      <w:bCs/>
                      <w:color w:val="000000" w:themeColor="text1"/>
                      <w:sz w:val="21"/>
                      <w:szCs w:val="21"/>
                      <w:highlight w:val="none"/>
                      <w14:textFill>
                        <w14:solidFill>
                          <w14:schemeClr w14:val="tx1"/>
                        </w14:solidFill>
                      </w14:textFill>
                    </w:rPr>
                  </w:pPr>
                  <w:r>
                    <w:rPr>
                      <w:rFonts w:hint="default" w:ascii="Times New Roman" w:hAnsi="Times New Roman" w:cs="Times New Roman"/>
                      <w:b w:val="0"/>
                      <w:bCs/>
                      <w:color w:val="000000" w:themeColor="text1"/>
                      <w:sz w:val="21"/>
                      <w:szCs w:val="21"/>
                      <w:highlight w:val="none"/>
                      <w14:textFill>
                        <w14:solidFill>
                          <w14:schemeClr w14:val="tx1"/>
                        </w14:solidFill>
                      </w14:textFill>
                    </w:rPr>
                    <w:t>贡献值</w:t>
                  </w:r>
                </w:p>
              </w:tc>
              <w:tc>
                <w:tcPr>
                  <w:tcW w:w="1652" w:type="pct"/>
                  <w:gridSpan w:val="2"/>
                  <w:noWrap w:val="0"/>
                  <w:vAlign w:val="center"/>
                </w:tcPr>
                <w:p w14:paraId="4F904773">
                  <w:pPr>
                    <w:jc w:val="center"/>
                    <w:rPr>
                      <w:rFonts w:hint="default" w:ascii="Times New Roman" w:hAnsi="Times New Roman" w:cs="Times New Roman"/>
                      <w:b w:val="0"/>
                      <w:bCs/>
                      <w:color w:val="000000" w:themeColor="text1"/>
                      <w:sz w:val="21"/>
                      <w:szCs w:val="21"/>
                      <w:highlight w:val="none"/>
                      <w14:textFill>
                        <w14:solidFill>
                          <w14:schemeClr w14:val="tx1"/>
                        </w14:solidFill>
                      </w14:textFill>
                    </w:rPr>
                  </w:pPr>
                  <w:r>
                    <w:rPr>
                      <w:rFonts w:hint="default" w:ascii="Times New Roman" w:hAnsi="Times New Roman" w:cs="Times New Roman"/>
                      <w:b w:val="0"/>
                      <w:bCs/>
                      <w:color w:val="000000" w:themeColor="text1"/>
                      <w:sz w:val="21"/>
                      <w:szCs w:val="21"/>
                      <w:highlight w:val="none"/>
                      <w14:textFill>
                        <w14:solidFill>
                          <w14:schemeClr w14:val="tx1"/>
                        </w14:solidFill>
                      </w14:textFill>
                    </w:rPr>
                    <w:t>标准值</w:t>
                  </w:r>
                </w:p>
              </w:tc>
              <w:tc>
                <w:tcPr>
                  <w:tcW w:w="860" w:type="pct"/>
                  <w:vMerge w:val="restart"/>
                  <w:noWrap w:val="0"/>
                  <w:vAlign w:val="center"/>
                </w:tcPr>
                <w:p w14:paraId="6F0C6C7F">
                  <w:pPr>
                    <w:jc w:val="center"/>
                    <w:rPr>
                      <w:rFonts w:hint="default" w:ascii="Times New Roman" w:hAnsi="Times New Roman" w:cs="Times New Roman"/>
                      <w:b w:val="0"/>
                      <w:bCs/>
                      <w:color w:val="000000" w:themeColor="text1"/>
                      <w:sz w:val="21"/>
                      <w:szCs w:val="21"/>
                      <w:highlight w:val="none"/>
                      <w14:textFill>
                        <w14:solidFill>
                          <w14:schemeClr w14:val="tx1"/>
                        </w14:solidFill>
                      </w14:textFill>
                    </w:rPr>
                  </w:pPr>
                  <w:r>
                    <w:rPr>
                      <w:rFonts w:hint="default" w:ascii="Times New Roman" w:hAnsi="Times New Roman" w:cs="Times New Roman"/>
                      <w:b w:val="0"/>
                      <w:bCs/>
                      <w:color w:val="000000" w:themeColor="text1"/>
                      <w:sz w:val="21"/>
                      <w:szCs w:val="21"/>
                      <w:highlight w:val="none"/>
                      <w14:textFill>
                        <w14:solidFill>
                          <w14:schemeClr w14:val="tx1"/>
                        </w14:solidFill>
                      </w14:textFill>
                    </w:rPr>
                    <w:t>评价结果</w:t>
                  </w:r>
                </w:p>
              </w:tc>
            </w:tr>
            <w:tr w14:paraId="7193C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0" w:type="pct"/>
                  <w:vMerge w:val="continue"/>
                  <w:noWrap w:val="0"/>
                  <w:vAlign w:val="center"/>
                </w:tcPr>
                <w:p w14:paraId="3F6A97DB">
                  <w:pPr>
                    <w:jc w:val="center"/>
                    <w:rPr>
                      <w:rFonts w:hint="default" w:ascii="Times New Roman" w:hAnsi="Times New Roman" w:cs="Times New Roman"/>
                      <w:b w:val="0"/>
                      <w:bCs/>
                      <w:color w:val="000000" w:themeColor="text1"/>
                      <w:sz w:val="21"/>
                      <w:szCs w:val="21"/>
                      <w:highlight w:val="none"/>
                      <w:lang w:val="en-GB"/>
                      <w14:textFill>
                        <w14:solidFill>
                          <w14:schemeClr w14:val="tx1"/>
                        </w14:solidFill>
                      </w14:textFill>
                    </w:rPr>
                  </w:pPr>
                </w:p>
              </w:tc>
              <w:tc>
                <w:tcPr>
                  <w:tcW w:w="1126" w:type="pct"/>
                  <w:vMerge w:val="continue"/>
                  <w:noWrap w:val="0"/>
                  <w:vAlign w:val="center"/>
                </w:tcPr>
                <w:p w14:paraId="4CE59695">
                  <w:pPr>
                    <w:jc w:val="center"/>
                    <w:rPr>
                      <w:rFonts w:hint="default" w:ascii="Times New Roman" w:hAnsi="Times New Roman" w:cs="Times New Roman"/>
                      <w:b w:val="0"/>
                      <w:bCs/>
                      <w:color w:val="000000" w:themeColor="text1"/>
                      <w:sz w:val="21"/>
                      <w:szCs w:val="21"/>
                      <w:highlight w:val="none"/>
                      <w:lang w:val="en-GB"/>
                      <w14:textFill>
                        <w14:solidFill>
                          <w14:schemeClr w14:val="tx1"/>
                        </w14:solidFill>
                      </w14:textFill>
                    </w:rPr>
                  </w:pPr>
                </w:p>
              </w:tc>
              <w:tc>
                <w:tcPr>
                  <w:tcW w:w="825" w:type="pct"/>
                  <w:noWrap w:val="0"/>
                  <w:vAlign w:val="center"/>
                </w:tcPr>
                <w:p w14:paraId="17AF326A">
                  <w:pPr>
                    <w:jc w:val="center"/>
                    <w:rPr>
                      <w:rFonts w:hint="default" w:ascii="Times New Roman" w:hAnsi="Times New Roman" w:cs="Times New Roman"/>
                      <w:b w:val="0"/>
                      <w:bCs/>
                      <w:color w:val="000000" w:themeColor="text1"/>
                      <w:sz w:val="21"/>
                      <w:szCs w:val="21"/>
                      <w:highlight w:val="none"/>
                      <w14:textFill>
                        <w14:solidFill>
                          <w14:schemeClr w14:val="tx1"/>
                        </w14:solidFill>
                      </w14:textFill>
                    </w:rPr>
                  </w:pPr>
                  <w:r>
                    <w:rPr>
                      <w:rFonts w:hint="default" w:ascii="Times New Roman" w:hAnsi="Times New Roman" w:cs="Times New Roman"/>
                      <w:b w:val="0"/>
                      <w:bCs/>
                      <w:color w:val="000000" w:themeColor="text1"/>
                      <w:sz w:val="21"/>
                      <w:szCs w:val="21"/>
                      <w:highlight w:val="none"/>
                      <w14:textFill>
                        <w14:solidFill>
                          <w14:schemeClr w14:val="tx1"/>
                        </w14:solidFill>
                      </w14:textFill>
                    </w:rPr>
                    <w:t>昼间</w:t>
                  </w:r>
                </w:p>
              </w:tc>
              <w:tc>
                <w:tcPr>
                  <w:tcW w:w="826" w:type="pct"/>
                  <w:noWrap w:val="0"/>
                  <w:vAlign w:val="center"/>
                </w:tcPr>
                <w:p w14:paraId="6E631AE2">
                  <w:pPr>
                    <w:jc w:val="center"/>
                    <w:rPr>
                      <w:rFonts w:hint="default" w:ascii="Times New Roman" w:hAnsi="Times New Roman" w:cs="Times New Roman"/>
                      <w:b w:val="0"/>
                      <w:bCs/>
                      <w:color w:val="000000" w:themeColor="text1"/>
                      <w:sz w:val="21"/>
                      <w:szCs w:val="21"/>
                      <w:highlight w:val="none"/>
                      <w14:textFill>
                        <w14:solidFill>
                          <w14:schemeClr w14:val="tx1"/>
                        </w14:solidFill>
                      </w14:textFill>
                    </w:rPr>
                  </w:pPr>
                  <w:r>
                    <w:rPr>
                      <w:rFonts w:hint="default" w:ascii="Times New Roman" w:hAnsi="Times New Roman" w:cs="Times New Roman"/>
                      <w:b w:val="0"/>
                      <w:bCs/>
                      <w:color w:val="000000" w:themeColor="text1"/>
                      <w:sz w:val="21"/>
                      <w:szCs w:val="21"/>
                      <w:highlight w:val="none"/>
                      <w14:textFill>
                        <w14:solidFill>
                          <w14:schemeClr w14:val="tx1"/>
                        </w14:solidFill>
                      </w14:textFill>
                    </w:rPr>
                    <w:t>夜间</w:t>
                  </w:r>
                </w:p>
              </w:tc>
              <w:tc>
                <w:tcPr>
                  <w:tcW w:w="860" w:type="pct"/>
                  <w:vMerge w:val="continue"/>
                  <w:noWrap w:val="0"/>
                  <w:vAlign w:val="center"/>
                </w:tcPr>
                <w:p w14:paraId="39614B1D">
                  <w:pPr>
                    <w:jc w:val="center"/>
                    <w:rPr>
                      <w:rFonts w:hint="default" w:ascii="Times New Roman" w:hAnsi="Times New Roman" w:cs="Times New Roman"/>
                      <w:b w:val="0"/>
                      <w:bCs/>
                      <w:color w:val="000000" w:themeColor="text1"/>
                      <w:sz w:val="21"/>
                      <w:szCs w:val="21"/>
                      <w:highlight w:val="none"/>
                      <w:lang w:val="en-GB"/>
                      <w14:textFill>
                        <w14:solidFill>
                          <w14:schemeClr w14:val="tx1"/>
                        </w14:solidFill>
                      </w14:textFill>
                    </w:rPr>
                  </w:pPr>
                </w:p>
              </w:tc>
            </w:tr>
            <w:tr w14:paraId="3C531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0" w:type="pct"/>
                  <w:noWrap w:val="0"/>
                  <w:vAlign w:val="center"/>
                </w:tcPr>
                <w:p w14:paraId="303EE375">
                  <w:pPr>
                    <w:jc w:val="center"/>
                    <w:rPr>
                      <w:rFonts w:hint="default" w:ascii="Times New Roman" w:hAnsi="Times New Roman" w:cs="Times New Roman"/>
                      <w:b w:val="0"/>
                      <w:bCs/>
                      <w:color w:val="000000" w:themeColor="text1"/>
                      <w:sz w:val="21"/>
                      <w:szCs w:val="21"/>
                      <w:highlight w:val="none"/>
                      <w14:textFill>
                        <w14:solidFill>
                          <w14:schemeClr w14:val="tx1"/>
                        </w14:solidFill>
                      </w14:textFill>
                    </w:rPr>
                  </w:pPr>
                  <w:r>
                    <w:rPr>
                      <w:rFonts w:hint="default" w:ascii="Times New Roman" w:hAnsi="Times New Roman" w:cs="Times New Roman"/>
                      <w:b w:val="0"/>
                      <w:bCs/>
                      <w:color w:val="000000" w:themeColor="text1"/>
                      <w:sz w:val="21"/>
                      <w:szCs w:val="21"/>
                      <w:highlight w:val="none"/>
                      <w14:textFill>
                        <w14:solidFill>
                          <w14:schemeClr w14:val="tx1"/>
                        </w14:solidFill>
                      </w14:textFill>
                    </w:rPr>
                    <w:t>厂界东</w:t>
                  </w:r>
                </w:p>
              </w:tc>
              <w:tc>
                <w:tcPr>
                  <w:tcW w:w="1126" w:type="pct"/>
                  <w:noWrap w:val="0"/>
                  <w:vAlign w:val="center"/>
                </w:tcPr>
                <w:p w14:paraId="18AE2454">
                  <w:pPr>
                    <w:jc w:val="center"/>
                    <w:rPr>
                      <w:rFonts w:hint="default" w:ascii="Times New Roman" w:hAnsi="Times New Roman" w:cs="Times New Roman"/>
                      <w:b w:val="0"/>
                      <w:bCs/>
                      <w:color w:val="000000" w:themeColor="text1"/>
                      <w:sz w:val="21"/>
                      <w:szCs w:val="21"/>
                      <w:highlight w:val="none"/>
                      <w14:textFill>
                        <w14:solidFill>
                          <w14:schemeClr w14:val="tx1"/>
                        </w14:solidFill>
                      </w14:textFill>
                    </w:rPr>
                  </w:pPr>
                  <w:r>
                    <w:rPr>
                      <w:rFonts w:hint="default" w:ascii="Times New Roman" w:hAnsi="Times New Roman" w:cs="Times New Roman"/>
                      <w:b w:val="0"/>
                      <w:bCs/>
                      <w:color w:val="000000" w:themeColor="text1"/>
                      <w:sz w:val="21"/>
                      <w:szCs w:val="21"/>
                      <w:highlight w:val="none"/>
                      <w14:textFill>
                        <w14:solidFill>
                          <w14:schemeClr w14:val="tx1"/>
                        </w14:solidFill>
                      </w14:textFill>
                    </w:rPr>
                    <w:t>47.01</w:t>
                  </w:r>
                </w:p>
              </w:tc>
              <w:tc>
                <w:tcPr>
                  <w:tcW w:w="825" w:type="pct"/>
                  <w:noWrap w:val="0"/>
                  <w:vAlign w:val="center"/>
                </w:tcPr>
                <w:p w14:paraId="69117CFC">
                  <w:pPr>
                    <w:jc w:val="center"/>
                    <w:rPr>
                      <w:rFonts w:hint="default" w:ascii="Times New Roman" w:hAnsi="Times New Roman" w:cs="Times New Roman"/>
                      <w:b w:val="0"/>
                      <w:bCs/>
                      <w:color w:val="000000" w:themeColor="text1"/>
                      <w:sz w:val="21"/>
                      <w:szCs w:val="21"/>
                      <w:highlight w:val="none"/>
                      <w14:textFill>
                        <w14:solidFill>
                          <w14:schemeClr w14:val="tx1"/>
                        </w14:solidFill>
                      </w14:textFill>
                    </w:rPr>
                  </w:pPr>
                  <w:r>
                    <w:rPr>
                      <w:rFonts w:hint="default" w:ascii="Times New Roman" w:hAnsi="Times New Roman" w:cs="Times New Roman"/>
                      <w:b w:val="0"/>
                      <w:bCs/>
                      <w:color w:val="000000" w:themeColor="text1"/>
                      <w:sz w:val="21"/>
                      <w:szCs w:val="21"/>
                      <w:highlight w:val="none"/>
                      <w14:textFill>
                        <w14:solidFill>
                          <w14:schemeClr w14:val="tx1"/>
                        </w14:solidFill>
                      </w14:textFill>
                    </w:rPr>
                    <w:t>65</w:t>
                  </w:r>
                </w:p>
              </w:tc>
              <w:tc>
                <w:tcPr>
                  <w:tcW w:w="826" w:type="pct"/>
                  <w:noWrap w:val="0"/>
                  <w:vAlign w:val="center"/>
                </w:tcPr>
                <w:p w14:paraId="42D5D4F4">
                  <w:pPr>
                    <w:jc w:val="center"/>
                    <w:rPr>
                      <w:rFonts w:hint="default" w:ascii="Times New Roman" w:hAnsi="Times New Roman" w:cs="Times New Roman"/>
                      <w:b w:val="0"/>
                      <w:bCs/>
                      <w:color w:val="000000" w:themeColor="text1"/>
                      <w:sz w:val="21"/>
                      <w:szCs w:val="21"/>
                      <w:highlight w:val="none"/>
                      <w14:textFill>
                        <w14:solidFill>
                          <w14:schemeClr w14:val="tx1"/>
                        </w14:solidFill>
                      </w14:textFill>
                    </w:rPr>
                  </w:pPr>
                  <w:r>
                    <w:rPr>
                      <w:rFonts w:hint="default" w:ascii="Times New Roman" w:hAnsi="Times New Roman" w:cs="Times New Roman"/>
                      <w:b w:val="0"/>
                      <w:bCs/>
                      <w:color w:val="000000" w:themeColor="text1"/>
                      <w:sz w:val="21"/>
                      <w:szCs w:val="21"/>
                      <w:highlight w:val="none"/>
                      <w14:textFill>
                        <w14:solidFill>
                          <w14:schemeClr w14:val="tx1"/>
                        </w14:solidFill>
                      </w14:textFill>
                    </w:rPr>
                    <w:t>55</w:t>
                  </w:r>
                </w:p>
              </w:tc>
              <w:tc>
                <w:tcPr>
                  <w:tcW w:w="860" w:type="pct"/>
                  <w:noWrap w:val="0"/>
                  <w:vAlign w:val="center"/>
                </w:tcPr>
                <w:p w14:paraId="4E9C6C69">
                  <w:pPr>
                    <w:jc w:val="center"/>
                    <w:rPr>
                      <w:rFonts w:hint="default" w:ascii="Times New Roman" w:hAnsi="Times New Roman" w:cs="Times New Roman"/>
                      <w:b w:val="0"/>
                      <w:bCs/>
                      <w:color w:val="000000" w:themeColor="text1"/>
                      <w:sz w:val="21"/>
                      <w:szCs w:val="21"/>
                      <w:highlight w:val="none"/>
                      <w14:textFill>
                        <w14:solidFill>
                          <w14:schemeClr w14:val="tx1"/>
                        </w14:solidFill>
                      </w14:textFill>
                    </w:rPr>
                  </w:pPr>
                  <w:r>
                    <w:rPr>
                      <w:rFonts w:hint="default" w:ascii="Times New Roman" w:hAnsi="Times New Roman" w:cs="Times New Roman"/>
                      <w:b w:val="0"/>
                      <w:bCs/>
                      <w:color w:val="000000" w:themeColor="text1"/>
                      <w:sz w:val="21"/>
                      <w:szCs w:val="21"/>
                      <w:highlight w:val="none"/>
                      <w14:textFill>
                        <w14:solidFill>
                          <w14:schemeClr w14:val="tx1"/>
                        </w14:solidFill>
                      </w14:textFill>
                    </w:rPr>
                    <w:t>达标</w:t>
                  </w:r>
                </w:p>
              </w:tc>
            </w:tr>
            <w:tr w14:paraId="425A0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0" w:type="pct"/>
                  <w:noWrap w:val="0"/>
                  <w:vAlign w:val="center"/>
                </w:tcPr>
                <w:p w14:paraId="1A28B342">
                  <w:pPr>
                    <w:jc w:val="center"/>
                    <w:rPr>
                      <w:rFonts w:hint="default" w:ascii="Times New Roman" w:hAnsi="Times New Roman" w:cs="Times New Roman"/>
                      <w:b w:val="0"/>
                      <w:bCs/>
                      <w:color w:val="000000" w:themeColor="text1"/>
                      <w:sz w:val="21"/>
                      <w:szCs w:val="21"/>
                      <w:highlight w:val="none"/>
                      <w14:textFill>
                        <w14:solidFill>
                          <w14:schemeClr w14:val="tx1"/>
                        </w14:solidFill>
                      </w14:textFill>
                    </w:rPr>
                  </w:pPr>
                  <w:r>
                    <w:rPr>
                      <w:rFonts w:hint="default" w:ascii="Times New Roman" w:hAnsi="Times New Roman" w:cs="Times New Roman"/>
                      <w:b w:val="0"/>
                      <w:bCs/>
                      <w:color w:val="000000" w:themeColor="text1"/>
                      <w:sz w:val="21"/>
                      <w:szCs w:val="21"/>
                      <w:highlight w:val="none"/>
                      <w14:textFill>
                        <w14:solidFill>
                          <w14:schemeClr w14:val="tx1"/>
                        </w14:solidFill>
                      </w14:textFill>
                    </w:rPr>
                    <w:t>厂界南</w:t>
                  </w:r>
                </w:p>
              </w:tc>
              <w:tc>
                <w:tcPr>
                  <w:tcW w:w="1126" w:type="pct"/>
                  <w:noWrap w:val="0"/>
                  <w:vAlign w:val="center"/>
                </w:tcPr>
                <w:p w14:paraId="3B6ED423">
                  <w:pPr>
                    <w:jc w:val="center"/>
                    <w:rPr>
                      <w:rFonts w:hint="default" w:ascii="Times New Roman" w:hAnsi="Times New Roman" w:cs="Times New Roman"/>
                      <w:b w:val="0"/>
                      <w:bCs/>
                      <w:color w:val="000000" w:themeColor="text1"/>
                      <w:sz w:val="21"/>
                      <w:szCs w:val="21"/>
                      <w:highlight w:val="none"/>
                      <w14:textFill>
                        <w14:solidFill>
                          <w14:schemeClr w14:val="tx1"/>
                        </w14:solidFill>
                      </w14:textFill>
                    </w:rPr>
                  </w:pPr>
                  <w:r>
                    <w:rPr>
                      <w:rFonts w:hint="default" w:ascii="Times New Roman" w:hAnsi="Times New Roman" w:cs="Times New Roman"/>
                      <w:b w:val="0"/>
                      <w:bCs/>
                      <w:color w:val="000000" w:themeColor="text1"/>
                      <w:sz w:val="21"/>
                      <w:szCs w:val="21"/>
                      <w:highlight w:val="none"/>
                      <w14:textFill>
                        <w14:solidFill>
                          <w14:schemeClr w14:val="tx1"/>
                        </w14:solidFill>
                      </w14:textFill>
                    </w:rPr>
                    <w:t>49.51</w:t>
                  </w:r>
                </w:p>
              </w:tc>
              <w:tc>
                <w:tcPr>
                  <w:tcW w:w="825" w:type="pct"/>
                  <w:noWrap w:val="0"/>
                  <w:vAlign w:val="center"/>
                </w:tcPr>
                <w:p w14:paraId="3EC8BB93">
                  <w:pPr>
                    <w:jc w:val="center"/>
                    <w:rPr>
                      <w:rFonts w:hint="default" w:ascii="Times New Roman" w:hAnsi="Times New Roman" w:cs="Times New Roman"/>
                      <w:b w:val="0"/>
                      <w:bCs/>
                      <w:color w:val="000000" w:themeColor="text1"/>
                      <w:sz w:val="21"/>
                      <w:szCs w:val="21"/>
                      <w:highlight w:val="none"/>
                      <w14:textFill>
                        <w14:solidFill>
                          <w14:schemeClr w14:val="tx1"/>
                        </w14:solidFill>
                      </w14:textFill>
                    </w:rPr>
                  </w:pPr>
                  <w:r>
                    <w:rPr>
                      <w:rFonts w:hint="default" w:ascii="Times New Roman" w:hAnsi="Times New Roman" w:cs="Times New Roman"/>
                      <w:b w:val="0"/>
                      <w:bCs/>
                      <w:color w:val="000000" w:themeColor="text1"/>
                      <w:sz w:val="21"/>
                      <w:szCs w:val="21"/>
                      <w:highlight w:val="none"/>
                      <w14:textFill>
                        <w14:solidFill>
                          <w14:schemeClr w14:val="tx1"/>
                        </w14:solidFill>
                      </w14:textFill>
                    </w:rPr>
                    <w:t>65</w:t>
                  </w:r>
                </w:p>
              </w:tc>
              <w:tc>
                <w:tcPr>
                  <w:tcW w:w="826" w:type="pct"/>
                  <w:noWrap w:val="0"/>
                  <w:vAlign w:val="center"/>
                </w:tcPr>
                <w:p w14:paraId="1D7F391E">
                  <w:pPr>
                    <w:jc w:val="center"/>
                    <w:rPr>
                      <w:rFonts w:hint="default" w:ascii="Times New Roman" w:hAnsi="Times New Roman" w:cs="Times New Roman"/>
                      <w:b w:val="0"/>
                      <w:bCs/>
                      <w:color w:val="000000" w:themeColor="text1"/>
                      <w:sz w:val="21"/>
                      <w:szCs w:val="21"/>
                      <w:highlight w:val="none"/>
                      <w14:textFill>
                        <w14:solidFill>
                          <w14:schemeClr w14:val="tx1"/>
                        </w14:solidFill>
                      </w14:textFill>
                    </w:rPr>
                  </w:pPr>
                  <w:r>
                    <w:rPr>
                      <w:rFonts w:hint="default" w:ascii="Times New Roman" w:hAnsi="Times New Roman" w:cs="Times New Roman"/>
                      <w:b w:val="0"/>
                      <w:bCs/>
                      <w:color w:val="000000" w:themeColor="text1"/>
                      <w:sz w:val="21"/>
                      <w:szCs w:val="21"/>
                      <w:highlight w:val="none"/>
                      <w14:textFill>
                        <w14:solidFill>
                          <w14:schemeClr w14:val="tx1"/>
                        </w14:solidFill>
                      </w14:textFill>
                    </w:rPr>
                    <w:t>55</w:t>
                  </w:r>
                </w:p>
              </w:tc>
              <w:tc>
                <w:tcPr>
                  <w:tcW w:w="860" w:type="pct"/>
                  <w:noWrap w:val="0"/>
                  <w:vAlign w:val="center"/>
                </w:tcPr>
                <w:p w14:paraId="275D9104">
                  <w:pPr>
                    <w:jc w:val="center"/>
                    <w:rPr>
                      <w:rFonts w:hint="default" w:ascii="Times New Roman" w:hAnsi="Times New Roman" w:cs="Times New Roman"/>
                      <w:b w:val="0"/>
                      <w:bCs/>
                      <w:color w:val="000000" w:themeColor="text1"/>
                      <w:sz w:val="21"/>
                      <w:szCs w:val="21"/>
                      <w:highlight w:val="none"/>
                      <w14:textFill>
                        <w14:solidFill>
                          <w14:schemeClr w14:val="tx1"/>
                        </w14:solidFill>
                      </w14:textFill>
                    </w:rPr>
                  </w:pPr>
                  <w:r>
                    <w:rPr>
                      <w:rFonts w:hint="default" w:ascii="Times New Roman" w:hAnsi="Times New Roman" w:cs="Times New Roman"/>
                      <w:b w:val="0"/>
                      <w:bCs/>
                      <w:color w:val="000000" w:themeColor="text1"/>
                      <w:sz w:val="21"/>
                      <w:szCs w:val="21"/>
                      <w:highlight w:val="none"/>
                      <w14:textFill>
                        <w14:solidFill>
                          <w14:schemeClr w14:val="tx1"/>
                        </w14:solidFill>
                      </w14:textFill>
                    </w:rPr>
                    <w:t>达标</w:t>
                  </w:r>
                </w:p>
              </w:tc>
            </w:tr>
            <w:tr w14:paraId="3D808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0" w:type="pct"/>
                  <w:noWrap w:val="0"/>
                  <w:vAlign w:val="center"/>
                </w:tcPr>
                <w:p w14:paraId="76492D99">
                  <w:pPr>
                    <w:jc w:val="center"/>
                    <w:rPr>
                      <w:rFonts w:hint="default" w:ascii="Times New Roman" w:hAnsi="Times New Roman" w:cs="Times New Roman"/>
                      <w:b w:val="0"/>
                      <w:bCs/>
                      <w:color w:val="000000" w:themeColor="text1"/>
                      <w:sz w:val="21"/>
                      <w:szCs w:val="21"/>
                      <w:highlight w:val="none"/>
                      <w14:textFill>
                        <w14:solidFill>
                          <w14:schemeClr w14:val="tx1"/>
                        </w14:solidFill>
                      </w14:textFill>
                    </w:rPr>
                  </w:pPr>
                  <w:r>
                    <w:rPr>
                      <w:rFonts w:hint="default" w:ascii="Times New Roman" w:hAnsi="Times New Roman" w:cs="Times New Roman"/>
                      <w:b w:val="0"/>
                      <w:bCs/>
                      <w:color w:val="000000" w:themeColor="text1"/>
                      <w:sz w:val="21"/>
                      <w:szCs w:val="21"/>
                      <w:highlight w:val="none"/>
                      <w14:textFill>
                        <w14:solidFill>
                          <w14:schemeClr w14:val="tx1"/>
                        </w14:solidFill>
                      </w14:textFill>
                    </w:rPr>
                    <w:t>厂界西</w:t>
                  </w:r>
                </w:p>
              </w:tc>
              <w:tc>
                <w:tcPr>
                  <w:tcW w:w="1126" w:type="pct"/>
                  <w:noWrap w:val="0"/>
                  <w:vAlign w:val="center"/>
                </w:tcPr>
                <w:p w14:paraId="2EAF8E2D">
                  <w:pPr>
                    <w:jc w:val="center"/>
                    <w:rPr>
                      <w:rFonts w:hint="default" w:ascii="Times New Roman" w:hAnsi="Times New Roman" w:cs="Times New Roman"/>
                      <w:b w:val="0"/>
                      <w:bCs/>
                      <w:color w:val="000000" w:themeColor="text1"/>
                      <w:sz w:val="21"/>
                      <w:szCs w:val="21"/>
                      <w:highlight w:val="none"/>
                      <w14:textFill>
                        <w14:solidFill>
                          <w14:schemeClr w14:val="tx1"/>
                        </w14:solidFill>
                      </w14:textFill>
                    </w:rPr>
                  </w:pPr>
                  <w:r>
                    <w:rPr>
                      <w:rFonts w:hint="default" w:ascii="Times New Roman" w:hAnsi="Times New Roman" w:cs="Times New Roman"/>
                      <w:b w:val="0"/>
                      <w:bCs/>
                      <w:color w:val="000000" w:themeColor="text1"/>
                      <w:sz w:val="21"/>
                      <w:szCs w:val="21"/>
                      <w:highlight w:val="none"/>
                      <w14:textFill>
                        <w14:solidFill>
                          <w14:schemeClr w14:val="tx1"/>
                        </w14:solidFill>
                      </w14:textFill>
                    </w:rPr>
                    <w:t>53.03</w:t>
                  </w:r>
                </w:p>
              </w:tc>
              <w:tc>
                <w:tcPr>
                  <w:tcW w:w="825" w:type="pct"/>
                  <w:noWrap w:val="0"/>
                  <w:vAlign w:val="center"/>
                </w:tcPr>
                <w:p w14:paraId="0B1AB704">
                  <w:pPr>
                    <w:jc w:val="center"/>
                    <w:rPr>
                      <w:rFonts w:hint="default" w:ascii="Times New Roman" w:hAnsi="Times New Roman" w:cs="Times New Roman"/>
                      <w:b w:val="0"/>
                      <w:bCs/>
                      <w:color w:val="000000" w:themeColor="text1"/>
                      <w:sz w:val="21"/>
                      <w:szCs w:val="21"/>
                      <w:highlight w:val="none"/>
                      <w14:textFill>
                        <w14:solidFill>
                          <w14:schemeClr w14:val="tx1"/>
                        </w14:solidFill>
                      </w14:textFill>
                    </w:rPr>
                  </w:pPr>
                  <w:r>
                    <w:rPr>
                      <w:rFonts w:hint="default" w:ascii="Times New Roman" w:hAnsi="Times New Roman" w:cs="Times New Roman"/>
                      <w:b w:val="0"/>
                      <w:bCs/>
                      <w:color w:val="000000" w:themeColor="text1"/>
                      <w:sz w:val="21"/>
                      <w:szCs w:val="21"/>
                      <w:highlight w:val="none"/>
                      <w14:textFill>
                        <w14:solidFill>
                          <w14:schemeClr w14:val="tx1"/>
                        </w14:solidFill>
                      </w14:textFill>
                    </w:rPr>
                    <w:t>65</w:t>
                  </w:r>
                </w:p>
              </w:tc>
              <w:tc>
                <w:tcPr>
                  <w:tcW w:w="826" w:type="pct"/>
                  <w:noWrap w:val="0"/>
                  <w:vAlign w:val="center"/>
                </w:tcPr>
                <w:p w14:paraId="06DFD114">
                  <w:pPr>
                    <w:jc w:val="center"/>
                    <w:rPr>
                      <w:rFonts w:hint="default" w:ascii="Times New Roman" w:hAnsi="Times New Roman" w:cs="Times New Roman"/>
                      <w:b w:val="0"/>
                      <w:bCs/>
                      <w:color w:val="000000" w:themeColor="text1"/>
                      <w:sz w:val="21"/>
                      <w:szCs w:val="21"/>
                      <w:highlight w:val="none"/>
                      <w14:textFill>
                        <w14:solidFill>
                          <w14:schemeClr w14:val="tx1"/>
                        </w14:solidFill>
                      </w14:textFill>
                    </w:rPr>
                  </w:pPr>
                  <w:r>
                    <w:rPr>
                      <w:rFonts w:hint="default" w:ascii="Times New Roman" w:hAnsi="Times New Roman" w:cs="Times New Roman"/>
                      <w:b w:val="0"/>
                      <w:bCs/>
                      <w:color w:val="000000" w:themeColor="text1"/>
                      <w:sz w:val="21"/>
                      <w:szCs w:val="21"/>
                      <w:highlight w:val="none"/>
                      <w14:textFill>
                        <w14:solidFill>
                          <w14:schemeClr w14:val="tx1"/>
                        </w14:solidFill>
                      </w14:textFill>
                    </w:rPr>
                    <w:t>55</w:t>
                  </w:r>
                </w:p>
              </w:tc>
              <w:tc>
                <w:tcPr>
                  <w:tcW w:w="860" w:type="pct"/>
                  <w:noWrap w:val="0"/>
                  <w:vAlign w:val="center"/>
                </w:tcPr>
                <w:p w14:paraId="3ABD0CE6">
                  <w:pPr>
                    <w:jc w:val="center"/>
                    <w:rPr>
                      <w:rFonts w:hint="default" w:ascii="Times New Roman" w:hAnsi="Times New Roman" w:cs="Times New Roman"/>
                      <w:b w:val="0"/>
                      <w:bCs/>
                      <w:color w:val="000000" w:themeColor="text1"/>
                      <w:sz w:val="21"/>
                      <w:szCs w:val="21"/>
                      <w:highlight w:val="none"/>
                      <w14:textFill>
                        <w14:solidFill>
                          <w14:schemeClr w14:val="tx1"/>
                        </w14:solidFill>
                      </w14:textFill>
                    </w:rPr>
                  </w:pPr>
                  <w:r>
                    <w:rPr>
                      <w:rFonts w:hint="default" w:ascii="Times New Roman" w:hAnsi="Times New Roman" w:cs="Times New Roman"/>
                      <w:b w:val="0"/>
                      <w:bCs/>
                      <w:color w:val="000000" w:themeColor="text1"/>
                      <w:sz w:val="21"/>
                      <w:szCs w:val="21"/>
                      <w:highlight w:val="none"/>
                      <w14:textFill>
                        <w14:solidFill>
                          <w14:schemeClr w14:val="tx1"/>
                        </w14:solidFill>
                      </w14:textFill>
                    </w:rPr>
                    <w:t>达标</w:t>
                  </w:r>
                </w:p>
              </w:tc>
            </w:tr>
            <w:tr w14:paraId="6E25F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0" w:type="pct"/>
                  <w:noWrap w:val="0"/>
                  <w:vAlign w:val="center"/>
                </w:tcPr>
                <w:p w14:paraId="7E007A3B">
                  <w:pPr>
                    <w:jc w:val="center"/>
                    <w:rPr>
                      <w:rFonts w:hint="default" w:ascii="Times New Roman" w:hAnsi="Times New Roman" w:cs="Times New Roman"/>
                      <w:b w:val="0"/>
                      <w:bCs/>
                      <w:color w:val="000000" w:themeColor="text1"/>
                      <w:sz w:val="21"/>
                      <w:szCs w:val="21"/>
                      <w:highlight w:val="none"/>
                      <w14:textFill>
                        <w14:solidFill>
                          <w14:schemeClr w14:val="tx1"/>
                        </w14:solidFill>
                      </w14:textFill>
                    </w:rPr>
                  </w:pPr>
                  <w:r>
                    <w:rPr>
                      <w:rFonts w:hint="default" w:ascii="Times New Roman" w:hAnsi="Times New Roman" w:cs="Times New Roman"/>
                      <w:b w:val="0"/>
                      <w:bCs/>
                      <w:color w:val="000000" w:themeColor="text1"/>
                      <w:sz w:val="21"/>
                      <w:szCs w:val="21"/>
                      <w:highlight w:val="none"/>
                      <w14:textFill>
                        <w14:solidFill>
                          <w14:schemeClr w14:val="tx1"/>
                        </w14:solidFill>
                      </w14:textFill>
                    </w:rPr>
                    <w:t>厂界北</w:t>
                  </w:r>
                </w:p>
              </w:tc>
              <w:tc>
                <w:tcPr>
                  <w:tcW w:w="1126" w:type="pct"/>
                  <w:noWrap w:val="0"/>
                  <w:vAlign w:val="center"/>
                </w:tcPr>
                <w:p w14:paraId="30FA2F95">
                  <w:pPr>
                    <w:jc w:val="center"/>
                    <w:rPr>
                      <w:rFonts w:hint="default" w:ascii="Times New Roman" w:hAnsi="Times New Roman" w:cs="Times New Roman"/>
                      <w:b w:val="0"/>
                      <w:bCs/>
                      <w:color w:val="000000" w:themeColor="text1"/>
                      <w:sz w:val="21"/>
                      <w:szCs w:val="21"/>
                      <w:highlight w:val="none"/>
                      <w14:textFill>
                        <w14:solidFill>
                          <w14:schemeClr w14:val="tx1"/>
                        </w14:solidFill>
                      </w14:textFill>
                    </w:rPr>
                  </w:pPr>
                  <w:r>
                    <w:rPr>
                      <w:rFonts w:hint="default" w:ascii="Times New Roman" w:hAnsi="Times New Roman" w:cs="Times New Roman"/>
                      <w:b w:val="0"/>
                      <w:bCs/>
                      <w:color w:val="000000" w:themeColor="text1"/>
                      <w:sz w:val="21"/>
                      <w:szCs w:val="21"/>
                      <w:highlight w:val="none"/>
                      <w14:textFill>
                        <w14:solidFill>
                          <w14:schemeClr w14:val="tx1"/>
                        </w14:solidFill>
                      </w14:textFill>
                    </w:rPr>
                    <w:t>50.73</w:t>
                  </w:r>
                </w:p>
              </w:tc>
              <w:tc>
                <w:tcPr>
                  <w:tcW w:w="825" w:type="pct"/>
                  <w:noWrap w:val="0"/>
                  <w:vAlign w:val="center"/>
                </w:tcPr>
                <w:p w14:paraId="59623F5F">
                  <w:pPr>
                    <w:jc w:val="center"/>
                    <w:rPr>
                      <w:rFonts w:hint="default" w:ascii="Times New Roman" w:hAnsi="Times New Roman" w:cs="Times New Roman"/>
                      <w:b w:val="0"/>
                      <w:bCs/>
                      <w:color w:val="000000" w:themeColor="text1"/>
                      <w:sz w:val="21"/>
                      <w:szCs w:val="21"/>
                      <w:highlight w:val="none"/>
                      <w14:textFill>
                        <w14:solidFill>
                          <w14:schemeClr w14:val="tx1"/>
                        </w14:solidFill>
                      </w14:textFill>
                    </w:rPr>
                  </w:pPr>
                  <w:r>
                    <w:rPr>
                      <w:rFonts w:hint="default" w:ascii="Times New Roman" w:hAnsi="Times New Roman" w:cs="Times New Roman"/>
                      <w:b w:val="0"/>
                      <w:bCs/>
                      <w:color w:val="000000" w:themeColor="text1"/>
                      <w:sz w:val="21"/>
                      <w:szCs w:val="21"/>
                      <w:highlight w:val="none"/>
                      <w14:textFill>
                        <w14:solidFill>
                          <w14:schemeClr w14:val="tx1"/>
                        </w14:solidFill>
                      </w14:textFill>
                    </w:rPr>
                    <w:t>65</w:t>
                  </w:r>
                </w:p>
              </w:tc>
              <w:tc>
                <w:tcPr>
                  <w:tcW w:w="826" w:type="pct"/>
                  <w:noWrap w:val="0"/>
                  <w:vAlign w:val="center"/>
                </w:tcPr>
                <w:p w14:paraId="7E2D70FD">
                  <w:pPr>
                    <w:jc w:val="center"/>
                    <w:rPr>
                      <w:rFonts w:hint="default" w:ascii="Times New Roman" w:hAnsi="Times New Roman" w:cs="Times New Roman"/>
                      <w:b w:val="0"/>
                      <w:bCs/>
                      <w:color w:val="000000" w:themeColor="text1"/>
                      <w:sz w:val="21"/>
                      <w:szCs w:val="21"/>
                      <w:highlight w:val="none"/>
                      <w14:textFill>
                        <w14:solidFill>
                          <w14:schemeClr w14:val="tx1"/>
                        </w14:solidFill>
                      </w14:textFill>
                    </w:rPr>
                  </w:pPr>
                  <w:r>
                    <w:rPr>
                      <w:rFonts w:hint="default" w:ascii="Times New Roman" w:hAnsi="Times New Roman" w:cs="Times New Roman"/>
                      <w:b w:val="0"/>
                      <w:bCs/>
                      <w:color w:val="000000" w:themeColor="text1"/>
                      <w:sz w:val="21"/>
                      <w:szCs w:val="21"/>
                      <w:highlight w:val="none"/>
                      <w14:textFill>
                        <w14:solidFill>
                          <w14:schemeClr w14:val="tx1"/>
                        </w14:solidFill>
                      </w14:textFill>
                    </w:rPr>
                    <w:t>55</w:t>
                  </w:r>
                </w:p>
              </w:tc>
              <w:tc>
                <w:tcPr>
                  <w:tcW w:w="860" w:type="pct"/>
                  <w:noWrap w:val="0"/>
                  <w:vAlign w:val="center"/>
                </w:tcPr>
                <w:p w14:paraId="6ADB737E">
                  <w:pPr>
                    <w:jc w:val="center"/>
                    <w:rPr>
                      <w:rFonts w:hint="default" w:ascii="Times New Roman" w:hAnsi="Times New Roman" w:cs="Times New Roman"/>
                      <w:b w:val="0"/>
                      <w:bCs/>
                      <w:color w:val="000000" w:themeColor="text1"/>
                      <w:sz w:val="21"/>
                      <w:szCs w:val="21"/>
                      <w:highlight w:val="none"/>
                      <w14:textFill>
                        <w14:solidFill>
                          <w14:schemeClr w14:val="tx1"/>
                        </w14:solidFill>
                      </w14:textFill>
                    </w:rPr>
                  </w:pPr>
                  <w:r>
                    <w:rPr>
                      <w:rFonts w:hint="default" w:ascii="Times New Roman" w:hAnsi="Times New Roman" w:cs="Times New Roman"/>
                      <w:b w:val="0"/>
                      <w:bCs/>
                      <w:color w:val="000000" w:themeColor="text1"/>
                      <w:sz w:val="21"/>
                      <w:szCs w:val="21"/>
                      <w:highlight w:val="none"/>
                      <w14:textFill>
                        <w14:solidFill>
                          <w14:schemeClr w14:val="tx1"/>
                        </w14:solidFill>
                      </w14:textFill>
                    </w:rPr>
                    <w:t>达标</w:t>
                  </w:r>
                </w:p>
              </w:tc>
            </w:tr>
          </w:tbl>
          <w:p w14:paraId="07A82849">
            <w:pPr>
              <w:spacing w:before="120" w:beforeLines="50" w:line="360" w:lineRule="auto"/>
              <w:ind w:firstLine="480" w:firstLineChars="200"/>
              <w:rPr>
                <w:rFonts w:hint="default" w:ascii="Times New Roman" w:hAnsi="Times New Roman" w:eastAsia="宋体" w:cs="Times New Roman"/>
                <w:b/>
                <w:bCs/>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kern w:val="0"/>
                <w:sz w:val="24"/>
                <w:highlight w:val="none"/>
                <w14:textFill>
                  <w14:solidFill>
                    <w14:schemeClr w14:val="tx1"/>
                  </w14:solidFill>
                </w14:textFill>
              </w:rPr>
              <w:t>由预测结果可知，项目正常工况下，</w:t>
            </w:r>
            <w:r>
              <w:rPr>
                <w:rFonts w:hint="default" w:ascii="Times New Roman" w:hAnsi="Times New Roman" w:eastAsia="宋体" w:cs="Times New Roman"/>
                <w:color w:val="000000" w:themeColor="text1"/>
                <w:sz w:val="24"/>
                <w:highlight w:val="none"/>
                <w:lang w:val="en-GB"/>
                <w14:textFill>
                  <w14:solidFill>
                    <w14:schemeClr w14:val="tx1"/>
                  </w14:solidFill>
                </w14:textFill>
              </w:rPr>
              <w:t>通过对高噪声设备采取相应的噪声控制措施，利用密闭隔声和距离衰减的情况下，项目厂界昼夜间噪声均能符合</w:t>
            </w:r>
            <w:r>
              <w:rPr>
                <w:rFonts w:hint="default" w:ascii="Times New Roman" w:hAnsi="Times New Roman" w:eastAsia="宋体" w:cs="Times New Roman"/>
                <w:color w:val="000000" w:themeColor="text1"/>
                <w:sz w:val="24"/>
                <w:highlight w:val="none"/>
                <w14:textFill>
                  <w14:solidFill>
                    <w14:schemeClr w14:val="tx1"/>
                  </w14:solidFill>
                </w14:textFill>
              </w:rPr>
              <w:t>《工业企业厂界环境噪声排放标准》（GB12348-2008）3类标准，影响较小。</w:t>
            </w:r>
          </w:p>
          <w:p w14:paraId="438627BC">
            <w:pPr>
              <w:spacing w:line="360" w:lineRule="auto"/>
              <w:ind w:firstLine="480" w:firstLineChars="200"/>
              <w:rPr>
                <w:rFonts w:hint="default" w:ascii="Times New Roman" w:hAnsi="Times New Roman" w:eastAsia="宋体" w:cs="Times New Roman"/>
                <w:color w:val="000000" w:themeColor="text1"/>
                <w:kern w:val="0"/>
                <w:sz w:val="24"/>
                <w:highlight w:val="none"/>
                <w14:textFill>
                  <w14:solidFill>
                    <w14:schemeClr w14:val="tx1"/>
                  </w14:solidFill>
                </w14:textFill>
              </w:rPr>
            </w:pPr>
            <w:r>
              <w:rPr>
                <w:rFonts w:hint="default" w:ascii="Times New Roman" w:hAnsi="Times New Roman" w:eastAsia="宋体" w:cs="Times New Roman"/>
                <w:color w:val="000000" w:themeColor="text1"/>
                <w:kern w:val="0"/>
                <w:sz w:val="24"/>
                <w:highlight w:val="none"/>
                <w14:textFill>
                  <w14:solidFill>
                    <w14:schemeClr w14:val="tx1"/>
                  </w14:solidFill>
                </w14:textFill>
              </w:rPr>
              <w:t>本项目对噪声源采取的措施主要有：</w:t>
            </w:r>
          </w:p>
          <w:p w14:paraId="65F9C10C">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szCs w:val="24"/>
                <w:highlight w:val="none"/>
                <w:lang w:val="en-GB"/>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GB"/>
                <w14:textFill>
                  <w14:solidFill>
                    <w14:schemeClr w14:val="tx1"/>
                  </w14:solidFill>
                </w14:textFill>
              </w:rPr>
              <w:t>防治噪声污染通常采用两种方法，首先从声源上降低噪声，选用低噪声的设备</w:t>
            </w:r>
            <w:r>
              <w:rPr>
                <w:rFonts w:hint="eastAsia" w:ascii="Times New Roman" w:hAnsi="Times New Roman" w:cs="Times New Roman"/>
                <w:color w:val="000000" w:themeColor="text1"/>
                <w:sz w:val="24"/>
                <w:szCs w:val="24"/>
                <w:highlight w:val="none"/>
                <w:lang w:val="en-GB" w:eastAsia="zh-CN"/>
                <w14:textFill>
                  <w14:solidFill>
                    <w14:schemeClr w14:val="tx1"/>
                  </w14:solidFill>
                </w14:textFill>
              </w:rPr>
              <w:t>，在</w:t>
            </w:r>
            <w:r>
              <w:rPr>
                <w:rFonts w:hint="default" w:ascii="Times New Roman" w:hAnsi="Times New Roman" w:eastAsia="宋体" w:cs="Times New Roman"/>
                <w:color w:val="000000" w:themeColor="text1"/>
                <w:sz w:val="24"/>
                <w:szCs w:val="24"/>
                <w:highlight w:val="none"/>
                <w:lang w:val="en-GB"/>
                <w14:textFill>
                  <w14:solidFill>
                    <w14:schemeClr w14:val="tx1"/>
                  </w14:solidFill>
                </w14:textFill>
              </w:rPr>
              <w:t>进行设备招标时，对重点噪声源严格控制，向设备制造厂家提出设备噪声限值和要求；其次从传播途径上降低噪声，采取加隔声罩等措施，使声源得到初步衰减，另外利用厂房隔声、绿化降噪等使噪声进一步衰减。具体措施如下：</w:t>
            </w:r>
          </w:p>
          <w:p w14:paraId="54EFCD89">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szCs w:val="24"/>
                <w:highlight w:val="none"/>
                <w:lang w:val="en-GB"/>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GB"/>
                <w14:textFill>
                  <w14:solidFill>
                    <w14:schemeClr w14:val="tx1"/>
                  </w14:solidFill>
                </w14:textFill>
              </w:rPr>
              <w:t>①从总平面布置上，在工艺合理的前</w:t>
            </w:r>
            <w:r>
              <w:rPr>
                <w:rFonts w:hint="default" w:ascii="Times New Roman" w:hAnsi="Times New Roman" w:eastAsia="宋体" w:cs="Times New Roman"/>
                <w:color w:val="000000" w:themeColor="text1"/>
                <w:sz w:val="24"/>
                <w:szCs w:val="24"/>
                <w:highlight w:val="none"/>
                <w:lang w:val="en-GB" w:eastAsia="zh-CN"/>
                <w14:textFill>
                  <w14:solidFill>
                    <w14:schemeClr w14:val="tx1"/>
                  </w14:solidFill>
                </w14:textFill>
              </w:rPr>
              <w:t>提</w:t>
            </w:r>
            <w:r>
              <w:rPr>
                <w:rFonts w:hint="eastAsia" w:ascii="Times New Roman" w:hAnsi="Times New Roman" w:cs="Times New Roman"/>
                <w:color w:val="000000" w:themeColor="text1"/>
                <w:sz w:val="24"/>
                <w:szCs w:val="24"/>
                <w:highlight w:val="none"/>
                <w:lang w:val="en-GB" w:eastAsia="zh-CN"/>
                <w14:textFill>
                  <w14:solidFill>
                    <w14:schemeClr w14:val="tx1"/>
                  </w14:solidFill>
                </w14:textFill>
              </w:rPr>
              <w:t>下</w:t>
            </w:r>
            <w:r>
              <w:rPr>
                <w:rFonts w:hint="default" w:ascii="Times New Roman" w:hAnsi="Times New Roman" w:eastAsia="宋体" w:cs="Times New Roman"/>
                <w:color w:val="000000" w:themeColor="text1"/>
                <w:sz w:val="24"/>
                <w:szCs w:val="24"/>
                <w:highlight w:val="none"/>
                <w:lang w:val="en-GB"/>
                <w14:textFill>
                  <w14:solidFill>
                    <w14:schemeClr w14:val="tx1"/>
                  </w14:solidFill>
                </w14:textFill>
              </w:rPr>
              <w:t>，优化布置，充分考虑重点噪声源的均匀布置，并尽量布置在场地中央。</w:t>
            </w:r>
          </w:p>
          <w:p w14:paraId="1AA5C57D">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szCs w:val="24"/>
                <w:highlight w:val="none"/>
                <w:lang w:val="en-GB"/>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GB"/>
                <w14:textFill>
                  <w14:solidFill>
                    <w14:schemeClr w14:val="tx1"/>
                  </w14:solidFill>
                </w14:textFill>
              </w:rPr>
              <w:t>②进行设备招标时，对重点噪声源严格控制，向设备制造厂家提出噪声控制要求。</w:t>
            </w:r>
          </w:p>
          <w:p w14:paraId="21464247">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szCs w:val="24"/>
                <w:highlight w:val="none"/>
                <w:lang w:val="en-GB"/>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GB"/>
                <w14:textFill>
                  <w14:solidFill>
                    <w14:schemeClr w14:val="tx1"/>
                  </w14:solidFill>
                </w14:textFill>
              </w:rPr>
              <w:t>③对引风机整个机组加隔音罩与外界隔离，同时采取减振措施，使之</w:t>
            </w:r>
            <w:r>
              <w:rPr>
                <w:rFonts w:hint="default" w:ascii="Times New Roman" w:hAnsi="Times New Roman" w:eastAsia="宋体" w:cs="Times New Roman"/>
                <w:color w:val="000000" w:themeColor="text1"/>
                <w:sz w:val="24"/>
                <w:szCs w:val="24"/>
                <w:highlight w:val="none"/>
                <w:lang w:val="en-GB"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GB"/>
                <w14:textFill>
                  <w14:solidFill>
                    <w14:schemeClr w14:val="tx1"/>
                  </w14:solidFill>
                </w14:textFill>
              </w:rPr>
              <w:t>距声源1m处</w:t>
            </w:r>
            <w:r>
              <w:rPr>
                <w:rFonts w:hint="default" w:ascii="Times New Roman" w:hAnsi="Times New Roman" w:eastAsia="宋体" w:cs="Times New Roman"/>
                <w:color w:val="000000" w:themeColor="text1"/>
                <w:sz w:val="24"/>
                <w:szCs w:val="24"/>
                <w:highlight w:val="none"/>
                <w:lang w:val="en-GB"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GB"/>
                <w14:textFill>
                  <w14:solidFill>
                    <w14:schemeClr w14:val="tx1"/>
                  </w14:solidFill>
                </w14:textFill>
              </w:rPr>
              <w:t>噪声值控制在80dB</w:t>
            </w:r>
            <w:r>
              <w:rPr>
                <w:rFonts w:hint="default" w:ascii="Times New Roman" w:hAnsi="Times New Roman" w:eastAsia="宋体" w:cs="Times New Roman"/>
                <w:color w:val="000000" w:themeColor="text1"/>
                <w:sz w:val="24"/>
                <w:szCs w:val="24"/>
                <w:highlight w:val="none"/>
                <w:lang w:val="en-GB"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GB"/>
                <w14:textFill>
                  <w14:solidFill>
                    <w14:schemeClr w14:val="tx1"/>
                  </w14:solidFill>
                </w14:textFill>
              </w:rPr>
              <w:t>A</w:t>
            </w:r>
            <w:r>
              <w:rPr>
                <w:rFonts w:hint="default" w:ascii="Times New Roman" w:hAnsi="Times New Roman" w:eastAsia="宋体" w:cs="Times New Roman"/>
                <w:color w:val="000000" w:themeColor="text1"/>
                <w:sz w:val="24"/>
                <w:szCs w:val="24"/>
                <w:highlight w:val="none"/>
                <w:lang w:val="en-GB"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GB"/>
                <w14:textFill>
                  <w14:solidFill>
                    <w14:schemeClr w14:val="tx1"/>
                  </w14:solidFill>
                </w14:textFill>
              </w:rPr>
              <w:t>之内。</w:t>
            </w:r>
          </w:p>
          <w:p w14:paraId="54936A50">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szCs w:val="24"/>
                <w:highlight w:val="none"/>
                <w:lang w:val="en-GB"/>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GB"/>
                <w14:textFill>
                  <w14:solidFill>
                    <w14:schemeClr w14:val="tx1"/>
                  </w14:solidFill>
                </w14:textFill>
              </w:rPr>
              <w:t>④各种噪声较大的泵，均采取</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隔</w:t>
            </w:r>
            <w:r>
              <w:rPr>
                <w:rFonts w:hint="default" w:ascii="Times New Roman" w:hAnsi="Times New Roman" w:eastAsia="宋体" w:cs="Times New Roman"/>
                <w:color w:val="000000" w:themeColor="text1"/>
                <w:sz w:val="24"/>
                <w:szCs w:val="24"/>
                <w:highlight w:val="none"/>
                <w:lang w:val="en-GB" w:eastAsia="zh-CN"/>
                <w14:textFill>
                  <w14:solidFill>
                    <w14:schemeClr w14:val="tx1"/>
                  </w14:solidFill>
                </w14:textFill>
              </w:rPr>
              <w:t>声</w:t>
            </w:r>
            <w:r>
              <w:rPr>
                <w:rFonts w:hint="default" w:ascii="Times New Roman" w:hAnsi="Times New Roman" w:eastAsia="宋体" w:cs="Times New Roman"/>
                <w:color w:val="000000" w:themeColor="text1"/>
                <w:sz w:val="24"/>
                <w:szCs w:val="24"/>
                <w:highlight w:val="none"/>
                <w:lang w:val="en-GB"/>
                <w14:textFill>
                  <w14:solidFill>
                    <w14:schemeClr w14:val="tx1"/>
                  </w14:solidFill>
                </w14:textFill>
              </w:rPr>
              <w:t>措施，使之</w:t>
            </w:r>
            <w:r>
              <w:rPr>
                <w:rFonts w:hint="default" w:ascii="Times New Roman" w:hAnsi="Times New Roman" w:eastAsia="宋体" w:cs="Times New Roman"/>
                <w:color w:val="000000" w:themeColor="text1"/>
                <w:sz w:val="24"/>
                <w:szCs w:val="24"/>
                <w:highlight w:val="none"/>
                <w:lang w:val="en-GB"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GB"/>
                <w14:textFill>
                  <w14:solidFill>
                    <w14:schemeClr w14:val="tx1"/>
                  </w14:solidFill>
                </w14:textFill>
              </w:rPr>
              <w:t>距声源1m处</w:t>
            </w:r>
            <w:r>
              <w:rPr>
                <w:rFonts w:hint="default" w:ascii="Times New Roman" w:hAnsi="Times New Roman" w:eastAsia="宋体" w:cs="Times New Roman"/>
                <w:color w:val="000000" w:themeColor="text1"/>
                <w:sz w:val="24"/>
                <w:szCs w:val="24"/>
                <w:highlight w:val="none"/>
                <w:lang w:val="en-GB"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GB"/>
                <w14:textFill>
                  <w14:solidFill>
                    <w14:schemeClr w14:val="tx1"/>
                  </w14:solidFill>
                </w14:textFill>
              </w:rPr>
              <w:t>噪声值控制在85dB</w:t>
            </w:r>
            <w:r>
              <w:rPr>
                <w:rFonts w:hint="default" w:ascii="Times New Roman" w:hAnsi="Times New Roman" w:eastAsia="宋体" w:cs="Times New Roman"/>
                <w:color w:val="000000" w:themeColor="text1"/>
                <w:sz w:val="24"/>
                <w:szCs w:val="24"/>
                <w:highlight w:val="none"/>
                <w:lang w:val="en-GB"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GB"/>
                <w14:textFill>
                  <w14:solidFill>
                    <w14:schemeClr w14:val="tx1"/>
                  </w14:solidFill>
                </w14:textFill>
              </w:rPr>
              <w:t>A</w:t>
            </w:r>
            <w:r>
              <w:rPr>
                <w:rFonts w:hint="default" w:ascii="Times New Roman" w:hAnsi="Times New Roman" w:eastAsia="宋体" w:cs="Times New Roman"/>
                <w:color w:val="000000" w:themeColor="text1"/>
                <w:sz w:val="24"/>
                <w:szCs w:val="24"/>
                <w:highlight w:val="none"/>
                <w:lang w:val="en-GB"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GB"/>
                <w14:textFill>
                  <w14:solidFill>
                    <w14:schemeClr w14:val="tx1"/>
                  </w14:solidFill>
                </w14:textFill>
              </w:rPr>
              <w:t>之内。</w:t>
            </w:r>
          </w:p>
          <w:p w14:paraId="259B5ABF">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szCs w:val="24"/>
                <w:highlight w:val="none"/>
                <w:lang w:val="en-GB"/>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GB"/>
                <w14:textFill>
                  <w14:solidFill>
                    <w14:schemeClr w14:val="tx1"/>
                  </w14:solidFill>
                </w14:textFill>
              </w:rPr>
              <w:t>⑤在人员活动较频繁的声源车间，结合车间环境，适当设置吸声壁面、隔声障壁等。</w:t>
            </w:r>
          </w:p>
          <w:p w14:paraId="01855726">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szCs w:val="24"/>
                <w:highlight w:val="none"/>
                <w:lang w:val="en-GB"/>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GB"/>
                <w14:textFill>
                  <w14:solidFill>
                    <w14:schemeClr w14:val="tx1"/>
                  </w14:solidFill>
                </w14:textFill>
              </w:rPr>
              <w:t>⑥厂区内植树绿化，以衰减噪声。</w:t>
            </w:r>
          </w:p>
          <w:p w14:paraId="4692B2A7">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szCs w:val="24"/>
                <w:highlight w:val="none"/>
                <w:lang w:val="en-GB"/>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GB"/>
                <w14:textFill>
                  <w14:solidFill>
                    <w14:schemeClr w14:val="tx1"/>
                  </w14:solidFill>
                </w14:textFill>
              </w:rPr>
              <w:t>⑦在设备安装及土建施工时，重点设备均应采取减振、防振措施，现场严格监督管理，提高安装质量，从声源上控制施工时的噪声水平。</w:t>
            </w:r>
          </w:p>
          <w:p w14:paraId="7302E8B4">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szCs w:val="24"/>
                <w:highlight w:val="none"/>
                <w:lang w:val="en-GB"/>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GB"/>
                <w14:textFill>
                  <w14:solidFill>
                    <w14:schemeClr w14:val="tx1"/>
                  </w14:solidFill>
                </w14:textFill>
              </w:rPr>
              <w:t>⑧避免夜间运输物料，减少运输过程的车辆噪声。</w:t>
            </w:r>
          </w:p>
          <w:p w14:paraId="6D8FE37B">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szCs w:val="24"/>
                <w:highlight w:val="none"/>
                <w:lang w:val="en-GB"/>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GB"/>
                <w14:textFill>
                  <w14:solidFill>
                    <w14:schemeClr w14:val="tx1"/>
                  </w14:solidFill>
                </w14:textFill>
              </w:rPr>
              <w:t>为减少项目噪声对环境污染，并且美化环境，改善职工的工作条件，本工程设计中对建设场地进行绿化，因地制宜选择树种，在厂房周围及道路两侧种植大量树木，以达到防尘、降噪、美化环境的目的。</w:t>
            </w:r>
          </w:p>
          <w:p w14:paraId="36B2F6CD">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b/>
                <w:bCs/>
                <w:color w:val="000000" w:themeColor="text1"/>
                <w:sz w:val="24"/>
                <w:highlight w:val="none"/>
                <w14:textFill>
                  <w14:solidFill>
                    <w14:schemeClr w14:val="tx1"/>
                  </w14:solidFill>
                </w14:textFill>
              </w:rPr>
            </w:pPr>
            <w:r>
              <w:rPr>
                <w:rFonts w:hint="default" w:ascii="Times New Roman" w:hAnsi="Times New Roman" w:eastAsia="宋体" w:cs="Times New Roman"/>
                <w:b/>
                <w:bCs/>
                <w:color w:val="000000" w:themeColor="text1"/>
                <w:sz w:val="24"/>
                <w:highlight w:val="none"/>
                <w14:textFill>
                  <w14:solidFill>
                    <w14:schemeClr w14:val="tx1"/>
                  </w14:solidFill>
                </w14:textFill>
              </w:rPr>
              <w:t>4.3监测要求</w:t>
            </w:r>
          </w:p>
          <w:p w14:paraId="5BC3831C">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szCs w:val="24"/>
                <w:highlight w:val="none"/>
                <w:lang w:val="en-GB"/>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GB"/>
                <w14:textFill>
                  <w14:solidFill>
                    <w14:schemeClr w14:val="tx1"/>
                  </w14:solidFill>
                </w14:textFill>
              </w:rPr>
              <w:t>本次评价按照《排污单位自行监测技术指南总则》</w:t>
            </w:r>
            <w:r>
              <w:rPr>
                <w:rFonts w:hint="default" w:ascii="Times New Roman" w:hAnsi="Times New Roman" w:eastAsia="宋体" w:cs="Times New Roman"/>
                <w:color w:val="000000" w:themeColor="text1"/>
                <w:sz w:val="24"/>
                <w:szCs w:val="24"/>
                <w:highlight w:val="none"/>
                <w:lang w:val="en-GB"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GB"/>
                <w14:textFill>
                  <w14:solidFill>
                    <w14:schemeClr w14:val="tx1"/>
                  </w14:solidFill>
                </w14:textFill>
              </w:rPr>
              <w:t>HJ819-2017</w:t>
            </w:r>
            <w:r>
              <w:rPr>
                <w:rFonts w:hint="default" w:ascii="Times New Roman" w:hAnsi="Times New Roman" w:eastAsia="宋体" w:cs="Times New Roman"/>
                <w:color w:val="000000" w:themeColor="text1"/>
                <w:sz w:val="24"/>
                <w:szCs w:val="24"/>
                <w:highlight w:val="none"/>
                <w:lang w:val="en-GB"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GB"/>
                <w14:textFill>
                  <w14:solidFill>
                    <w14:schemeClr w14:val="tx1"/>
                  </w14:solidFill>
                </w14:textFill>
              </w:rPr>
              <w:t>制定项目运营期监测计划。</w:t>
            </w:r>
          </w:p>
          <w:p w14:paraId="6F59BDD9">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szCs w:val="24"/>
                <w:highlight w:val="none"/>
                <w:lang w:val="en-GB"/>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GB"/>
                <w14:textFill>
                  <w14:solidFill>
                    <w14:schemeClr w14:val="tx1"/>
                  </w14:solidFill>
                </w14:textFill>
              </w:rPr>
              <w:t>对运营期产生的噪声进行监测，监测内容和频次见下表。</w:t>
            </w:r>
          </w:p>
          <w:p w14:paraId="672668BB">
            <w:pPr>
              <w:keepNext w:val="0"/>
              <w:keepLines w:val="0"/>
              <w:pageBreakBefore w:val="0"/>
              <w:widowControl w:val="0"/>
              <w:kinsoku/>
              <w:wordWrap/>
              <w:overflowPunct/>
              <w:topLinePunct w:val="0"/>
              <w:autoSpaceDE/>
              <w:autoSpaceDN/>
              <w:bidi w:val="0"/>
              <w:adjustRightInd/>
              <w:snapToGrid/>
              <w:ind w:firstLine="482"/>
              <w:jc w:val="center"/>
              <w:textAlignment w:val="auto"/>
              <w:rPr>
                <w:rFonts w:hint="default" w:ascii="Times New Roman" w:hAnsi="Times New Roman" w:cs="Times New Roman"/>
                <w:b/>
                <w:color w:val="000000" w:themeColor="text1"/>
                <w:sz w:val="24"/>
                <w:highlight w:val="none"/>
                <w14:textFill>
                  <w14:solidFill>
                    <w14:schemeClr w14:val="tx1"/>
                  </w14:solidFill>
                </w14:textFill>
              </w:rPr>
            </w:pPr>
            <w:r>
              <w:rPr>
                <w:rFonts w:hint="default" w:ascii="Times New Roman" w:hAnsi="Times New Roman" w:eastAsia="宋体" w:cs="Times New Roman"/>
                <w:b/>
                <w:color w:val="000000" w:themeColor="text1"/>
                <w:sz w:val="24"/>
                <w:highlight w:val="none"/>
                <w14:textFill>
                  <w14:solidFill>
                    <w14:schemeClr w14:val="tx1"/>
                  </w14:solidFill>
                </w14:textFill>
              </w:rPr>
              <w:t>表</w:t>
            </w:r>
            <w:r>
              <w:rPr>
                <w:rFonts w:hint="default" w:ascii="Times New Roman" w:hAnsi="Times New Roman" w:eastAsia="宋体" w:cs="Times New Roman"/>
                <w:b/>
                <w:color w:val="000000" w:themeColor="text1"/>
                <w:sz w:val="24"/>
                <w:highlight w:val="none"/>
                <w:lang w:val="en-US" w:eastAsia="zh-CN"/>
                <w14:textFill>
                  <w14:solidFill>
                    <w14:schemeClr w14:val="tx1"/>
                  </w14:solidFill>
                </w14:textFill>
              </w:rPr>
              <w:t>4-</w:t>
            </w:r>
            <w:r>
              <w:rPr>
                <w:rFonts w:hint="eastAsia" w:cs="Times New Roman"/>
                <w:b/>
                <w:color w:val="000000" w:themeColor="text1"/>
                <w:sz w:val="24"/>
                <w:highlight w:val="none"/>
                <w:lang w:val="en-US" w:eastAsia="zh-CN"/>
                <w14:textFill>
                  <w14:solidFill>
                    <w14:schemeClr w14:val="tx1"/>
                  </w14:solidFill>
                </w14:textFill>
              </w:rPr>
              <w:t>22</w:t>
            </w:r>
            <w:r>
              <w:rPr>
                <w:rFonts w:hint="default" w:ascii="Times New Roman" w:hAnsi="Times New Roman" w:eastAsia="宋体" w:cs="Times New Roman"/>
                <w:b/>
                <w:color w:val="000000" w:themeColor="text1"/>
                <w:sz w:val="24"/>
                <w:highlight w:val="none"/>
                <w14:textFill>
                  <w14:solidFill>
                    <w14:schemeClr w14:val="tx1"/>
                  </w14:solidFill>
                </w14:textFill>
              </w:rPr>
              <w:t>运</w:t>
            </w:r>
            <w:r>
              <w:rPr>
                <w:rFonts w:hint="default" w:ascii="Times New Roman" w:hAnsi="Times New Roman" w:cs="Times New Roman"/>
                <w:b/>
                <w:color w:val="000000" w:themeColor="text1"/>
                <w:sz w:val="24"/>
                <w:highlight w:val="none"/>
                <w14:textFill>
                  <w14:solidFill>
                    <w14:schemeClr w14:val="tx1"/>
                  </w14:solidFill>
                </w14:textFill>
              </w:rPr>
              <w:t>营期环境监测计划表</w:t>
            </w:r>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96"/>
              <w:gridCol w:w="1701"/>
              <w:gridCol w:w="1417"/>
              <w:gridCol w:w="1276"/>
              <w:gridCol w:w="2956"/>
            </w:tblGrid>
            <w:tr w14:paraId="61FB6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09" w:hRule="atLeast"/>
                <w:jc w:val="center"/>
              </w:trPr>
              <w:tc>
                <w:tcPr>
                  <w:tcW w:w="596" w:type="dxa"/>
                  <w:noWrap w:val="0"/>
                  <w:vAlign w:val="center"/>
                </w:tcPr>
                <w:p w14:paraId="6FB83272">
                  <w:pPr>
                    <w:jc w:val="center"/>
                    <w:rPr>
                      <w:rFonts w:hint="default" w:ascii="Times New Roman" w:hAnsi="Times New Roman" w:cs="Times New Roman"/>
                      <w:b w:val="0"/>
                      <w:bCs w:val="0"/>
                      <w:color w:val="000000" w:themeColor="text1"/>
                      <w:szCs w:val="21"/>
                      <w:highlight w:val="none"/>
                      <w14:textFill>
                        <w14:solidFill>
                          <w14:schemeClr w14:val="tx1"/>
                        </w14:solidFill>
                      </w14:textFill>
                    </w:rPr>
                  </w:pPr>
                  <w:r>
                    <w:rPr>
                      <w:rFonts w:hint="default" w:ascii="Times New Roman" w:hAnsi="Times New Roman" w:cs="Times New Roman"/>
                      <w:b w:val="0"/>
                      <w:bCs w:val="0"/>
                      <w:color w:val="000000" w:themeColor="text1"/>
                      <w:szCs w:val="21"/>
                      <w:highlight w:val="none"/>
                      <w14:textFill>
                        <w14:solidFill>
                          <w14:schemeClr w14:val="tx1"/>
                        </w14:solidFill>
                      </w14:textFill>
                    </w:rPr>
                    <w:t>类别</w:t>
                  </w:r>
                </w:p>
              </w:tc>
              <w:tc>
                <w:tcPr>
                  <w:tcW w:w="1701" w:type="dxa"/>
                  <w:noWrap w:val="0"/>
                  <w:vAlign w:val="center"/>
                </w:tcPr>
                <w:p w14:paraId="5AA48FC0">
                  <w:pPr>
                    <w:jc w:val="center"/>
                    <w:rPr>
                      <w:rFonts w:hint="default" w:ascii="Times New Roman" w:hAnsi="Times New Roman" w:cs="Times New Roman"/>
                      <w:b w:val="0"/>
                      <w:bCs w:val="0"/>
                      <w:color w:val="000000" w:themeColor="text1"/>
                      <w:szCs w:val="21"/>
                      <w:highlight w:val="none"/>
                      <w14:textFill>
                        <w14:solidFill>
                          <w14:schemeClr w14:val="tx1"/>
                        </w14:solidFill>
                      </w14:textFill>
                    </w:rPr>
                  </w:pPr>
                  <w:r>
                    <w:rPr>
                      <w:rFonts w:hint="default" w:ascii="Times New Roman" w:hAnsi="Times New Roman" w:cs="Times New Roman"/>
                      <w:b w:val="0"/>
                      <w:bCs w:val="0"/>
                      <w:color w:val="000000" w:themeColor="text1"/>
                      <w:szCs w:val="21"/>
                      <w:highlight w:val="none"/>
                      <w14:textFill>
                        <w14:solidFill>
                          <w14:schemeClr w14:val="tx1"/>
                        </w14:solidFill>
                      </w14:textFill>
                    </w:rPr>
                    <w:t>监测位置</w:t>
                  </w:r>
                </w:p>
              </w:tc>
              <w:tc>
                <w:tcPr>
                  <w:tcW w:w="1417" w:type="dxa"/>
                  <w:noWrap w:val="0"/>
                  <w:vAlign w:val="center"/>
                </w:tcPr>
                <w:p w14:paraId="182D31AF">
                  <w:pPr>
                    <w:jc w:val="center"/>
                    <w:rPr>
                      <w:rFonts w:hint="default" w:ascii="Times New Roman" w:hAnsi="Times New Roman" w:cs="Times New Roman"/>
                      <w:b w:val="0"/>
                      <w:bCs w:val="0"/>
                      <w:color w:val="000000" w:themeColor="text1"/>
                      <w:szCs w:val="21"/>
                      <w:highlight w:val="none"/>
                      <w14:textFill>
                        <w14:solidFill>
                          <w14:schemeClr w14:val="tx1"/>
                        </w14:solidFill>
                      </w14:textFill>
                    </w:rPr>
                  </w:pPr>
                  <w:r>
                    <w:rPr>
                      <w:rFonts w:hint="default" w:ascii="Times New Roman" w:hAnsi="Times New Roman" w:cs="Times New Roman"/>
                      <w:b w:val="0"/>
                      <w:bCs w:val="0"/>
                      <w:color w:val="000000" w:themeColor="text1"/>
                      <w:szCs w:val="21"/>
                      <w:highlight w:val="none"/>
                      <w14:textFill>
                        <w14:solidFill>
                          <w14:schemeClr w14:val="tx1"/>
                        </w14:solidFill>
                      </w14:textFill>
                    </w:rPr>
                    <w:t>监测项目</w:t>
                  </w:r>
                </w:p>
              </w:tc>
              <w:tc>
                <w:tcPr>
                  <w:tcW w:w="1276" w:type="dxa"/>
                  <w:noWrap w:val="0"/>
                  <w:vAlign w:val="center"/>
                </w:tcPr>
                <w:p w14:paraId="6C489DAF">
                  <w:pPr>
                    <w:jc w:val="center"/>
                    <w:rPr>
                      <w:rFonts w:hint="default" w:ascii="Times New Roman" w:hAnsi="Times New Roman" w:cs="Times New Roman"/>
                      <w:b w:val="0"/>
                      <w:bCs w:val="0"/>
                      <w:color w:val="000000" w:themeColor="text1"/>
                      <w:szCs w:val="21"/>
                      <w:highlight w:val="none"/>
                      <w14:textFill>
                        <w14:solidFill>
                          <w14:schemeClr w14:val="tx1"/>
                        </w14:solidFill>
                      </w14:textFill>
                    </w:rPr>
                  </w:pPr>
                  <w:r>
                    <w:rPr>
                      <w:rFonts w:hint="default" w:ascii="Times New Roman" w:hAnsi="Times New Roman" w:cs="Times New Roman"/>
                      <w:b w:val="0"/>
                      <w:bCs w:val="0"/>
                      <w:color w:val="000000" w:themeColor="text1"/>
                      <w:szCs w:val="21"/>
                      <w:highlight w:val="none"/>
                      <w14:textFill>
                        <w14:solidFill>
                          <w14:schemeClr w14:val="tx1"/>
                        </w14:solidFill>
                      </w14:textFill>
                    </w:rPr>
                    <w:t>监测频次</w:t>
                  </w:r>
                </w:p>
              </w:tc>
              <w:tc>
                <w:tcPr>
                  <w:tcW w:w="2956" w:type="dxa"/>
                  <w:noWrap w:val="0"/>
                  <w:vAlign w:val="center"/>
                </w:tcPr>
                <w:p w14:paraId="5CFC5D1B">
                  <w:pPr>
                    <w:jc w:val="center"/>
                    <w:rPr>
                      <w:rFonts w:hint="default" w:ascii="Times New Roman" w:hAnsi="Times New Roman" w:cs="Times New Roman"/>
                      <w:b w:val="0"/>
                      <w:bCs w:val="0"/>
                      <w:color w:val="000000" w:themeColor="text1"/>
                      <w:szCs w:val="21"/>
                      <w:highlight w:val="none"/>
                      <w14:textFill>
                        <w14:solidFill>
                          <w14:schemeClr w14:val="tx1"/>
                        </w14:solidFill>
                      </w14:textFill>
                    </w:rPr>
                  </w:pPr>
                  <w:r>
                    <w:rPr>
                      <w:rFonts w:hint="default" w:ascii="Times New Roman" w:hAnsi="Times New Roman" w:cs="Times New Roman"/>
                      <w:b w:val="0"/>
                      <w:bCs w:val="0"/>
                      <w:color w:val="000000" w:themeColor="text1"/>
                      <w:szCs w:val="21"/>
                      <w:highlight w:val="none"/>
                      <w14:textFill>
                        <w14:solidFill>
                          <w14:schemeClr w14:val="tx1"/>
                        </w14:solidFill>
                      </w14:textFill>
                    </w:rPr>
                    <w:t>控制目标</w:t>
                  </w:r>
                </w:p>
              </w:tc>
            </w:tr>
            <w:tr w14:paraId="561A6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0" w:hRule="atLeast"/>
                <w:jc w:val="center"/>
              </w:trPr>
              <w:tc>
                <w:tcPr>
                  <w:tcW w:w="596" w:type="dxa"/>
                  <w:noWrap w:val="0"/>
                  <w:vAlign w:val="center"/>
                </w:tcPr>
                <w:p w14:paraId="6ABC3F90">
                  <w:pPr>
                    <w:jc w:val="center"/>
                    <w:rPr>
                      <w:rFonts w:hint="default" w:ascii="Times New Roman" w:hAnsi="Times New Roman" w:cs="Times New Roman"/>
                      <w:b w:val="0"/>
                      <w:bCs w:val="0"/>
                      <w:color w:val="000000" w:themeColor="text1"/>
                      <w:szCs w:val="21"/>
                      <w:highlight w:val="none"/>
                      <w14:textFill>
                        <w14:solidFill>
                          <w14:schemeClr w14:val="tx1"/>
                        </w14:solidFill>
                      </w14:textFill>
                    </w:rPr>
                  </w:pPr>
                  <w:r>
                    <w:rPr>
                      <w:rFonts w:hint="default" w:ascii="Times New Roman" w:hAnsi="Times New Roman" w:cs="Times New Roman"/>
                      <w:b w:val="0"/>
                      <w:bCs w:val="0"/>
                      <w:color w:val="000000" w:themeColor="text1"/>
                      <w:szCs w:val="21"/>
                      <w:highlight w:val="none"/>
                      <w14:textFill>
                        <w14:solidFill>
                          <w14:schemeClr w14:val="tx1"/>
                        </w14:solidFill>
                      </w14:textFill>
                    </w:rPr>
                    <w:t>噪声</w:t>
                  </w:r>
                </w:p>
              </w:tc>
              <w:tc>
                <w:tcPr>
                  <w:tcW w:w="1701" w:type="dxa"/>
                  <w:noWrap w:val="0"/>
                  <w:vAlign w:val="center"/>
                </w:tcPr>
                <w:p w14:paraId="0B60B330">
                  <w:pPr>
                    <w:jc w:val="center"/>
                    <w:rPr>
                      <w:rFonts w:hint="default" w:ascii="Times New Roman" w:hAnsi="Times New Roman" w:cs="Times New Roman"/>
                      <w:b w:val="0"/>
                      <w:bCs w:val="0"/>
                      <w:color w:val="000000" w:themeColor="text1"/>
                      <w:szCs w:val="21"/>
                      <w:highlight w:val="none"/>
                      <w14:textFill>
                        <w14:solidFill>
                          <w14:schemeClr w14:val="tx1"/>
                        </w14:solidFill>
                      </w14:textFill>
                    </w:rPr>
                  </w:pPr>
                  <w:r>
                    <w:rPr>
                      <w:rFonts w:hint="default" w:ascii="Times New Roman" w:hAnsi="Times New Roman" w:cs="Times New Roman"/>
                      <w:b w:val="0"/>
                      <w:bCs w:val="0"/>
                      <w:color w:val="000000" w:themeColor="text1"/>
                      <w:szCs w:val="21"/>
                      <w:highlight w:val="none"/>
                      <w14:textFill>
                        <w14:solidFill>
                          <w14:schemeClr w14:val="tx1"/>
                        </w14:solidFill>
                      </w14:textFill>
                    </w:rPr>
                    <w:t>厂界四周1m处</w:t>
                  </w:r>
                </w:p>
              </w:tc>
              <w:tc>
                <w:tcPr>
                  <w:tcW w:w="1417" w:type="dxa"/>
                  <w:noWrap w:val="0"/>
                  <w:vAlign w:val="center"/>
                </w:tcPr>
                <w:p w14:paraId="20B065C2">
                  <w:pPr>
                    <w:jc w:val="center"/>
                    <w:rPr>
                      <w:rFonts w:hint="default" w:ascii="Times New Roman" w:hAnsi="Times New Roman" w:cs="Times New Roman"/>
                      <w:b w:val="0"/>
                      <w:bCs w:val="0"/>
                      <w:color w:val="000000" w:themeColor="text1"/>
                      <w:szCs w:val="21"/>
                      <w:highlight w:val="none"/>
                      <w14:textFill>
                        <w14:solidFill>
                          <w14:schemeClr w14:val="tx1"/>
                        </w14:solidFill>
                      </w14:textFill>
                    </w:rPr>
                  </w:pPr>
                  <w:r>
                    <w:rPr>
                      <w:rFonts w:hint="default" w:ascii="Times New Roman" w:hAnsi="Times New Roman" w:cs="Times New Roman"/>
                      <w:b w:val="0"/>
                      <w:bCs w:val="0"/>
                      <w:color w:val="000000" w:themeColor="text1"/>
                      <w:szCs w:val="21"/>
                      <w:highlight w:val="none"/>
                      <w14:textFill>
                        <w14:solidFill>
                          <w14:schemeClr w14:val="tx1"/>
                        </w14:solidFill>
                      </w14:textFill>
                    </w:rPr>
                    <w:t>等效A声级</w:t>
                  </w:r>
                </w:p>
              </w:tc>
              <w:tc>
                <w:tcPr>
                  <w:tcW w:w="1276" w:type="dxa"/>
                  <w:noWrap w:val="0"/>
                  <w:vAlign w:val="center"/>
                </w:tcPr>
                <w:p w14:paraId="48EBFFA2">
                  <w:pPr>
                    <w:jc w:val="center"/>
                    <w:rPr>
                      <w:rFonts w:hint="default" w:ascii="Times New Roman" w:hAnsi="Times New Roman" w:cs="Times New Roman"/>
                      <w:b w:val="0"/>
                      <w:bCs w:val="0"/>
                      <w:color w:val="000000" w:themeColor="text1"/>
                      <w:szCs w:val="21"/>
                      <w:highlight w:val="none"/>
                      <w14:textFill>
                        <w14:solidFill>
                          <w14:schemeClr w14:val="tx1"/>
                        </w14:solidFill>
                      </w14:textFill>
                    </w:rPr>
                  </w:pPr>
                  <w:r>
                    <w:rPr>
                      <w:rFonts w:hint="default" w:ascii="Times New Roman" w:hAnsi="Times New Roman" w:cs="Times New Roman"/>
                      <w:b w:val="0"/>
                      <w:bCs w:val="0"/>
                      <w:color w:val="000000" w:themeColor="text1"/>
                      <w:szCs w:val="21"/>
                      <w:highlight w:val="none"/>
                      <w14:textFill>
                        <w14:solidFill>
                          <w14:schemeClr w14:val="tx1"/>
                        </w14:solidFill>
                      </w14:textFill>
                    </w:rPr>
                    <w:t>1次/季度</w:t>
                  </w:r>
                </w:p>
                <w:p w14:paraId="3B9C5572">
                  <w:pPr>
                    <w:jc w:val="center"/>
                    <w:rPr>
                      <w:rFonts w:hint="default" w:ascii="Times New Roman" w:hAnsi="Times New Roman" w:cs="Times New Roman"/>
                      <w:b w:val="0"/>
                      <w:bCs w:val="0"/>
                      <w:color w:val="000000" w:themeColor="text1"/>
                      <w:szCs w:val="21"/>
                      <w:highlight w:val="none"/>
                      <w14:textFill>
                        <w14:solidFill>
                          <w14:schemeClr w14:val="tx1"/>
                        </w14:solidFill>
                      </w14:textFill>
                    </w:rPr>
                  </w:pPr>
                  <w:r>
                    <w:rPr>
                      <w:rFonts w:hint="default" w:ascii="Times New Roman" w:hAnsi="Times New Roman" w:cs="Times New Roman"/>
                      <w:b w:val="0"/>
                      <w:bCs w:val="0"/>
                      <w:color w:val="000000" w:themeColor="text1"/>
                      <w:szCs w:val="21"/>
                      <w:highlight w:val="none"/>
                      <w14:textFill>
                        <w14:solidFill>
                          <w14:schemeClr w14:val="tx1"/>
                        </w14:solidFill>
                      </w14:textFill>
                    </w:rPr>
                    <w:t>（昼夜均测）</w:t>
                  </w:r>
                </w:p>
              </w:tc>
              <w:tc>
                <w:tcPr>
                  <w:tcW w:w="2956" w:type="dxa"/>
                  <w:noWrap w:val="0"/>
                  <w:vAlign w:val="center"/>
                </w:tcPr>
                <w:p w14:paraId="5D729108">
                  <w:pPr>
                    <w:jc w:val="center"/>
                    <w:rPr>
                      <w:rFonts w:hint="default" w:ascii="Times New Roman" w:hAnsi="Times New Roman" w:cs="Times New Roman"/>
                      <w:b w:val="0"/>
                      <w:bCs w:val="0"/>
                      <w:color w:val="000000" w:themeColor="text1"/>
                      <w:szCs w:val="21"/>
                      <w:highlight w:val="none"/>
                      <w14:textFill>
                        <w14:solidFill>
                          <w14:schemeClr w14:val="tx1"/>
                        </w14:solidFill>
                      </w14:textFill>
                    </w:rPr>
                  </w:pPr>
                  <w:r>
                    <w:rPr>
                      <w:rFonts w:hint="default" w:ascii="Times New Roman" w:hAnsi="Times New Roman" w:cs="Times New Roman"/>
                      <w:b w:val="0"/>
                      <w:bCs w:val="0"/>
                      <w:color w:val="000000" w:themeColor="text1"/>
                      <w:szCs w:val="21"/>
                      <w:highlight w:val="none"/>
                      <w14:textFill>
                        <w14:solidFill>
                          <w14:schemeClr w14:val="tx1"/>
                        </w14:solidFill>
                      </w14:textFill>
                    </w:rPr>
                    <w:t>《工业企业厂界环境噪声</w:t>
                  </w:r>
                  <w:r>
                    <w:rPr>
                      <w:rFonts w:hint="default" w:ascii="Times New Roman" w:hAnsi="Times New Roman" w:cs="Times New Roman"/>
                      <w:b w:val="0"/>
                      <w:bCs w:val="0"/>
                      <w:color w:val="000000" w:themeColor="text1"/>
                      <w:szCs w:val="21"/>
                      <w:highlight w:val="none"/>
                      <w:lang w:val="en-US" w:eastAsia="zh-CN"/>
                      <w14:textFill>
                        <w14:solidFill>
                          <w14:schemeClr w14:val="tx1"/>
                        </w14:solidFill>
                      </w14:textFill>
                    </w:rPr>
                    <w:t>排放</w:t>
                  </w:r>
                  <w:r>
                    <w:rPr>
                      <w:rFonts w:hint="default" w:ascii="Times New Roman" w:hAnsi="Times New Roman" w:cs="Times New Roman"/>
                      <w:b w:val="0"/>
                      <w:bCs w:val="0"/>
                      <w:color w:val="000000" w:themeColor="text1"/>
                      <w:szCs w:val="21"/>
                      <w:highlight w:val="none"/>
                      <w14:textFill>
                        <w14:solidFill>
                          <w14:schemeClr w14:val="tx1"/>
                        </w14:solidFill>
                      </w14:textFill>
                    </w:rPr>
                    <w:t>标准》（GB12348-2008）3类标准</w:t>
                  </w:r>
                </w:p>
              </w:tc>
            </w:tr>
          </w:tbl>
          <w:p w14:paraId="67546872">
            <w:pPr>
              <w:widowControl/>
              <w:spacing w:before="120" w:beforeLines="50"/>
              <w:ind w:firstLine="482"/>
              <w:jc w:val="left"/>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4"/>
                <w:highlight w:val="none"/>
                <w:lang w:eastAsia="zh-CN"/>
                <w14:textFill>
                  <w14:solidFill>
                    <w14:schemeClr w14:val="tx1"/>
                  </w14:solidFill>
                </w14:textFill>
              </w:rPr>
              <w:t>5.</w:t>
            </w:r>
            <w:r>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t>环境</w:t>
            </w:r>
            <w:r>
              <w:rPr>
                <w:rFonts w:hint="eastAsia" w:cs="Times New Roman"/>
                <w:b/>
                <w:bCs/>
                <w:color w:val="000000" w:themeColor="text1"/>
                <w:sz w:val="24"/>
                <w:highlight w:val="none"/>
                <w:lang w:val="en-US" w:eastAsia="zh-CN"/>
                <w14:textFill>
                  <w14:solidFill>
                    <w14:schemeClr w14:val="tx1"/>
                  </w14:solidFill>
                </w14:textFill>
              </w:rPr>
              <w:t>风险</w:t>
            </w:r>
            <w:r>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t>分析与评价</w:t>
            </w:r>
          </w:p>
          <w:p w14:paraId="5A145832">
            <w:pPr>
              <w:pStyle w:val="14"/>
              <w:spacing w:line="500" w:lineRule="exact"/>
              <w:ind w:firstLine="480" w:firstLineChars="200"/>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根据《建设项目环境风险评价技术导则》（HJ169-2018），涉及有毒有害和易燃易爆危险物质生产、使用、储存的可能发生突发性事故（不包括人为破坏及自然灾害引发的事故）的建设项目应进行环境风险评价，环境风险评价应以突发性事故导致的危险物质环境急性损害防控为目标，对建设项目的环境风险进行分析、预测和评估，提出环境风险预防、控制、减缓措施，明确环境风险监控及应急建议要求，为建设项目环境风险防控提供科学依据。</w:t>
            </w:r>
          </w:p>
          <w:p w14:paraId="77365EDF">
            <w:pPr>
              <w:pStyle w:val="14"/>
              <w:spacing w:line="500" w:lineRule="exact"/>
              <w:ind w:firstLine="482" w:firstLineChars="200"/>
              <w:rPr>
                <w:rFonts w:hint="default" w:ascii="Times New Roman" w:hAnsi="Times New Roman" w:eastAsia="宋体" w:cs="Times New Roman"/>
                <w:b/>
                <w:bCs/>
                <w:color w:val="000000" w:themeColor="text1"/>
                <w:sz w:val="24"/>
                <w:szCs w:val="24"/>
                <w:highlight w:val="none"/>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5</w:t>
            </w:r>
            <w:r>
              <w:rPr>
                <w:rFonts w:hint="default" w:ascii="Times New Roman" w:hAnsi="Times New Roman" w:eastAsia="宋体" w:cs="Times New Roman"/>
                <w:b/>
                <w:bCs/>
                <w:color w:val="000000" w:themeColor="text1"/>
                <w:sz w:val="24"/>
                <w:szCs w:val="24"/>
                <w:highlight w:val="none"/>
                <w14:textFill>
                  <w14:solidFill>
                    <w14:schemeClr w14:val="tx1"/>
                  </w14:solidFill>
                </w14:textFill>
              </w:rPr>
              <w:t>.1风险识别</w:t>
            </w:r>
          </w:p>
          <w:p w14:paraId="26825F3C">
            <w:pPr>
              <w:pStyle w:val="14"/>
              <w:spacing w:line="500" w:lineRule="exact"/>
              <w:ind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zh-CN"/>
                <w14:textFill>
                  <w14:solidFill>
                    <w14:schemeClr w14:val="tx1"/>
                  </w14:solidFill>
                </w14:textFill>
              </w:rPr>
              <w:t>本项目回转窑使用的燃料为</w:t>
            </w:r>
            <w:r>
              <w:rPr>
                <w:rFonts w:hint="default" w:ascii="Times New Roman" w:hAnsi="Times New Roman" w:eastAsia="宋体" w:cs="Times New Roman"/>
                <w:color w:val="000000" w:themeColor="text1"/>
                <w:sz w:val="24"/>
                <w:szCs w:val="24"/>
                <w:highlight w:val="none"/>
                <w:lang w:val="zh-CN" w:eastAsia="zh-CN"/>
                <w14:textFill>
                  <w14:solidFill>
                    <w14:schemeClr w14:val="tx1"/>
                  </w14:solidFill>
                </w14:textFill>
              </w:rPr>
              <w:t>园区内蒙古伊东东方能源公司</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产生的煤气，本项目不自建煤气发生装置和储气装置，</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煤气</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直接使用管道输送至热风炉。本项目</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煤气</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管道总长</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0.3k</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m，内径0.</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4</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m，管道压力10KPa，本项目</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煤气</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在线量约</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376.8</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m</w:t>
            </w:r>
            <w:r>
              <w:rPr>
                <w:rFonts w:hint="default" w:ascii="Times New Roman" w:hAnsi="Times New Roman" w:eastAsia="宋体" w:cs="Times New Roman"/>
                <w:color w:val="000000" w:themeColor="text1"/>
                <w:sz w:val="24"/>
                <w:szCs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p>
          <w:p w14:paraId="0B6B12D7">
            <w:pPr>
              <w:pStyle w:val="14"/>
              <w:spacing w:line="500" w:lineRule="exact"/>
              <w:ind w:firstLine="480" w:firstLineChars="20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zh-CN"/>
                <w14:textFill>
                  <w14:solidFill>
                    <w14:schemeClr w14:val="tx1"/>
                  </w14:solidFill>
                </w14:textFill>
              </w:rPr>
              <w:t>在</w:t>
            </w:r>
            <w:r>
              <w:rPr>
                <w:rFonts w:hint="eastAsia" w:ascii="Times New Roman" w:hAnsi="Times New Roman" w:cs="Times New Roman"/>
                <w:color w:val="000000" w:themeColor="text1"/>
                <w:sz w:val="24"/>
                <w:szCs w:val="24"/>
                <w:highlight w:val="none"/>
                <w:lang w:val="zh-CN"/>
                <w14:textFill>
                  <w14:solidFill>
                    <w14:schemeClr w14:val="tx1"/>
                  </w14:solidFill>
                </w14:textFill>
              </w:rPr>
              <w:t>煤气</w:t>
            </w:r>
            <w:r>
              <w:rPr>
                <w:rFonts w:hint="default" w:ascii="Times New Roman" w:hAnsi="Times New Roman" w:eastAsia="宋体" w:cs="Times New Roman"/>
                <w:color w:val="000000" w:themeColor="text1"/>
                <w:sz w:val="24"/>
                <w:szCs w:val="24"/>
                <w:highlight w:val="none"/>
                <w:lang w:val="zh-CN"/>
                <w14:textFill>
                  <w14:solidFill>
                    <w14:schemeClr w14:val="tx1"/>
                  </w14:solidFill>
                </w14:textFill>
              </w:rPr>
              <w:t>的运输过程中，从原料到产品均有毒、易燃、易爆等危险因素，因此在生产过程中存在火灾、爆炸和泄漏等风险，其风险类型和原因分析见下表：</w:t>
            </w:r>
          </w:p>
          <w:p w14:paraId="545B636A">
            <w:pPr>
              <w:spacing w:line="440" w:lineRule="exact"/>
              <w:ind w:firstLine="482" w:firstLineChars="200"/>
              <w:jc w:val="center"/>
              <w:rPr>
                <w:rFonts w:hint="default" w:ascii="Times New Roman" w:hAnsi="Times New Roman" w:cs="Times New Roman"/>
                <w:b/>
                <w:color w:val="000000" w:themeColor="text1"/>
                <w:sz w:val="24"/>
                <w:szCs w:val="24"/>
                <w:highlight w:val="none"/>
                <w14:textFill>
                  <w14:solidFill>
                    <w14:schemeClr w14:val="tx1"/>
                  </w14:solidFill>
                </w14:textFill>
              </w:rPr>
            </w:pPr>
            <w:r>
              <w:rPr>
                <w:rFonts w:hint="default" w:ascii="Times New Roman" w:hAnsi="Times New Roman" w:cs="Times New Roman"/>
                <w:b/>
                <w:color w:val="000000" w:themeColor="text1"/>
                <w:sz w:val="24"/>
                <w:szCs w:val="24"/>
                <w:highlight w:val="none"/>
                <w14:textFill>
                  <w14:solidFill>
                    <w14:schemeClr w14:val="tx1"/>
                  </w14:solidFill>
                </w14:textFill>
              </w:rPr>
              <w:t>表</w:t>
            </w:r>
            <w:r>
              <w:rPr>
                <w:rFonts w:hint="default" w:ascii="Times New Roman" w:hAnsi="Times New Roman" w:cs="Times New Roman"/>
                <w:b/>
                <w:color w:val="000000" w:themeColor="text1"/>
                <w:sz w:val="24"/>
                <w:szCs w:val="24"/>
                <w:highlight w:val="none"/>
                <w:lang w:val="en-US" w:eastAsia="zh-CN"/>
                <w14:textFill>
                  <w14:solidFill>
                    <w14:schemeClr w14:val="tx1"/>
                  </w14:solidFill>
                </w14:textFill>
              </w:rPr>
              <w:t>4-</w:t>
            </w:r>
            <w:r>
              <w:rPr>
                <w:rFonts w:hint="eastAsia" w:cs="Times New Roman"/>
                <w:b/>
                <w:color w:val="000000" w:themeColor="text1"/>
                <w:sz w:val="24"/>
                <w:szCs w:val="24"/>
                <w:highlight w:val="none"/>
                <w:lang w:val="en-US" w:eastAsia="zh-CN"/>
                <w14:textFill>
                  <w14:solidFill>
                    <w14:schemeClr w14:val="tx1"/>
                  </w14:solidFill>
                </w14:textFill>
              </w:rPr>
              <w:t>23</w:t>
            </w:r>
            <w:r>
              <w:rPr>
                <w:rFonts w:hint="default" w:ascii="Times New Roman" w:hAnsi="Times New Roman" w:cs="Times New Roman"/>
                <w:b/>
                <w:color w:val="000000" w:themeColor="text1"/>
                <w:sz w:val="24"/>
                <w:szCs w:val="24"/>
                <w:highlight w:val="none"/>
                <w14:textFill>
                  <w14:solidFill>
                    <w14:schemeClr w14:val="tx1"/>
                  </w14:solidFill>
                </w14:textFill>
              </w:rPr>
              <w:t>生产装置风险类别和原因分析</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1"/>
              <w:gridCol w:w="773"/>
              <w:gridCol w:w="790"/>
              <w:gridCol w:w="4691"/>
              <w:gridCol w:w="1091"/>
            </w:tblGrid>
            <w:tr w14:paraId="49D27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14:paraId="1C6C4C6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序号</w:t>
                  </w:r>
                </w:p>
              </w:tc>
              <w:tc>
                <w:tcPr>
                  <w:tcW w:w="773" w:type="dxa"/>
                  <w:noWrap w:val="0"/>
                  <w:vAlign w:val="center"/>
                </w:tcPr>
                <w:p w14:paraId="64FE864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危险介质</w:t>
                  </w:r>
                </w:p>
              </w:tc>
              <w:tc>
                <w:tcPr>
                  <w:tcW w:w="790" w:type="dxa"/>
                  <w:noWrap w:val="0"/>
                  <w:vAlign w:val="center"/>
                </w:tcPr>
                <w:p w14:paraId="37B5280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风险类型</w:t>
                  </w:r>
                </w:p>
              </w:tc>
              <w:tc>
                <w:tcPr>
                  <w:tcW w:w="4691" w:type="dxa"/>
                  <w:noWrap w:val="0"/>
                  <w:vAlign w:val="center"/>
                </w:tcPr>
                <w:p w14:paraId="3D6EB8B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原因分析</w:t>
                  </w:r>
                </w:p>
              </w:tc>
              <w:tc>
                <w:tcPr>
                  <w:tcW w:w="1091" w:type="dxa"/>
                  <w:noWrap w:val="0"/>
                  <w:vAlign w:val="center"/>
                </w:tcPr>
                <w:p w14:paraId="048AFF7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危害</w:t>
                  </w:r>
                </w:p>
              </w:tc>
            </w:tr>
            <w:tr w14:paraId="665C7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14:paraId="02108D3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1</w:t>
                  </w:r>
                </w:p>
              </w:tc>
              <w:tc>
                <w:tcPr>
                  <w:tcW w:w="773" w:type="dxa"/>
                  <w:noWrap w:val="0"/>
                  <w:vAlign w:val="center"/>
                </w:tcPr>
                <w:p w14:paraId="03C278F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煤气</w:t>
                  </w:r>
                </w:p>
              </w:tc>
              <w:tc>
                <w:tcPr>
                  <w:tcW w:w="790" w:type="dxa"/>
                  <w:noWrap w:val="0"/>
                  <w:vAlign w:val="center"/>
                </w:tcPr>
                <w:p w14:paraId="3E89A05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火灾、爆炸</w:t>
                  </w:r>
                </w:p>
              </w:tc>
              <w:tc>
                <w:tcPr>
                  <w:tcW w:w="4691" w:type="dxa"/>
                  <w:noWrap w:val="0"/>
                  <w:vAlign w:val="center"/>
                </w:tcPr>
                <w:p w14:paraId="52F820C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①生产装置温度超过物质闪点或生产装置发出的物质蒸汽与空气混合物达到爆炸极限，并遇明火发生燃烧或爆炸。</w:t>
                  </w:r>
                </w:p>
                <w:p w14:paraId="5D84B2E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②生产设备损坏，泵、阀门等损坏，管道破裂，误操作等造成物质泄漏遇明火引发火灾。</w:t>
                  </w:r>
                </w:p>
                <w:p w14:paraId="16CED20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③有毒物质挥发引起人员中毒等。</w:t>
                  </w:r>
                </w:p>
              </w:tc>
              <w:tc>
                <w:tcPr>
                  <w:tcW w:w="1091" w:type="dxa"/>
                  <w:noWrap w:val="0"/>
                  <w:vAlign w:val="center"/>
                </w:tcPr>
                <w:p w14:paraId="626616B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财产损失、人员伤亡、环境污染</w:t>
                  </w:r>
                </w:p>
              </w:tc>
            </w:tr>
            <w:tr w14:paraId="1A92A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14:paraId="722DCF1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vertAlign w:val="baseline"/>
                      <w:lang w:val="en-US" w:eastAsia="zh-CN"/>
                      <w14:textFill>
                        <w14:solidFill>
                          <w14:schemeClr w14:val="tx1"/>
                        </w14:solidFill>
                      </w14:textFill>
                    </w:rPr>
                    <w:t>2</w:t>
                  </w:r>
                </w:p>
              </w:tc>
              <w:tc>
                <w:tcPr>
                  <w:tcW w:w="773" w:type="dxa"/>
                  <w:noWrap w:val="0"/>
                  <w:vAlign w:val="center"/>
                </w:tcPr>
                <w:p w14:paraId="3B0AFA7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vertAlign w:val="baseline"/>
                      <w:lang w:val="en-US" w:eastAsia="zh-CN"/>
                      <w14:textFill>
                        <w14:solidFill>
                          <w14:schemeClr w14:val="tx1"/>
                        </w14:solidFill>
                      </w14:textFill>
                    </w:rPr>
                    <w:t>氨水</w:t>
                  </w:r>
                </w:p>
              </w:tc>
              <w:tc>
                <w:tcPr>
                  <w:tcW w:w="790" w:type="dxa"/>
                  <w:noWrap w:val="0"/>
                  <w:vAlign w:val="center"/>
                </w:tcPr>
                <w:p w14:paraId="22E2D18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vertAlign w:val="baseline"/>
                      <w:lang w:val="en-US" w:eastAsia="zh-CN"/>
                      <w14:textFill>
                        <w14:solidFill>
                          <w14:schemeClr w14:val="tx1"/>
                        </w14:solidFill>
                      </w14:textFill>
                    </w:rPr>
                    <w:t>泄漏</w:t>
                  </w:r>
                </w:p>
              </w:tc>
              <w:tc>
                <w:tcPr>
                  <w:tcW w:w="4691" w:type="dxa"/>
                  <w:noWrap w:val="0"/>
                  <w:vAlign w:val="center"/>
                </w:tcPr>
                <w:p w14:paraId="0C962C1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①生产设备损坏，泵、阀门等损坏，管道破裂，误操作等造成物质泄漏。</w:t>
                  </w:r>
                </w:p>
                <w:p w14:paraId="7A038B8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②有毒物质挥发引起人员中毒等。</w:t>
                  </w:r>
                </w:p>
              </w:tc>
              <w:tc>
                <w:tcPr>
                  <w:tcW w:w="1091" w:type="dxa"/>
                  <w:noWrap w:val="0"/>
                  <w:vAlign w:val="center"/>
                </w:tcPr>
                <w:p w14:paraId="3C0872D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财产损失、人员伤亡、环境污染</w:t>
                  </w:r>
                </w:p>
              </w:tc>
            </w:tr>
            <w:tr w14:paraId="6D3AD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14:paraId="264F673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b w:val="0"/>
                      <w:bCs w:val="0"/>
                      <w:color w:val="000000" w:themeColor="text1"/>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z w:val="21"/>
                      <w:szCs w:val="21"/>
                      <w:highlight w:val="none"/>
                      <w:vertAlign w:val="baseline"/>
                      <w:lang w:val="en-US" w:eastAsia="zh-CN"/>
                      <w14:textFill>
                        <w14:solidFill>
                          <w14:schemeClr w14:val="tx1"/>
                        </w14:solidFill>
                      </w14:textFill>
                    </w:rPr>
                    <w:t>3</w:t>
                  </w:r>
                </w:p>
              </w:tc>
              <w:tc>
                <w:tcPr>
                  <w:tcW w:w="773" w:type="dxa"/>
                  <w:noWrap w:val="0"/>
                  <w:vAlign w:val="center"/>
                </w:tcPr>
                <w:p w14:paraId="20D4999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b w:val="0"/>
                      <w:bCs w:val="0"/>
                      <w:color w:val="000000" w:themeColor="text1"/>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z w:val="21"/>
                      <w:szCs w:val="21"/>
                      <w:highlight w:val="none"/>
                      <w:vertAlign w:val="baseline"/>
                      <w:lang w:val="en-US" w:eastAsia="zh-CN"/>
                      <w14:textFill>
                        <w14:solidFill>
                          <w14:schemeClr w14:val="tx1"/>
                        </w14:solidFill>
                      </w14:textFill>
                    </w:rPr>
                    <w:t>废油</w:t>
                  </w:r>
                </w:p>
              </w:tc>
              <w:tc>
                <w:tcPr>
                  <w:tcW w:w="790" w:type="dxa"/>
                  <w:noWrap w:val="0"/>
                  <w:vAlign w:val="center"/>
                </w:tcPr>
                <w:p w14:paraId="0A7F585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b w:val="0"/>
                      <w:bCs w:val="0"/>
                      <w:color w:val="000000" w:themeColor="text1"/>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z w:val="21"/>
                      <w:szCs w:val="21"/>
                      <w:highlight w:val="none"/>
                      <w:vertAlign w:val="baseline"/>
                      <w:lang w:val="en-US" w:eastAsia="zh-CN"/>
                      <w14:textFill>
                        <w14:solidFill>
                          <w14:schemeClr w14:val="tx1"/>
                        </w14:solidFill>
                      </w14:textFill>
                    </w:rPr>
                    <w:t>泄漏、火灾</w:t>
                  </w:r>
                </w:p>
              </w:tc>
              <w:tc>
                <w:tcPr>
                  <w:tcW w:w="4691" w:type="dxa"/>
                  <w:noWrap w:val="0"/>
                  <w:vAlign w:val="center"/>
                </w:tcPr>
                <w:p w14:paraId="1A31F05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①</w:t>
                  </w:r>
                  <w:r>
                    <w:rPr>
                      <w:rFonts w:hint="eastAsia" w:cs="Times New Roman"/>
                      <w:b w:val="0"/>
                      <w:bCs w:val="0"/>
                      <w:color w:val="000000" w:themeColor="text1"/>
                      <w:sz w:val="21"/>
                      <w:szCs w:val="21"/>
                      <w:highlight w:val="none"/>
                      <w:vertAlign w:val="baseline"/>
                      <w:lang w:val="en-US" w:eastAsia="zh-CN"/>
                      <w14:textFill>
                        <w14:solidFill>
                          <w14:schemeClr w14:val="tx1"/>
                        </w14:solidFill>
                      </w14:textFill>
                    </w:rPr>
                    <w:t>存放点物料的环境</w:t>
                  </w: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温度超过物质闪点，并遇明火发生燃烧或爆炸。</w:t>
                  </w:r>
                </w:p>
                <w:p w14:paraId="15A6694D">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②有毒物质挥发引起人员中毒等。</w:t>
                  </w:r>
                </w:p>
              </w:tc>
              <w:tc>
                <w:tcPr>
                  <w:tcW w:w="1091" w:type="dxa"/>
                  <w:noWrap w:val="0"/>
                  <w:vAlign w:val="center"/>
                </w:tcPr>
                <w:p w14:paraId="5C1949E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环境污染</w:t>
                  </w:r>
                </w:p>
              </w:tc>
            </w:tr>
          </w:tbl>
          <w:p w14:paraId="4EAF47CD">
            <w:pPr>
              <w:spacing w:line="360" w:lineRule="auto"/>
              <w:ind w:firstLine="482" w:firstLineChars="200"/>
              <w:rPr>
                <w:rFonts w:hint="default" w:ascii="Times New Roman" w:hAnsi="Times New Roman" w:eastAsia="宋体" w:cs="Times New Roman"/>
                <w:b/>
                <w:bCs w:val="0"/>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bCs w:val="0"/>
                <w:color w:val="000000" w:themeColor="text1"/>
                <w:sz w:val="24"/>
                <w:szCs w:val="24"/>
                <w:highlight w:val="none"/>
                <w:lang w:val="en-US" w:eastAsia="zh-CN"/>
                <w14:textFill>
                  <w14:solidFill>
                    <w14:schemeClr w14:val="tx1"/>
                  </w14:solidFill>
                </w14:textFill>
              </w:rPr>
              <w:t>5</w:t>
            </w:r>
            <w:r>
              <w:rPr>
                <w:rFonts w:hint="default" w:ascii="Times New Roman" w:hAnsi="Times New Roman" w:eastAsia="宋体" w:cs="Times New Roman"/>
                <w:b/>
                <w:bCs w:val="0"/>
                <w:color w:val="000000" w:themeColor="text1"/>
                <w:sz w:val="24"/>
                <w:szCs w:val="24"/>
                <w:highlight w:val="none"/>
                <w14:textFill>
                  <w14:solidFill>
                    <w14:schemeClr w14:val="tx1"/>
                  </w14:solidFill>
                </w14:textFill>
              </w:rPr>
              <w:t>.2</w:t>
            </w:r>
            <w:r>
              <w:rPr>
                <w:rFonts w:hint="default" w:ascii="Times New Roman" w:hAnsi="Times New Roman" w:eastAsia="宋体" w:cs="Times New Roman"/>
                <w:b/>
                <w:bCs w:val="0"/>
                <w:color w:val="000000" w:themeColor="text1"/>
                <w:sz w:val="24"/>
                <w:szCs w:val="24"/>
                <w:highlight w:val="none"/>
                <w:lang w:val="en-US" w:eastAsia="zh-CN"/>
                <w14:textFill>
                  <w14:solidFill>
                    <w14:schemeClr w14:val="tx1"/>
                  </w14:solidFill>
                </w14:textFill>
              </w:rPr>
              <w:t>环境风险</w:t>
            </w:r>
            <w:r>
              <w:rPr>
                <w:rFonts w:hint="eastAsia" w:cs="Times New Roman"/>
                <w:b/>
                <w:bCs w:val="0"/>
                <w:color w:val="000000" w:themeColor="text1"/>
                <w:sz w:val="24"/>
                <w:szCs w:val="24"/>
                <w:highlight w:val="none"/>
                <w:lang w:val="en-US" w:eastAsia="zh-CN"/>
                <w14:textFill>
                  <w14:solidFill>
                    <w14:schemeClr w14:val="tx1"/>
                  </w14:solidFill>
                </w14:textFill>
              </w:rPr>
              <w:t>物质识别及等级判断</w:t>
            </w:r>
          </w:p>
          <w:p w14:paraId="17E7CF80">
            <w:pPr>
              <w:pStyle w:val="11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72" w:firstLineChars="200"/>
              <w:jc w:val="both"/>
              <w:textAlignment w:val="baseline"/>
              <w:rPr>
                <w:rFonts w:hint="default" w:ascii="Times New Roman" w:hAnsi="Times New Roman" w:eastAsia="宋体" w:cs="Times New Roman"/>
                <w:color w:val="000000" w:themeColor="text1"/>
                <w:spacing w:val="-2"/>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2"/>
                <w:sz w:val="24"/>
                <w:szCs w:val="24"/>
                <w:highlight w:val="none"/>
                <w14:textFill>
                  <w14:solidFill>
                    <w14:schemeClr w14:val="tx1"/>
                  </w14:solidFill>
                </w14:textFill>
              </w:rPr>
              <w:t>根据《建设项目环境影响报告表编制技术指南</w:t>
            </w:r>
            <w:r>
              <w:rPr>
                <w:rFonts w:hint="default" w:ascii="Times New Roman" w:hAnsi="Times New Roman" w:eastAsia="宋体" w:cs="Times New Roman"/>
                <w:color w:val="000000" w:themeColor="text1"/>
                <w:spacing w:val="-2"/>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2"/>
                <w:sz w:val="24"/>
                <w:szCs w:val="24"/>
                <w:highlight w:val="none"/>
                <w14:textFill>
                  <w14:solidFill>
                    <w14:schemeClr w14:val="tx1"/>
                  </w14:solidFill>
                </w14:textFill>
              </w:rPr>
              <w:t>污染影响类</w:t>
            </w:r>
            <w:r>
              <w:rPr>
                <w:rFonts w:hint="default" w:ascii="Times New Roman" w:hAnsi="Times New Roman" w:eastAsia="宋体" w:cs="Times New Roman"/>
                <w:color w:val="000000" w:themeColor="text1"/>
                <w:spacing w:val="-2"/>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2"/>
                <w:sz w:val="24"/>
                <w:szCs w:val="24"/>
                <w:highlight w:val="none"/>
                <w14:textFill>
                  <w14:solidFill>
                    <w14:schemeClr w14:val="tx1"/>
                  </w14:solidFill>
                </w14:textFill>
              </w:rPr>
              <w:t>试行</w:t>
            </w:r>
            <w:r>
              <w:rPr>
                <w:rFonts w:hint="default" w:ascii="Times New Roman" w:hAnsi="Times New Roman" w:eastAsia="宋体" w:cs="Times New Roman"/>
                <w:color w:val="000000" w:themeColor="text1"/>
                <w:spacing w:val="-2"/>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2"/>
                <w:sz w:val="24"/>
                <w:szCs w:val="24"/>
                <w:highlight w:val="none"/>
                <w14:textFill>
                  <w14:solidFill>
                    <w14:schemeClr w14:val="tx1"/>
                  </w14:solidFill>
                </w14:textFill>
              </w:rPr>
              <w:t>》</w:t>
            </w:r>
            <w:r>
              <w:rPr>
                <w:rFonts w:hint="default" w:ascii="Times New Roman" w:hAnsi="Times New Roman" w:eastAsia="宋体" w:cs="Times New Roman"/>
                <w:color w:val="000000" w:themeColor="text1"/>
                <w:spacing w:val="-2"/>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2"/>
                <w:sz w:val="24"/>
                <w:szCs w:val="24"/>
                <w:highlight w:val="none"/>
                <w14:textFill>
                  <w14:solidFill>
                    <w14:schemeClr w14:val="tx1"/>
                  </w14:solidFill>
                </w14:textFill>
              </w:rPr>
              <w:t>环办环评</w:t>
            </w:r>
            <w:r>
              <w:rPr>
                <w:rFonts w:hint="default" w:ascii="Times New Roman" w:hAnsi="Times New Roman" w:eastAsia="宋体" w:cs="Times New Roman"/>
                <w:color w:val="000000" w:themeColor="text1"/>
                <w:spacing w:val="-2"/>
                <w:sz w:val="24"/>
                <w:szCs w:val="24"/>
                <w:highlight w:val="none"/>
                <w:lang w:eastAsia="zh-CN"/>
                <w14:textFill>
                  <w14:solidFill>
                    <w14:schemeClr w14:val="tx1"/>
                  </w14:solidFill>
                </w14:textFill>
              </w:rPr>
              <w:t>〔2020〕33号），</w:t>
            </w:r>
            <w:r>
              <w:rPr>
                <w:rFonts w:hint="default" w:ascii="Times New Roman" w:hAnsi="Times New Roman" w:eastAsia="宋体" w:cs="Times New Roman"/>
                <w:color w:val="000000" w:themeColor="text1"/>
                <w:spacing w:val="-2"/>
                <w:sz w:val="24"/>
                <w:szCs w:val="24"/>
                <w:highlight w:val="none"/>
                <w14:textFill>
                  <w14:solidFill>
                    <w14:schemeClr w14:val="tx1"/>
                  </w14:solidFill>
                </w14:textFill>
              </w:rPr>
              <w:t>项目有毒有害和易燃易爆危险物质储存量不超过临界量，可不设环境风险专项评价。根据《建设项目环境风险评价技术导则》</w:t>
            </w:r>
            <w:r>
              <w:rPr>
                <w:rFonts w:hint="default" w:ascii="Times New Roman" w:hAnsi="Times New Roman" w:eastAsia="宋体" w:cs="Times New Roman"/>
                <w:color w:val="000000" w:themeColor="text1"/>
                <w:spacing w:val="-2"/>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2"/>
                <w:sz w:val="24"/>
                <w:szCs w:val="24"/>
                <w:highlight w:val="none"/>
                <w14:textFill>
                  <w14:solidFill>
                    <w14:schemeClr w14:val="tx1"/>
                  </w14:solidFill>
                </w14:textFill>
              </w:rPr>
              <w:t>HJ169-2018</w:t>
            </w:r>
            <w:r>
              <w:rPr>
                <w:rFonts w:hint="default" w:ascii="Times New Roman" w:hAnsi="Times New Roman" w:eastAsia="宋体" w:cs="Times New Roman"/>
                <w:color w:val="000000" w:themeColor="text1"/>
                <w:spacing w:val="-2"/>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2"/>
                <w:sz w:val="24"/>
                <w:szCs w:val="24"/>
                <w:highlight w:val="none"/>
                <w14:textFill>
                  <w14:solidFill>
                    <w14:schemeClr w14:val="tx1"/>
                  </w14:solidFill>
                </w14:textFill>
              </w:rPr>
              <w:t>附录B</w:t>
            </w:r>
            <w:r>
              <w:rPr>
                <w:rFonts w:hint="default" w:ascii="Times New Roman" w:hAnsi="Times New Roman" w:eastAsia="宋体" w:cs="Times New Roman"/>
                <w:color w:val="000000" w:themeColor="text1"/>
                <w:spacing w:val="-2"/>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2"/>
                <w:sz w:val="24"/>
                <w:szCs w:val="24"/>
                <w:highlight w:val="none"/>
                <w14:textFill>
                  <w14:solidFill>
                    <w14:schemeClr w14:val="tx1"/>
                  </w14:solidFill>
                </w14:textFill>
              </w:rPr>
              <w:t>本项目</w:t>
            </w:r>
            <w:r>
              <w:rPr>
                <w:rFonts w:hint="default" w:ascii="Times New Roman" w:hAnsi="Times New Roman" w:eastAsia="宋体" w:cs="Times New Roman"/>
                <w:color w:val="000000" w:themeColor="text1"/>
                <w:spacing w:val="-2"/>
                <w:sz w:val="24"/>
                <w:szCs w:val="24"/>
                <w:highlight w:val="none"/>
                <w:lang w:eastAsia="zh-CN"/>
                <w14:textFill>
                  <w14:solidFill>
                    <w14:schemeClr w14:val="tx1"/>
                  </w14:solidFill>
                </w14:textFill>
              </w:rPr>
              <w:t>涉及</w:t>
            </w:r>
            <w:r>
              <w:rPr>
                <w:rFonts w:hint="default" w:ascii="Times New Roman" w:hAnsi="Times New Roman" w:eastAsia="宋体" w:cs="Times New Roman"/>
                <w:color w:val="000000" w:themeColor="text1"/>
                <w:spacing w:val="-2"/>
                <w:sz w:val="24"/>
                <w:szCs w:val="24"/>
                <w:highlight w:val="none"/>
                <w14:textFill>
                  <w14:solidFill>
                    <w14:schemeClr w14:val="tx1"/>
                  </w14:solidFill>
                </w14:textFill>
              </w:rPr>
              <w:t>的主要风险物质为</w:t>
            </w:r>
            <w:r>
              <w:rPr>
                <w:rFonts w:hint="eastAsia" w:ascii="Times New Roman" w:hAnsi="Times New Roman" w:eastAsia="宋体" w:cs="Times New Roman"/>
                <w:color w:val="000000" w:themeColor="text1"/>
                <w:spacing w:val="-2"/>
                <w:sz w:val="24"/>
                <w:szCs w:val="24"/>
                <w:highlight w:val="none"/>
                <w:lang w:eastAsia="zh-CN"/>
                <w14:textFill>
                  <w14:solidFill>
                    <w14:schemeClr w14:val="tx1"/>
                  </w14:solidFill>
                </w14:textFill>
              </w:rPr>
              <w:t>煤</w:t>
            </w:r>
            <w:r>
              <w:rPr>
                <w:rFonts w:hint="eastAsia" w:ascii="Times New Roman" w:hAnsi="Times New Roman" w:cs="Times New Roman"/>
                <w:color w:val="000000" w:themeColor="text1"/>
                <w:spacing w:val="-2"/>
                <w:sz w:val="24"/>
                <w:szCs w:val="24"/>
                <w:highlight w:val="none"/>
                <w:lang w:val="en-US" w:eastAsia="zh-CN"/>
                <w14:textFill>
                  <w14:solidFill>
                    <w14:schemeClr w14:val="tx1"/>
                  </w14:solidFill>
                </w14:textFill>
              </w:rPr>
              <w:t>气、氨水</w:t>
            </w:r>
            <w:r>
              <w:rPr>
                <w:rFonts w:hint="default" w:ascii="Times New Roman" w:hAnsi="Times New Roman" w:eastAsia="宋体" w:cs="Times New Roman"/>
                <w:color w:val="000000" w:themeColor="text1"/>
                <w:spacing w:val="-2"/>
                <w:sz w:val="24"/>
                <w:szCs w:val="24"/>
                <w:highlight w:val="none"/>
                <w14:textFill>
                  <w14:solidFill>
                    <w14:schemeClr w14:val="tx1"/>
                  </w14:solidFill>
                </w14:textFill>
              </w:rPr>
              <w:t>。</w:t>
            </w:r>
          </w:p>
          <w:p w14:paraId="34B017FE">
            <w:pPr>
              <w:keepNext w:val="0"/>
              <w:keepLines w:val="0"/>
              <w:pageBreakBefore w:val="0"/>
              <w:widowControl w:val="0"/>
              <w:kinsoku/>
              <w:wordWrap/>
              <w:overflowPunct/>
              <w:topLinePunct w:val="0"/>
              <w:autoSpaceDE/>
              <w:autoSpaceDN/>
              <w:bidi w:val="0"/>
              <w:adjustRightInd/>
              <w:snapToGrid/>
              <w:spacing w:line="240" w:lineRule="auto"/>
              <w:ind w:firstLine="482" w:firstLineChars="200"/>
              <w:jc w:val="center"/>
              <w:textAlignment w:val="auto"/>
              <w:rPr>
                <w:rFonts w:hint="default" w:ascii="Times New Roman" w:hAnsi="Times New Roman" w:eastAsia="宋体" w:cs="Times New Roman"/>
                <w:b/>
                <w:color w:val="000000" w:themeColor="text1"/>
                <w:sz w:val="24"/>
                <w:szCs w:val="24"/>
                <w:highlight w:val="none"/>
                <w14:textFill>
                  <w14:solidFill>
                    <w14:schemeClr w14:val="tx1"/>
                  </w14:solidFill>
                </w14:textFill>
              </w:rPr>
            </w:pPr>
            <w:r>
              <w:rPr>
                <w:rFonts w:hint="default" w:ascii="Times New Roman" w:hAnsi="Times New Roman" w:eastAsia="宋体" w:cs="Times New Roman"/>
                <w:b/>
                <w:color w:val="000000" w:themeColor="text1"/>
                <w:sz w:val="24"/>
                <w:szCs w:val="24"/>
                <w:highlight w:val="none"/>
                <w14:textFill>
                  <w14:solidFill>
                    <w14:schemeClr w14:val="tx1"/>
                  </w14:solidFill>
                </w14:textFill>
              </w:rPr>
              <w:t>表4</w:t>
            </w:r>
            <w:r>
              <w:rPr>
                <w:rFonts w:hint="default" w:ascii="Times New Roman" w:hAnsi="Times New Roman" w:eastAsia="宋体" w:cs="Times New Roman"/>
                <w:b/>
                <w:color w:val="000000" w:themeColor="text1"/>
                <w:sz w:val="24"/>
                <w:szCs w:val="24"/>
                <w:highlight w:val="none"/>
                <w:lang w:val="en-US" w:eastAsia="zh-CN"/>
                <w14:textFill>
                  <w14:solidFill>
                    <w14:schemeClr w14:val="tx1"/>
                  </w14:solidFill>
                </w14:textFill>
              </w:rPr>
              <w:t>-2</w:t>
            </w:r>
            <w:r>
              <w:rPr>
                <w:rFonts w:hint="eastAsia" w:cs="Times New Roman"/>
                <w:b/>
                <w:color w:val="000000" w:themeColor="text1"/>
                <w:sz w:val="24"/>
                <w:szCs w:val="24"/>
                <w:highlight w:val="none"/>
                <w:lang w:val="en-US" w:eastAsia="zh-CN"/>
                <w14:textFill>
                  <w14:solidFill>
                    <w14:schemeClr w14:val="tx1"/>
                  </w14:solidFill>
                </w14:textFill>
              </w:rPr>
              <w:t>4</w:t>
            </w:r>
            <w:r>
              <w:rPr>
                <w:rFonts w:hint="default" w:ascii="Times New Roman" w:hAnsi="Times New Roman" w:eastAsia="宋体" w:cs="Times New Roman"/>
                <w:b/>
                <w:color w:val="000000" w:themeColor="text1"/>
                <w:sz w:val="24"/>
                <w:szCs w:val="24"/>
                <w:highlight w:val="none"/>
                <w14:textFill>
                  <w14:solidFill>
                    <w14:schemeClr w14:val="tx1"/>
                  </w14:solidFill>
                </w14:textFill>
              </w:rPr>
              <w:t>本项目化学危险物质在线量及贮存量表</w:t>
            </w:r>
          </w:p>
          <w:tbl>
            <w:tblPr>
              <w:tblStyle w:val="2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2"/>
              <w:gridCol w:w="2552"/>
              <w:gridCol w:w="1705"/>
              <w:gridCol w:w="1149"/>
              <w:gridCol w:w="1175"/>
            </w:tblGrid>
            <w:tr w14:paraId="64DFB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7" w:type="pct"/>
                  <w:noWrap w:val="0"/>
                  <w:vAlign w:val="center"/>
                </w:tcPr>
                <w:p w14:paraId="62E8E27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风险物质</w:t>
                  </w:r>
                </w:p>
              </w:tc>
              <w:tc>
                <w:tcPr>
                  <w:tcW w:w="1606" w:type="pct"/>
                  <w:noWrap w:val="0"/>
                  <w:vAlign w:val="center"/>
                </w:tcPr>
                <w:p w14:paraId="0F4E5F2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vertAlign w:val="baseline"/>
                      <w:lang w:val="en-US" w:eastAsia="zh-CN"/>
                      <w14:textFill>
                        <w14:solidFill>
                          <w14:schemeClr w14:val="tx1"/>
                        </w14:solidFill>
                      </w14:textFill>
                    </w:rPr>
                    <w:t>在线量、存储量（t）</w:t>
                  </w:r>
                </w:p>
              </w:tc>
              <w:tc>
                <w:tcPr>
                  <w:tcW w:w="1073" w:type="pct"/>
                  <w:noWrap w:val="0"/>
                  <w:vAlign w:val="center"/>
                </w:tcPr>
                <w:p w14:paraId="09B0B88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最大存在总量qi（t）</w:t>
                  </w:r>
                </w:p>
              </w:tc>
              <w:tc>
                <w:tcPr>
                  <w:tcW w:w="723" w:type="pct"/>
                  <w:noWrap w:val="0"/>
                  <w:vAlign w:val="center"/>
                </w:tcPr>
                <w:p w14:paraId="11FC2B3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临界量Qi（t）</w:t>
                  </w:r>
                </w:p>
              </w:tc>
              <w:tc>
                <w:tcPr>
                  <w:tcW w:w="739" w:type="pct"/>
                  <w:noWrap w:val="0"/>
                  <w:vAlign w:val="center"/>
                </w:tcPr>
                <w:p w14:paraId="3E0D5FF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qi/Qi</w:t>
                  </w:r>
                </w:p>
              </w:tc>
            </w:tr>
            <w:tr w14:paraId="3B2A1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trPr>
              <w:tc>
                <w:tcPr>
                  <w:tcW w:w="857" w:type="pct"/>
                  <w:noWrap w:val="0"/>
                  <w:vAlign w:val="center"/>
                </w:tcPr>
                <w:p w14:paraId="75DC0A27">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cs="Times New Roman"/>
                      <w:b w:val="0"/>
                      <w:bCs w:val="0"/>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highlight w:val="none"/>
                      <w:vertAlign w:val="baseline"/>
                      <w:lang w:val="en-US" w:eastAsia="zh-CN"/>
                      <w14:textFill>
                        <w14:solidFill>
                          <w14:schemeClr w14:val="tx1"/>
                        </w14:solidFill>
                      </w14:textFill>
                    </w:rPr>
                    <w:t>煤气</w:t>
                  </w:r>
                </w:p>
                <w:p w14:paraId="4D7F3FF4">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z w:val="21"/>
                      <w:szCs w:val="21"/>
                      <w:highlight w:val="none"/>
                      <w:vertAlign w:val="baseli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CO</w:t>
                  </w:r>
                  <w:r>
                    <w:rPr>
                      <w:rFonts w:hint="eastAsia" w:cs="Times New Roman"/>
                      <w:b w:val="0"/>
                      <w:bCs w:val="0"/>
                      <w:color w:val="000000" w:themeColor="text1"/>
                      <w:sz w:val="21"/>
                      <w:szCs w:val="21"/>
                      <w:highlight w:val="none"/>
                      <w:vertAlign w:val="baseline"/>
                      <w:lang w:val="en-US" w:eastAsia="zh-CN"/>
                      <w14:textFill>
                        <w14:solidFill>
                          <w14:schemeClr w14:val="tx1"/>
                        </w14:solidFill>
                      </w14:textFill>
                    </w:rPr>
                    <w:t>)</w:t>
                  </w:r>
                </w:p>
              </w:tc>
              <w:tc>
                <w:tcPr>
                  <w:tcW w:w="1606" w:type="pct"/>
                  <w:noWrap w:val="0"/>
                  <w:vAlign w:val="center"/>
                </w:tcPr>
                <w:p w14:paraId="4AD93E2A">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在线量为</w:t>
                  </w:r>
                  <w:r>
                    <w:rPr>
                      <w:rFonts w:hint="eastAsia" w:cs="Times New Roman"/>
                      <w:b w:val="0"/>
                      <w:bCs w:val="0"/>
                      <w:color w:val="000000" w:themeColor="text1"/>
                      <w:sz w:val="21"/>
                      <w:szCs w:val="21"/>
                      <w:highlight w:val="none"/>
                      <w:vertAlign w:val="baseline"/>
                      <w:lang w:val="en-US" w:eastAsia="zh-CN"/>
                      <w14:textFill>
                        <w14:solidFill>
                          <w14:schemeClr w14:val="tx1"/>
                        </w14:solidFill>
                      </w14:textFill>
                    </w:rPr>
                    <w:t>0.36</w:t>
                  </w: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t（厂区内管线长度</w:t>
                  </w:r>
                  <w:r>
                    <w:rPr>
                      <w:rFonts w:hint="eastAsia" w:cs="Times New Roman"/>
                      <w:b w:val="0"/>
                      <w:bCs w:val="0"/>
                      <w:color w:val="000000" w:themeColor="text1"/>
                      <w:sz w:val="21"/>
                      <w:szCs w:val="21"/>
                      <w:highlight w:val="none"/>
                      <w:vertAlign w:val="baseline"/>
                      <w:lang w:val="en-US" w:eastAsia="zh-CN"/>
                      <w14:textFill>
                        <w14:solidFill>
                          <w14:schemeClr w14:val="tx1"/>
                        </w14:solidFill>
                      </w14:textFill>
                    </w:rPr>
                    <w:t>0.3k</w:t>
                  </w: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m，DN</w:t>
                  </w:r>
                  <w:r>
                    <w:rPr>
                      <w:rFonts w:hint="eastAsia" w:cs="Times New Roman"/>
                      <w:b w:val="0"/>
                      <w:bCs w:val="0"/>
                      <w:color w:val="000000" w:themeColor="text1"/>
                      <w:sz w:val="21"/>
                      <w:szCs w:val="21"/>
                      <w:highlight w:val="none"/>
                      <w:vertAlign w:val="baseline"/>
                      <w:lang w:val="en-US" w:eastAsia="zh-CN"/>
                      <w14:textFill>
                        <w14:solidFill>
                          <w14:schemeClr w14:val="tx1"/>
                        </w14:solidFill>
                      </w14:textFill>
                    </w:rPr>
                    <w:t>4</w:t>
                  </w: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00）</w:t>
                  </w:r>
                </w:p>
              </w:tc>
              <w:tc>
                <w:tcPr>
                  <w:tcW w:w="1073" w:type="pct"/>
                  <w:noWrap w:val="0"/>
                  <w:vAlign w:val="center"/>
                </w:tcPr>
                <w:p w14:paraId="1B3D5D8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z w:val="21"/>
                      <w:szCs w:val="21"/>
                      <w:highlight w:val="none"/>
                      <w:vertAlign w:val="baseline"/>
                      <w:lang w:val="en-US" w:eastAsia="zh-CN"/>
                      <w14:textFill>
                        <w14:solidFill>
                          <w14:schemeClr w14:val="tx1"/>
                        </w14:solidFill>
                      </w14:textFill>
                    </w:rPr>
                    <w:t>0.36</w:t>
                  </w:r>
                </w:p>
              </w:tc>
              <w:tc>
                <w:tcPr>
                  <w:tcW w:w="723" w:type="pct"/>
                  <w:noWrap w:val="0"/>
                  <w:vAlign w:val="center"/>
                </w:tcPr>
                <w:p w14:paraId="4AA13FA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7.5</w:t>
                  </w:r>
                </w:p>
              </w:tc>
              <w:tc>
                <w:tcPr>
                  <w:tcW w:w="739" w:type="pct"/>
                  <w:noWrap w:val="0"/>
                  <w:vAlign w:val="center"/>
                </w:tcPr>
                <w:p w14:paraId="0054143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0.</w:t>
                  </w:r>
                  <w:r>
                    <w:rPr>
                      <w:rFonts w:hint="eastAsia" w:cs="Times New Roman"/>
                      <w:b w:val="0"/>
                      <w:bCs w:val="0"/>
                      <w:color w:val="000000" w:themeColor="text1"/>
                      <w:sz w:val="21"/>
                      <w:szCs w:val="21"/>
                      <w:highlight w:val="none"/>
                      <w:vertAlign w:val="baseline"/>
                      <w:lang w:val="en-US" w:eastAsia="zh-CN"/>
                      <w14:textFill>
                        <w14:solidFill>
                          <w14:schemeClr w14:val="tx1"/>
                        </w14:solidFill>
                      </w14:textFill>
                    </w:rPr>
                    <w:t>048</w:t>
                  </w:r>
                </w:p>
              </w:tc>
            </w:tr>
            <w:tr w14:paraId="12118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7" w:type="pct"/>
                  <w:noWrap w:val="0"/>
                  <w:vAlign w:val="center"/>
                </w:tcPr>
                <w:p w14:paraId="5E63F6C4">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vertAlign w:val="baseline"/>
                      <w:lang w:val="en-US" w:eastAsia="zh-CN"/>
                      <w14:textFill>
                        <w14:solidFill>
                          <w14:schemeClr w14:val="tx1"/>
                        </w14:solidFill>
                      </w14:textFill>
                    </w:rPr>
                    <w:t>氨水</w:t>
                  </w:r>
                  <w:r>
                    <w:rPr>
                      <w:rFonts w:hint="eastAsia" w:cs="Times New Roman"/>
                      <w:b w:val="0"/>
                      <w:bCs w:val="0"/>
                      <w:color w:val="000000" w:themeColor="text1"/>
                      <w:sz w:val="21"/>
                      <w:szCs w:val="21"/>
                      <w:highlight w:val="none"/>
                      <w:vertAlign w:val="baseline"/>
                      <w:lang w:val="en-US" w:eastAsia="zh-CN"/>
                      <w14:textFill>
                        <w14:solidFill>
                          <w14:schemeClr w14:val="tx1"/>
                        </w14:solidFill>
                      </w14:textFill>
                    </w:rPr>
                    <w:t>2</w:t>
                  </w:r>
                  <w:r>
                    <w:rPr>
                      <w:rFonts w:hint="default" w:ascii="Times New Roman" w:hAnsi="Times New Roman" w:cs="Times New Roman"/>
                      <w:b w:val="0"/>
                      <w:bCs w:val="0"/>
                      <w:color w:val="000000" w:themeColor="text1"/>
                      <w:sz w:val="21"/>
                      <w:szCs w:val="21"/>
                      <w:highlight w:val="none"/>
                      <w:vertAlign w:val="baseline"/>
                      <w:lang w:val="en-US" w:eastAsia="zh-CN"/>
                      <w14:textFill>
                        <w14:solidFill>
                          <w14:schemeClr w14:val="tx1"/>
                        </w14:solidFill>
                      </w14:textFill>
                    </w:rPr>
                    <w:t>0%</w:t>
                  </w:r>
                </w:p>
              </w:tc>
              <w:tc>
                <w:tcPr>
                  <w:tcW w:w="1606" w:type="pct"/>
                  <w:noWrap w:val="0"/>
                  <w:vAlign w:val="center"/>
                </w:tcPr>
                <w:p w14:paraId="337C35D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z w:val="21"/>
                      <w:szCs w:val="21"/>
                      <w:highlight w:val="none"/>
                      <w:vertAlign w:val="baseline"/>
                      <w:lang w:val="en-US" w:eastAsia="zh-CN"/>
                      <w14:textFill>
                        <w14:solidFill>
                          <w14:schemeClr w14:val="tx1"/>
                        </w14:solidFill>
                      </w14:textFill>
                    </w:rPr>
                    <w:t>8</w:t>
                  </w:r>
                </w:p>
              </w:tc>
              <w:tc>
                <w:tcPr>
                  <w:tcW w:w="1073" w:type="pct"/>
                  <w:noWrap w:val="0"/>
                  <w:vAlign w:val="center"/>
                </w:tcPr>
                <w:p w14:paraId="0CDBFDD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z w:val="21"/>
                      <w:szCs w:val="21"/>
                      <w:highlight w:val="none"/>
                      <w:vertAlign w:val="baseline"/>
                      <w:lang w:val="en-US" w:eastAsia="zh-CN"/>
                      <w14:textFill>
                        <w14:solidFill>
                          <w14:schemeClr w14:val="tx1"/>
                        </w14:solidFill>
                      </w14:textFill>
                    </w:rPr>
                    <w:t>8</w:t>
                  </w:r>
                </w:p>
              </w:tc>
              <w:tc>
                <w:tcPr>
                  <w:tcW w:w="723" w:type="pct"/>
                  <w:noWrap w:val="0"/>
                  <w:vAlign w:val="center"/>
                </w:tcPr>
                <w:p w14:paraId="2C718EC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vertAlign w:val="baseline"/>
                      <w:lang w:val="en-US" w:eastAsia="zh-CN"/>
                      <w14:textFill>
                        <w14:solidFill>
                          <w14:schemeClr w14:val="tx1"/>
                        </w14:solidFill>
                      </w14:textFill>
                    </w:rPr>
                    <w:t>10</w:t>
                  </w:r>
                </w:p>
              </w:tc>
              <w:tc>
                <w:tcPr>
                  <w:tcW w:w="739" w:type="pct"/>
                  <w:noWrap w:val="0"/>
                  <w:vAlign w:val="center"/>
                </w:tcPr>
                <w:p w14:paraId="741D7AB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vertAlign w:val="baseline"/>
                      <w:lang w:val="en-US" w:eastAsia="zh-CN"/>
                      <w14:textFill>
                        <w14:solidFill>
                          <w14:schemeClr w14:val="tx1"/>
                        </w14:solidFill>
                      </w14:textFill>
                    </w:rPr>
                    <w:t>0.</w:t>
                  </w:r>
                  <w:r>
                    <w:rPr>
                      <w:rFonts w:hint="eastAsia" w:cs="Times New Roman"/>
                      <w:b w:val="0"/>
                      <w:bCs w:val="0"/>
                      <w:color w:val="000000" w:themeColor="text1"/>
                      <w:sz w:val="21"/>
                      <w:szCs w:val="21"/>
                      <w:highlight w:val="none"/>
                      <w:vertAlign w:val="baseline"/>
                      <w:lang w:val="en-US" w:eastAsia="zh-CN"/>
                      <w14:textFill>
                        <w14:solidFill>
                          <w14:schemeClr w14:val="tx1"/>
                        </w14:solidFill>
                      </w14:textFill>
                    </w:rPr>
                    <w:t>88</w:t>
                  </w:r>
                </w:p>
              </w:tc>
            </w:tr>
            <w:tr w14:paraId="61DB1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7" w:type="pct"/>
                  <w:noWrap w:val="0"/>
                  <w:vAlign w:val="center"/>
                </w:tcPr>
                <w:p w14:paraId="465FF85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b w:val="0"/>
                      <w:bCs w:val="0"/>
                      <w:color w:val="000000" w:themeColor="text1"/>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z w:val="21"/>
                      <w:szCs w:val="21"/>
                      <w:highlight w:val="none"/>
                      <w:vertAlign w:val="baseline"/>
                      <w:lang w:val="en-US" w:eastAsia="zh-CN"/>
                      <w14:textFill>
                        <w14:solidFill>
                          <w14:schemeClr w14:val="tx1"/>
                        </w14:solidFill>
                      </w14:textFill>
                    </w:rPr>
                    <w:t>废油</w:t>
                  </w:r>
                </w:p>
              </w:tc>
              <w:tc>
                <w:tcPr>
                  <w:tcW w:w="1606" w:type="pct"/>
                  <w:noWrap w:val="0"/>
                  <w:vAlign w:val="center"/>
                </w:tcPr>
                <w:p w14:paraId="27D295F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b w:val="0"/>
                      <w:bCs w:val="0"/>
                      <w:color w:val="000000" w:themeColor="text1"/>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z w:val="21"/>
                      <w:szCs w:val="21"/>
                      <w:highlight w:val="none"/>
                      <w:vertAlign w:val="baseline"/>
                      <w:lang w:val="en-US" w:eastAsia="zh-CN"/>
                      <w14:textFill>
                        <w14:solidFill>
                          <w14:schemeClr w14:val="tx1"/>
                        </w14:solidFill>
                      </w14:textFill>
                    </w:rPr>
                    <w:t>1</w:t>
                  </w:r>
                </w:p>
              </w:tc>
              <w:tc>
                <w:tcPr>
                  <w:tcW w:w="1073" w:type="pct"/>
                  <w:noWrap w:val="0"/>
                  <w:vAlign w:val="center"/>
                </w:tcPr>
                <w:p w14:paraId="14BB8F3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b w:val="0"/>
                      <w:bCs w:val="0"/>
                      <w:color w:val="000000" w:themeColor="text1"/>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z w:val="21"/>
                      <w:szCs w:val="21"/>
                      <w:highlight w:val="none"/>
                      <w:vertAlign w:val="baseline"/>
                      <w:lang w:val="en-US" w:eastAsia="zh-CN"/>
                      <w14:textFill>
                        <w14:solidFill>
                          <w14:schemeClr w14:val="tx1"/>
                        </w14:solidFill>
                      </w14:textFill>
                    </w:rPr>
                    <w:t>1</w:t>
                  </w:r>
                </w:p>
              </w:tc>
              <w:tc>
                <w:tcPr>
                  <w:tcW w:w="723" w:type="pct"/>
                  <w:noWrap w:val="0"/>
                  <w:vAlign w:val="center"/>
                </w:tcPr>
                <w:p w14:paraId="391496D4">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b w:val="0"/>
                      <w:bCs w:val="0"/>
                      <w:color w:val="000000" w:themeColor="text1"/>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z w:val="21"/>
                      <w:szCs w:val="21"/>
                      <w:highlight w:val="none"/>
                      <w:vertAlign w:val="baseline"/>
                      <w:lang w:val="en-US" w:eastAsia="zh-CN"/>
                      <w14:textFill>
                        <w14:solidFill>
                          <w14:schemeClr w14:val="tx1"/>
                        </w14:solidFill>
                      </w14:textFill>
                    </w:rPr>
                    <w:t>2500</w:t>
                  </w:r>
                </w:p>
              </w:tc>
              <w:tc>
                <w:tcPr>
                  <w:tcW w:w="739" w:type="pct"/>
                  <w:noWrap w:val="0"/>
                  <w:vAlign w:val="center"/>
                </w:tcPr>
                <w:p w14:paraId="6D63B45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b w:val="0"/>
                      <w:bCs w:val="0"/>
                      <w:color w:val="000000" w:themeColor="text1"/>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z w:val="21"/>
                      <w:szCs w:val="21"/>
                      <w:highlight w:val="none"/>
                      <w:vertAlign w:val="baseline"/>
                      <w:lang w:val="en-US" w:eastAsia="zh-CN"/>
                      <w14:textFill>
                        <w14:solidFill>
                          <w14:schemeClr w14:val="tx1"/>
                        </w14:solidFill>
                      </w14:textFill>
                    </w:rPr>
                    <w:t>0.00004</w:t>
                  </w:r>
                </w:p>
              </w:tc>
            </w:tr>
            <w:tr w14:paraId="00B07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7" w:type="pct"/>
                  <w:noWrap w:val="0"/>
                  <w:vAlign w:val="center"/>
                </w:tcPr>
                <w:p w14:paraId="758068D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合计</w:t>
                  </w:r>
                </w:p>
              </w:tc>
              <w:tc>
                <w:tcPr>
                  <w:tcW w:w="1606" w:type="pct"/>
                  <w:noWrap w:val="0"/>
                  <w:vAlign w:val="center"/>
                </w:tcPr>
                <w:p w14:paraId="4F55C5F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w:t>
                  </w:r>
                </w:p>
              </w:tc>
              <w:tc>
                <w:tcPr>
                  <w:tcW w:w="1073" w:type="pct"/>
                  <w:noWrap w:val="0"/>
                  <w:vAlign w:val="center"/>
                </w:tcPr>
                <w:p w14:paraId="3B3DDC0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w:t>
                  </w:r>
                </w:p>
              </w:tc>
              <w:tc>
                <w:tcPr>
                  <w:tcW w:w="723" w:type="pct"/>
                  <w:noWrap w:val="0"/>
                  <w:vAlign w:val="center"/>
                </w:tcPr>
                <w:p w14:paraId="6F7FEF2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w:t>
                  </w:r>
                </w:p>
              </w:tc>
              <w:tc>
                <w:tcPr>
                  <w:tcW w:w="739" w:type="pct"/>
                  <w:noWrap w:val="0"/>
                  <w:vAlign w:val="center"/>
                </w:tcPr>
                <w:p w14:paraId="63AEE65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0.</w:t>
                  </w:r>
                  <w:r>
                    <w:rPr>
                      <w:rFonts w:hint="eastAsia" w:cs="Times New Roman"/>
                      <w:b w:val="0"/>
                      <w:bCs w:val="0"/>
                      <w:color w:val="000000" w:themeColor="text1"/>
                      <w:sz w:val="21"/>
                      <w:szCs w:val="21"/>
                      <w:highlight w:val="none"/>
                      <w:vertAlign w:val="baseline"/>
                      <w:lang w:val="en-US" w:eastAsia="zh-CN"/>
                      <w14:textFill>
                        <w14:solidFill>
                          <w14:schemeClr w14:val="tx1"/>
                        </w14:solidFill>
                      </w14:textFill>
                    </w:rPr>
                    <w:t>93</w:t>
                  </w:r>
                </w:p>
              </w:tc>
            </w:tr>
          </w:tbl>
          <w:p w14:paraId="6C4C0AA7">
            <w:pPr>
              <w:pStyle w:val="11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72" w:firstLineChars="200"/>
              <w:jc w:val="both"/>
              <w:textAlignment w:val="baseline"/>
              <w:rPr>
                <w:rFonts w:hint="default" w:ascii="Times New Roman" w:hAnsi="Times New Roman" w:eastAsia="宋体" w:cs="Times New Roman"/>
                <w:color w:val="000000" w:themeColor="text1"/>
                <w:spacing w:val="-2"/>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2"/>
                <w:sz w:val="24"/>
                <w:szCs w:val="24"/>
                <w:highlight w:val="none"/>
                <w14:textFill>
                  <w14:solidFill>
                    <w14:schemeClr w14:val="tx1"/>
                  </w14:solidFill>
                </w14:textFill>
              </w:rPr>
              <w:t>根据HJ169-2018附录C</w:t>
            </w:r>
            <w:r>
              <w:rPr>
                <w:rFonts w:hint="default" w:ascii="Times New Roman" w:hAnsi="Times New Roman" w:eastAsia="宋体" w:cs="Times New Roman"/>
                <w:color w:val="000000" w:themeColor="text1"/>
                <w:spacing w:val="-2"/>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2"/>
                <w:sz w:val="24"/>
                <w:szCs w:val="24"/>
                <w:highlight w:val="none"/>
                <w14:textFill>
                  <w14:solidFill>
                    <w14:schemeClr w14:val="tx1"/>
                  </w14:solidFill>
                </w14:textFill>
              </w:rPr>
              <w:t>当Q&lt;1时，环境风险潜势为I</w:t>
            </w:r>
            <w:r>
              <w:rPr>
                <w:rFonts w:hint="default" w:ascii="Times New Roman" w:hAnsi="Times New Roman" w:eastAsia="宋体" w:cs="Times New Roman"/>
                <w:color w:val="000000" w:themeColor="text1"/>
                <w:spacing w:val="-2"/>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2"/>
                <w:sz w:val="24"/>
                <w:szCs w:val="24"/>
                <w:highlight w:val="none"/>
                <w14:textFill>
                  <w14:solidFill>
                    <w14:schemeClr w14:val="tx1"/>
                  </w14:solidFill>
                </w14:textFill>
              </w:rPr>
              <w:t>因此，该项目环境风险评价工作等级为简单分析。</w:t>
            </w:r>
          </w:p>
          <w:p w14:paraId="2282D31F">
            <w:pPr>
              <w:spacing w:line="360" w:lineRule="auto"/>
              <w:ind w:firstLine="482" w:firstLineChars="200"/>
              <w:rPr>
                <w:rFonts w:hint="default" w:ascii="Times New Roman" w:hAnsi="Times New Roman" w:eastAsia="宋体" w:cs="Times New Roman"/>
                <w:b/>
                <w:bCs w:val="0"/>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bCs w:val="0"/>
                <w:color w:val="000000" w:themeColor="text1"/>
                <w:sz w:val="24"/>
                <w:szCs w:val="24"/>
                <w:highlight w:val="none"/>
                <w:lang w:val="en-US" w:eastAsia="zh-CN"/>
                <w14:textFill>
                  <w14:solidFill>
                    <w14:schemeClr w14:val="tx1"/>
                  </w14:solidFill>
                </w14:textFill>
              </w:rPr>
              <w:t>5.3环境风险措施</w:t>
            </w:r>
          </w:p>
          <w:p w14:paraId="0153CB5F">
            <w:pPr>
              <w:pStyle w:val="11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72" w:firstLineChars="200"/>
              <w:jc w:val="both"/>
              <w:textAlignment w:val="baseline"/>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pacing w:val="-2"/>
                <w:sz w:val="24"/>
                <w:szCs w:val="24"/>
                <w:highlight w:val="none"/>
                <w14:textFill>
                  <w14:solidFill>
                    <w14:schemeClr w14:val="tx1"/>
                  </w14:solidFill>
                </w14:textFill>
              </w:rPr>
              <w:t>企业已经组建了安全环保管理机构，配备管理人员，并通过技能培训，承担企业的环保安全工作。结合公司运行情况，制定了严格的生产操作规</w:t>
            </w:r>
            <w:r>
              <w:rPr>
                <w:rFonts w:hint="default" w:ascii="Times New Roman" w:hAnsi="Times New Roman" w:cs="Times New Roman"/>
                <w:color w:val="000000" w:themeColor="text1"/>
                <w:spacing w:val="-1"/>
                <w:sz w:val="24"/>
                <w:szCs w:val="24"/>
                <w:highlight w:val="none"/>
                <w14:textFill>
                  <w14:solidFill>
                    <w14:schemeClr w14:val="tx1"/>
                  </w14:solidFill>
                </w14:textFill>
              </w:rPr>
              <w:t>则、部分安全生产管理制度和事故应急计划，开展厂区环境风险评价工作，完善事故应急处理手段和设施，同时加强安全教育，以提高职工的安全意识和安全防范能力。本项目建成后纳入风险管理措施和防范措施</w:t>
            </w:r>
            <w:r>
              <w:rPr>
                <w:rFonts w:hint="default" w:ascii="Times New Roman" w:hAnsi="Times New Roman" w:cs="Times New Roman"/>
                <w:color w:val="000000" w:themeColor="text1"/>
                <w:spacing w:val="-19"/>
                <w:sz w:val="24"/>
                <w:szCs w:val="24"/>
                <w:highlight w:val="none"/>
                <w14:textFill>
                  <w14:solidFill>
                    <w14:schemeClr w14:val="tx1"/>
                  </w14:solidFill>
                </w14:textFill>
              </w:rPr>
              <w:t>内。</w:t>
            </w:r>
          </w:p>
          <w:p w14:paraId="0FE0A123">
            <w:pPr>
              <w:pStyle w:val="11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本项目潜在的风险为</w:t>
            </w:r>
            <w:r>
              <w:rPr>
                <w:rFonts w:hint="eastAsia" w:ascii="Times New Roman" w:hAnsi="Times New Roman" w:cs="Times New Roman"/>
                <w:color w:val="000000" w:themeColor="text1"/>
                <w:sz w:val="24"/>
                <w:szCs w:val="24"/>
                <w:highlight w:val="none"/>
                <w:lang w:eastAsia="zh-CN"/>
                <w14:textFill>
                  <w14:solidFill>
                    <w14:schemeClr w14:val="tx1"/>
                  </w14:solidFill>
                </w14:textFill>
              </w:rPr>
              <w:t>煤气</w:t>
            </w:r>
            <w:r>
              <w:rPr>
                <w:rFonts w:hint="default" w:ascii="Times New Roman" w:hAnsi="Times New Roman" w:cs="Times New Roman"/>
                <w:color w:val="000000" w:themeColor="text1"/>
                <w:sz w:val="24"/>
                <w:szCs w:val="24"/>
                <w:highlight w:val="none"/>
                <w14:textFill>
                  <w14:solidFill>
                    <w14:schemeClr w14:val="tx1"/>
                  </w14:solidFill>
                </w14:textFill>
              </w:rPr>
              <w:t>管道泄漏引发的</w:t>
            </w:r>
            <w:r>
              <w:rPr>
                <w:rFonts w:hint="default" w:ascii="Times New Roman" w:hAnsi="Times New Roman" w:cs="Times New Roman"/>
                <w:color w:val="000000" w:themeColor="text1"/>
                <w:spacing w:val="-1"/>
                <w:sz w:val="24"/>
                <w:szCs w:val="24"/>
                <w:highlight w:val="none"/>
                <w14:textFill>
                  <w14:solidFill>
                    <w14:schemeClr w14:val="tx1"/>
                  </w14:solidFill>
                </w14:textFill>
              </w:rPr>
              <w:t>火灾、爆炸。</w:t>
            </w:r>
            <w:r>
              <w:rPr>
                <w:rFonts w:hint="default" w:ascii="Times New Roman" w:hAnsi="Times New Roman" w:cs="Times New Roman"/>
                <w:color w:val="000000" w:themeColor="text1"/>
                <w:sz w:val="24"/>
                <w:szCs w:val="24"/>
                <w:highlight w:val="none"/>
                <w14:textFill>
                  <w14:solidFill>
                    <w14:schemeClr w14:val="tx1"/>
                  </w14:solidFill>
                </w14:textFill>
              </w:rPr>
              <w:t>企业应严格执行安全生产制度，严格管理，提高操作人员的</w:t>
            </w:r>
            <w:r>
              <w:rPr>
                <w:rFonts w:hint="default" w:ascii="Times New Roman" w:hAnsi="Times New Roman" w:cs="Times New Roman"/>
                <w:color w:val="000000" w:themeColor="text1"/>
                <w:spacing w:val="-1"/>
                <w:sz w:val="24"/>
                <w:szCs w:val="24"/>
                <w:highlight w:val="none"/>
                <w14:textFill>
                  <w14:solidFill>
                    <w14:schemeClr w14:val="tx1"/>
                  </w14:solidFill>
                </w14:textFill>
              </w:rPr>
              <w:t>素质和水平，</w:t>
            </w:r>
            <w:r>
              <w:rPr>
                <w:rFonts w:hint="default" w:ascii="Times New Roman" w:hAnsi="Times New Roman" w:eastAsia="宋体" w:cs="Times New Roman"/>
                <w:color w:val="000000" w:themeColor="text1"/>
                <w:sz w:val="24"/>
                <w:szCs w:val="24"/>
                <w:highlight w:val="none"/>
                <w14:textFill>
                  <w14:solidFill>
                    <w14:schemeClr w14:val="tx1"/>
                  </w14:solidFill>
                </w14:textFill>
              </w:rPr>
              <w:t>同时制定有效的应急方案，使事故发生后对环境的影响减少到最低程度。建设单位在按照本环评报告的要求，做好各项风险的预防和应急措施的前</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提</w:t>
            </w:r>
            <w:r>
              <w:rPr>
                <w:rFonts w:hint="eastAsia" w:ascii="Times New Roman" w:hAnsi="Times New Roman" w:cs="Times New Roman"/>
                <w:color w:val="000000" w:themeColor="text1"/>
                <w:sz w:val="24"/>
                <w:szCs w:val="24"/>
                <w:highlight w:val="none"/>
                <w:lang w:eastAsia="zh-CN"/>
                <w14:textFill>
                  <w14:solidFill>
                    <w14:schemeClr w14:val="tx1"/>
                  </w14:solidFill>
                </w14:textFill>
              </w:rPr>
              <w:t>下</w:t>
            </w:r>
            <w:r>
              <w:rPr>
                <w:rFonts w:hint="default" w:ascii="Times New Roman" w:hAnsi="Times New Roman" w:eastAsia="宋体" w:cs="Times New Roman"/>
                <w:color w:val="000000" w:themeColor="text1"/>
                <w:sz w:val="24"/>
                <w:szCs w:val="24"/>
                <w:highlight w:val="none"/>
                <w14:textFill>
                  <w14:solidFill>
                    <w14:schemeClr w14:val="tx1"/>
                  </w14:solidFill>
                </w14:textFill>
              </w:rPr>
              <w:t>，所产生的环境风险可以控制在可接受风险水平之内。</w:t>
            </w:r>
          </w:p>
          <w:p w14:paraId="4C5A2AA2">
            <w:pPr>
              <w:pStyle w:val="11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针对项目可能产生的环境风险情形，评价提出以下风险防范措施：</w:t>
            </w:r>
          </w:p>
          <w:p w14:paraId="4327EFDF">
            <w:pPr>
              <w:pStyle w:val="11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1</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防止</w:t>
            </w:r>
            <w:r>
              <w:rPr>
                <w:rFonts w:hint="eastAsia" w:ascii="Times New Roman" w:hAnsi="Times New Roman" w:cs="Times New Roman"/>
                <w:color w:val="000000" w:themeColor="text1"/>
                <w:sz w:val="24"/>
                <w:szCs w:val="24"/>
                <w:highlight w:val="none"/>
                <w:lang w:eastAsia="zh-CN"/>
                <w14:textFill>
                  <w14:solidFill>
                    <w14:schemeClr w14:val="tx1"/>
                  </w14:solidFill>
                </w14:textFill>
              </w:rPr>
              <w:t>煤气</w:t>
            </w:r>
            <w:r>
              <w:rPr>
                <w:rFonts w:hint="default" w:ascii="Times New Roman" w:hAnsi="Times New Roman" w:eastAsia="宋体" w:cs="Times New Roman"/>
                <w:color w:val="000000" w:themeColor="text1"/>
                <w:sz w:val="24"/>
                <w:szCs w:val="24"/>
                <w:highlight w:val="none"/>
                <w14:textFill>
                  <w14:solidFill>
                    <w14:schemeClr w14:val="tx1"/>
                  </w14:solidFill>
                </w14:textFill>
              </w:rPr>
              <w:t>泄漏、爆炸的对策措施</w:t>
            </w:r>
          </w:p>
          <w:p w14:paraId="37021500">
            <w:pPr>
              <w:pStyle w:val="11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①设备的选材、设计、制造、安装、试压等符合国家现行标准和规范要求。</w:t>
            </w:r>
          </w:p>
          <w:p w14:paraId="5C6487F2">
            <w:pPr>
              <w:pStyle w:val="11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②管道、阀门、垫片应选用耐腐蚀</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的</w:t>
            </w:r>
            <w:r>
              <w:rPr>
                <w:rFonts w:hint="default" w:ascii="Times New Roman" w:hAnsi="Times New Roman" w:eastAsia="宋体" w:cs="Times New Roman"/>
                <w:color w:val="000000" w:themeColor="text1"/>
                <w:sz w:val="24"/>
                <w:szCs w:val="24"/>
                <w:highlight w:val="none"/>
                <w14:textFill>
                  <w14:solidFill>
                    <w14:schemeClr w14:val="tx1"/>
                  </w14:solidFill>
                </w14:textFill>
              </w:rPr>
              <w:t>材质。</w:t>
            </w:r>
          </w:p>
          <w:p w14:paraId="47AAA774">
            <w:pPr>
              <w:pStyle w:val="11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③管道附件必须经常检查、维护，定期检测，不能故障使用，发现故障及时处理。</w:t>
            </w:r>
          </w:p>
          <w:p w14:paraId="70B9418F">
            <w:pPr>
              <w:pStyle w:val="11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④对各类设备、管道、配电装置、电气设备的外露可导电部分，按《工业与民用电力装置的接地设计规范》</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GBJ65-83</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的要求设置可靠的接地装置。法兰、阀门必须用铜片搭接。</w:t>
            </w:r>
          </w:p>
          <w:p w14:paraId="7A2056E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bCs w:val="0"/>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⑤在</w:t>
            </w:r>
            <w:r>
              <w:rPr>
                <w:rFonts w:hint="eastAsia" w:cs="Times New Roman"/>
                <w:color w:val="000000" w:themeColor="text1"/>
                <w:sz w:val="24"/>
                <w:szCs w:val="24"/>
                <w:highlight w:val="none"/>
                <w:lang w:eastAsia="zh-CN"/>
                <w14:textFill>
                  <w14:solidFill>
                    <w14:schemeClr w14:val="tx1"/>
                  </w14:solidFill>
                </w14:textFill>
              </w:rPr>
              <w:t>煤气</w:t>
            </w:r>
            <w:r>
              <w:rPr>
                <w:rFonts w:hint="default" w:ascii="Times New Roman" w:hAnsi="Times New Roman" w:eastAsia="宋体" w:cs="Times New Roman"/>
                <w:color w:val="000000" w:themeColor="text1"/>
                <w:sz w:val="24"/>
                <w:szCs w:val="24"/>
                <w:highlight w:val="none"/>
                <w14:textFill>
                  <w14:solidFill>
                    <w14:schemeClr w14:val="tx1"/>
                  </w14:solidFill>
                </w14:textFill>
              </w:rPr>
              <w:t>供气母管及炉前各组燃烧器入口处设置快速</w:t>
            </w:r>
            <w:r>
              <w:rPr>
                <w:rFonts w:hint="eastAsia" w:cs="Times New Roman"/>
                <w:color w:val="000000" w:themeColor="text1"/>
                <w:sz w:val="24"/>
                <w:szCs w:val="24"/>
                <w:highlight w:val="none"/>
                <w:lang w:eastAsia="zh-CN"/>
                <w14:textFill>
                  <w14:solidFill>
                    <w14:schemeClr w14:val="tx1"/>
                  </w14:solidFill>
                </w14:textFill>
              </w:rPr>
              <w:t>切断阀</w:t>
            </w:r>
            <w:r>
              <w:rPr>
                <w:rFonts w:hint="default" w:ascii="Times New Roman" w:hAnsi="Times New Roman" w:eastAsia="宋体" w:cs="Times New Roman"/>
                <w:color w:val="000000" w:themeColor="text1"/>
                <w:sz w:val="24"/>
                <w:szCs w:val="24"/>
                <w:highlight w:val="none"/>
                <w14:textFill>
                  <w14:solidFill>
                    <w14:schemeClr w14:val="tx1"/>
                  </w14:solidFill>
                </w14:textFill>
              </w:rPr>
              <w:t>，并与炉膛熄火保护系统相连接。为防止回火，严格控制炉</w:t>
            </w:r>
            <w:r>
              <w:rPr>
                <w:rFonts w:hint="eastAsia" w:cs="Times New Roman"/>
                <w:color w:val="000000" w:themeColor="text1"/>
                <w:sz w:val="24"/>
                <w:szCs w:val="24"/>
                <w:highlight w:val="none"/>
                <w:lang w:eastAsia="zh-CN"/>
                <w14:textFill>
                  <w14:solidFill>
                    <w14:schemeClr w14:val="tx1"/>
                  </w14:solidFill>
                </w14:textFill>
              </w:rPr>
              <w:t>内煤气</w:t>
            </w:r>
            <w:r>
              <w:rPr>
                <w:rFonts w:hint="default" w:ascii="Times New Roman" w:hAnsi="Times New Roman" w:eastAsia="宋体" w:cs="Times New Roman"/>
                <w:color w:val="000000" w:themeColor="text1"/>
                <w:sz w:val="24"/>
                <w:szCs w:val="24"/>
                <w:highlight w:val="none"/>
                <w14:textFill>
                  <w14:solidFill>
                    <w14:schemeClr w14:val="tx1"/>
                  </w14:solidFill>
                </w14:textFill>
              </w:rPr>
              <w:t>压力。设置</w:t>
            </w:r>
            <w:r>
              <w:rPr>
                <w:rFonts w:hint="eastAsia" w:cs="Times New Roman"/>
                <w:color w:val="000000" w:themeColor="text1"/>
                <w:sz w:val="24"/>
                <w:szCs w:val="24"/>
                <w:highlight w:val="none"/>
                <w:lang w:eastAsia="zh-CN"/>
                <w14:textFill>
                  <w14:solidFill>
                    <w14:schemeClr w14:val="tx1"/>
                  </w14:solidFill>
                </w14:textFill>
              </w:rPr>
              <w:t>煤气</w:t>
            </w:r>
            <w:r>
              <w:rPr>
                <w:rFonts w:hint="default" w:ascii="Times New Roman" w:hAnsi="Times New Roman" w:eastAsia="宋体" w:cs="Times New Roman"/>
                <w:color w:val="000000" w:themeColor="text1"/>
                <w:sz w:val="24"/>
                <w:szCs w:val="24"/>
                <w:highlight w:val="none"/>
                <w14:textFill>
                  <w14:solidFill>
                    <w14:schemeClr w14:val="tx1"/>
                  </w14:solidFill>
                </w14:textFill>
              </w:rPr>
              <w:t>低压报警及保护装置。当</w:t>
            </w:r>
            <w:r>
              <w:rPr>
                <w:rFonts w:hint="eastAsia" w:cs="Times New Roman"/>
                <w:color w:val="000000" w:themeColor="text1"/>
                <w:sz w:val="24"/>
                <w:szCs w:val="24"/>
                <w:highlight w:val="none"/>
                <w:lang w:eastAsia="zh-CN"/>
                <w14:textFill>
                  <w14:solidFill>
                    <w14:schemeClr w14:val="tx1"/>
                  </w14:solidFill>
                </w14:textFill>
              </w:rPr>
              <w:t>煤气</w:t>
            </w:r>
            <w:r>
              <w:rPr>
                <w:rFonts w:hint="default" w:ascii="Times New Roman" w:hAnsi="Times New Roman" w:eastAsia="宋体" w:cs="Times New Roman"/>
                <w:color w:val="000000" w:themeColor="text1"/>
                <w:sz w:val="24"/>
                <w:szCs w:val="24"/>
                <w:highlight w:val="none"/>
                <w14:textFill>
                  <w14:solidFill>
                    <w14:schemeClr w14:val="tx1"/>
                  </w14:solidFill>
                </w14:textFill>
              </w:rPr>
              <w:t>压力过低或炉膛突然熄火时能迅速</w:t>
            </w:r>
            <w:r>
              <w:rPr>
                <w:rFonts w:hint="eastAsia" w:cs="Times New Roman"/>
                <w:color w:val="000000" w:themeColor="text1"/>
                <w:sz w:val="24"/>
                <w:szCs w:val="24"/>
                <w:highlight w:val="none"/>
                <w:lang w:eastAsia="zh-CN"/>
                <w14:textFill>
                  <w14:solidFill>
                    <w14:schemeClr w14:val="tx1"/>
                  </w14:solidFill>
                </w14:textFill>
              </w:rPr>
              <w:t>切断</w:t>
            </w:r>
            <w:r>
              <w:rPr>
                <w:rFonts w:hint="default" w:ascii="Times New Roman" w:hAnsi="Times New Roman" w:eastAsia="宋体" w:cs="Times New Roman"/>
                <w:color w:val="000000" w:themeColor="text1"/>
                <w:sz w:val="24"/>
                <w:szCs w:val="24"/>
                <w:highlight w:val="none"/>
                <w14:textFill>
                  <w14:solidFill>
                    <w14:schemeClr w14:val="tx1"/>
                  </w14:solidFill>
                </w14:textFill>
              </w:rPr>
              <w:t>供气，以免引起爆炸。在</w:t>
            </w:r>
            <w:r>
              <w:rPr>
                <w:rFonts w:hint="eastAsia" w:cs="Times New Roman"/>
                <w:color w:val="000000" w:themeColor="text1"/>
                <w:sz w:val="24"/>
                <w:szCs w:val="24"/>
                <w:highlight w:val="none"/>
                <w:lang w:eastAsia="zh-CN"/>
                <w14:textFill>
                  <w14:solidFill>
                    <w14:schemeClr w14:val="tx1"/>
                  </w14:solidFill>
                </w14:textFill>
              </w:rPr>
              <w:t>煤气</w:t>
            </w:r>
            <w:r>
              <w:rPr>
                <w:rFonts w:hint="default" w:ascii="Times New Roman" w:hAnsi="Times New Roman" w:eastAsia="宋体" w:cs="Times New Roman"/>
                <w:color w:val="000000" w:themeColor="text1"/>
                <w:sz w:val="24"/>
                <w:szCs w:val="24"/>
                <w:highlight w:val="none"/>
                <w14:textFill>
                  <w14:solidFill>
                    <w14:schemeClr w14:val="tx1"/>
                  </w14:solidFill>
                </w14:textFill>
              </w:rPr>
              <w:t>管路设计时设置氮气吹扫放散系统。为防止</w:t>
            </w:r>
            <w:r>
              <w:rPr>
                <w:rFonts w:hint="eastAsia" w:cs="Times New Roman"/>
                <w:color w:val="000000" w:themeColor="text1"/>
                <w:sz w:val="24"/>
                <w:szCs w:val="24"/>
                <w:highlight w:val="none"/>
                <w:lang w:eastAsia="zh-CN"/>
                <w14:textFill>
                  <w14:solidFill>
                    <w14:schemeClr w14:val="tx1"/>
                  </w14:solidFill>
                </w14:textFill>
              </w:rPr>
              <w:t>煤气</w:t>
            </w:r>
            <w:r>
              <w:rPr>
                <w:rFonts w:hint="default" w:ascii="Times New Roman" w:hAnsi="Times New Roman" w:eastAsia="宋体" w:cs="Times New Roman"/>
                <w:color w:val="000000" w:themeColor="text1"/>
                <w:sz w:val="24"/>
                <w:szCs w:val="24"/>
                <w:highlight w:val="none"/>
                <w14:textFill>
                  <w14:solidFill>
                    <w14:schemeClr w14:val="tx1"/>
                  </w14:solidFill>
                </w14:textFill>
              </w:rPr>
              <w:t>设备和管道泄漏的可燃气体聚集，用气单位采用半露天布置，</w:t>
            </w:r>
            <w:r>
              <w:rPr>
                <w:rFonts w:hint="eastAsia" w:cs="Times New Roman"/>
                <w:color w:val="000000" w:themeColor="text1"/>
                <w:sz w:val="24"/>
                <w:szCs w:val="24"/>
                <w:highlight w:val="none"/>
                <w:lang w:eastAsia="zh-CN"/>
                <w14:textFill>
                  <w14:solidFill>
                    <w14:schemeClr w14:val="tx1"/>
                  </w14:solidFill>
                </w14:textFill>
              </w:rPr>
              <w:t>煤气</w:t>
            </w:r>
            <w:r>
              <w:rPr>
                <w:rFonts w:hint="default" w:ascii="Times New Roman" w:hAnsi="Times New Roman" w:eastAsia="宋体" w:cs="Times New Roman"/>
                <w:color w:val="000000" w:themeColor="text1"/>
                <w:sz w:val="24"/>
                <w:szCs w:val="24"/>
                <w:highlight w:val="none"/>
                <w14:textFill>
                  <w14:solidFill>
                    <w14:schemeClr w14:val="tx1"/>
                  </w14:solidFill>
                </w14:textFill>
              </w:rPr>
              <w:t>调压站布置于炉后的运行站上，以利于疏散。在煅烧窑每一个楼层、烟道、煤气管道等可能泄漏</w:t>
            </w:r>
            <w:r>
              <w:rPr>
                <w:rFonts w:hint="eastAsia" w:cs="Times New Roman"/>
                <w:color w:val="000000" w:themeColor="text1"/>
                <w:sz w:val="24"/>
                <w:szCs w:val="24"/>
                <w:highlight w:val="none"/>
                <w:lang w:eastAsia="zh-CN"/>
                <w14:textFill>
                  <w14:solidFill>
                    <w14:schemeClr w14:val="tx1"/>
                  </w14:solidFill>
                </w14:textFill>
              </w:rPr>
              <w:t>煤气</w:t>
            </w:r>
            <w:r>
              <w:rPr>
                <w:rFonts w:hint="default" w:ascii="Times New Roman" w:hAnsi="Times New Roman" w:eastAsia="宋体" w:cs="Times New Roman"/>
                <w:color w:val="000000" w:themeColor="text1"/>
                <w:sz w:val="24"/>
                <w:szCs w:val="24"/>
                <w:highlight w:val="none"/>
                <w14:textFill>
                  <w14:solidFill>
                    <w14:schemeClr w14:val="tx1"/>
                  </w14:solidFill>
                </w14:textFill>
              </w:rPr>
              <w:t>的位置装设可燃气体检测报警装置，当可燃气体含量超标时报警，便于人员疏散。运行层调压站处、底层和可燃气体管道穿过的封闭区域加强通风。在经常检修的部位设置可靠的盲板法兰组合隔断装置。可燃气体管道设有</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漏电保护装置</w:t>
            </w:r>
            <w:r>
              <w:rPr>
                <w:rFonts w:hint="default" w:ascii="Times New Roman" w:hAnsi="Times New Roman" w:eastAsia="宋体" w:cs="Times New Roman"/>
                <w:color w:val="000000" w:themeColor="text1"/>
                <w:sz w:val="24"/>
                <w:szCs w:val="24"/>
                <w:highlight w:val="none"/>
                <w14:textFill>
                  <w14:solidFill>
                    <w14:schemeClr w14:val="tx1"/>
                  </w14:solidFill>
                </w14:textFill>
              </w:rPr>
              <w:t>。烧成车间工作人员佩戴便携式可燃气体检测仪。</w:t>
            </w:r>
          </w:p>
          <w:p w14:paraId="4D99797D">
            <w:pPr>
              <w:spacing w:line="360" w:lineRule="auto"/>
              <w:ind w:firstLine="482"/>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eastAsia" w:cs="Times New Roman"/>
                <w:color w:val="000000" w:themeColor="text1"/>
                <w:sz w:val="24"/>
                <w:highlight w:val="none"/>
                <w:lang w:val="en-US" w:eastAsia="zh-CN"/>
                <w14:textFill>
                  <w14:solidFill>
                    <w14:schemeClr w14:val="tx1"/>
                  </w14:solidFill>
                </w14:textFill>
              </w:rPr>
              <w:t>（2）危废暂存间风险防范措施</w:t>
            </w:r>
          </w:p>
          <w:p w14:paraId="7BE45BFC">
            <w:pPr>
              <w:pStyle w:val="8"/>
              <w:spacing w:line="360" w:lineRule="auto"/>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1）火灾爆炸防范措施</w:t>
            </w:r>
          </w:p>
          <w:p w14:paraId="4C6B97F9">
            <w:pPr>
              <w:pStyle w:val="8"/>
              <w:spacing w:line="360" w:lineRule="auto"/>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①防火距离</w:t>
            </w:r>
          </w:p>
          <w:p w14:paraId="656C444F">
            <w:pPr>
              <w:pStyle w:val="8"/>
              <w:spacing w:line="360" w:lineRule="auto"/>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本项目各建筑物之间防火间距应满足《石油化工企业设计防火规范》（GB50160-2008）要求。厂内道路保证消防车辆畅通无阻。此外，对油品输送系统安装排风探头确保安全操作。设计完整高效的消防报警系统。</w:t>
            </w:r>
          </w:p>
          <w:p w14:paraId="463F3DA5">
            <w:pPr>
              <w:pStyle w:val="8"/>
              <w:spacing w:line="360" w:lineRule="auto"/>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②加强安全管理</w:t>
            </w:r>
          </w:p>
          <w:p w14:paraId="47A6B0E6">
            <w:pPr>
              <w:pStyle w:val="8"/>
              <w:spacing w:line="360" w:lineRule="auto"/>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定期对储油区进行防火安全检查，保存记录。安全检测应根据设备的安全性、危险性设定检测频次。完善疏散通道及设施。</w:t>
            </w:r>
          </w:p>
          <w:p w14:paraId="44168A8E">
            <w:pPr>
              <w:pStyle w:val="8"/>
              <w:spacing w:line="360" w:lineRule="auto"/>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③火源的管理</w:t>
            </w:r>
          </w:p>
          <w:p w14:paraId="736AC2EE">
            <w:pPr>
              <w:pStyle w:val="8"/>
              <w:spacing w:line="360" w:lineRule="auto"/>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明火控制，其发生源为火柴、打火机等，维修用火控制，在设备维修检</w:t>
            </w:r>
          </w:p>
          <w:p w14:paraId="4DB682E4">
            <w:pPr>
              <w:pStyle w:val="8"/>
              <w:spacing w:line="360" w:lineRule="auto"/>
              <w:ind w:left="0" w:leftChars="0" w:firstLine="0" w:firstLineChars="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查需进行维修焊接，应记录在案并有监管人员在场方可进行。严禁穿戴铁钉的鞋进入。机动车在厂内行驶，应安装阻火器。</w:t>
            </w:r>
          </w:p>
          <w:p w14:paraId="180D8B2C">
            <w:pPr>
              <w:pStyle w:val="8"/>
              <w:spacing w:line="360" w:lineRule="auto"/>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④火灾控制措施</w:t>
            </w:r>
          </w:p>
          <w:p w14:paraId="2017430D">
            <w:pPr>
              <w:pStyle w:val="8"/>
              <w:spacing w:line="360" w:lineRule="auto"/>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严格按照防火、防爆设计规范进行设计，按规范布设消防系统，配置相应的灭火装置和设施。设置火焰探测器和火警报警系统，并经常检查设施的</w:t>
            </w:r>
          </w:p>
          <w:p w14:paraId="14B2C9F3">
            <w:pPr>
              <w:pStyle w:val="8"/>
              <w:spacing w:line="360" w:lineRule="auto"/>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正常运转。按照设计规范要求选用电气设备并采取静电接地措施。加强对设施的检查，防止跑冒滴漏。设立危险、有毒等标志。</w:t>
            </w:r>
          </w:p>
          <w:p w14:paraId="37A5820C">
            <w:pPr>
              <w:pStyle w:val="8"/>
              <w:spacing w:line="360" w:lineRule="auto"/>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此外，企业应开展安全生产定期检查，及时发现并消除隐患，制定防止事故发生的各种规章制度并严格执行。按规定对操作人员进行安全操作技术培训，考试合格后方可上岗。</w:t>
            </w:r>
          </w:p>
          <w:p w14:paraId="5FBFDF4D">
            <w:pPr>
              <w:pStyle w:val="8"/>
              <w:spacing w:line="360" w:lineRule="auto"/>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2）地下水风险防范措施</w:t>
            </w:r>
          </w:p>
          <w:p w14:paraId="61903B17">
            <w:pPr>
              <w:pStyle w:val="8"/>
              <w:spacing w:line="360" w:lineRule="auto"/>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对危废库按照规定进行重点防渗，采用</w:t>
            </w:r>
            <w:r>
              <w:rPr>
                <w:rFonts w:hint="default"/>
                <w:color w:val="000000" w:themeColor="text1"/>
                <w:highlight w:val="none"/>
                <w:lang w:val="en-US" w:eastAsia="zh-CN"/>
                <w14:textFill>
                  <w14:solidFill>
                    <w14:schemeClr w14:val="tx1"/>
                  </w14:solidFill>
                </w14:textFill>
              </w:rPr>
              <w:t>2mm</w:t>
            </w:r>
            <w:r>
              <w:rPr>
                <w:rFonts w:hint="eastAsia"/>
                <w:color w:val="000000" w:themeColor="text1"/>
                <w:highlight w:val="none"/>
                <w:lang w:val="en-US" w:eastAsia="zh-CN"/>
                <w14:textFill>
                  <w14:solidFill>
                    <w14:schemeClr w14:val="tx1"/>
                  </w14:solidFill>
                </w14:textFill>
              </w:rPr>
              <w:t>厚高密度聚乙烯膜人工防渗材料（渗透系数不大于</w:t>
            </w:r>
            <w:r>
              <w:rPr>
                <w:rFonts w:hint="default"/>
                <w:color w:val="000000" w:themeColor="text1"/>
                <w:highlight w:val="none"/>
                <w:lang w:val="en-US" w:eastAsia="zh-CN"/>
                <w14:textFill>
                  <w14:solidFill>
                    <w14:schemeClr w14:val="tx1"/>
                  </w14:solidFill>
                </w14:textFill>
              </w:rPr>
              <w:t>10</w:t>
            </w:r>
            <w:r>
              <w:rPr>
                <w:rFonts w:hint="eastAsia"/>
                <w:color w:val="000000" w:themeColor="text1"/>
                <w:highlight w:val="none"/>
                <w:vertAlign w:val="superscript"/>
                <w:lang w:val="en-US" w:eastAsia="zh-CN"/>
                <w14:textFill>
                  <w14:solidFill>
                    <w14:schemeClr w14:val="tx1"/>
                  </w14:solidFill>
                </w14:textFill>
              </w:rPr>
              <w:t>—</w:t>
            </w:r>
            <w:r>
              <w:rPr>
                <w:rFonts w:hint="default"/>
                <w:color w:val="000000" w:themeColor="text1"/>
                <w:highlight w:val="none"/>
                <w:vertAlign w:val="superscript"/>
                <w:lang w:val="en-US" w:eastAsia="zh-CN"/>
                <w14:textFill>
                  <w14:solidFill>
                    <w14:schemeClr w14:val="tx1"/>
                  </w14:solidFill>
                </w14:textFill>
              </w:rPr>
              <w:t>10</w:t>
            </w:r>
            <w:r>
              <w:rPr>
                <w:rFonts w:hint="default"/>
                <w:color w:val="000000" w:themeColor="text1"/>
                <w:highlight w:val="none"/>
                <w:lang w:val="en-US" w:eastAsia="zh-CN"/>
                <w14:textFill>
                  <w14:solidFill>
                    <w14:schemeClr w14:val="tx1"/>
                  </w14:solidFill>
                </w14:textFill>
              </w:rPr>
              <w:t>cm/s</w:t>
            </w:r>
            <w:r>
              <w:rPr>
                <w:rFonts w:hint="eastAsia"/>
                <w:color w:val="000000" w:themeColor="text1"/>
                <w:highlight w:val="none"/>
                <w:lang w:val="en-US" w:eastAsia="zh-CN"/>
                <w14:textFill>
                  <w14:solidFill>
                    <w14:schemeClr w14:val="tx1"/>
                  </w14:solidFill>
                </w14:textFill>
              </w:rPr>
              <w:t>），防止对地下水造成污染。</w:t>
            </w:r>
          </w:p>
          <w:p w14:paraId="538566EC">
            <w:pPr>
              <w:spacing w:line="360" w:lineRule="auto"/>
              <w:ind w:firstLine="482"/>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pPr>
            <w:r>
              <w:rPr>
                <w:rFonts w:hint="eastAsia" w:cs="Times New Roman"/>
                <w:color w:val="000000" w:themeColor="text1"/>
                <w:sz w:val="24"/>
                <w:highlight w:val="none"/>
                <w:lang w:val="en-US" w:eastAsia="zh-CN"/>
                <w14:textFill>
                  <w14:solidFill>
                    <w14:schemeClr w14:val="tx1"/>
                  </w14:solidFill>
                </w14:textFill>
              </w:rPr>
              <w:t>（3）</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企业目前氨水泄漏采取风险防范措施：</w:t>
            </w:r>
          </w:p>
          <w:p w14:paraId="63C2933B">
            <w:pPr>
              <w:spacing w:line="360" w:lineRule="auto"/>
              <w:ind w:firstLine="480" w:firstLineChars="200"/>
              <w:rPr>
                <w:rFonts w:hint="eastAsia" w:ascii="Times New Roman" w:hAnsi="Times New Roman" w:eastAsia="宋体" w:cs="Times New Roman"/>
                <w:b w:val="0"/>
                <w:color w:val="000000" w:themeColor="text1"/>
                <w:sz w:val="24"/>
                <w:highlight w:val="none"/>
                <w14:textFill>
                  <w14:solidFill>
                    <w14:schemeClr w14:val="tx1"/>
                  </w14:solidFill>
                </w14:textFill>
              </w:rPr>
            </w:pPr>
            <w:r>
              <w:rPr>
                <w:rFonts w:hint="eastAsia" w:ascii="Times New Roman" w:hAnsi="Times New Roman" w:eastAsia="宋体" w:cs="Times New Roman"/>
                <w:b w:val="0"/>
                <w:color w:val="000000" w:themeColor="text1"/>
                <w:sz w:val="24"/>
                <w:highlight w:val="none"/>
                <w:lang w:val="en-US" w:eastAsia="zh-CN"/>
                <w14:textFill>
                  <w14:solidFill>
                    <w14:schemeClr w14:val="tx1"/>
                  </w14:solidFill>
                </w14:textFill>
              </w:rPr>
              <w:t>1</w:t>
            </w:r>
            <w:r>
              <w:rPr>
                <w:rFonts w:hint="eastAsia" w:ascii="Times New Roman" w:hAnsi="Times New Roman" w:eastAsia="宋体" w:cs="Times New Roman"/>
                <w:b w:val="0"/>
                <w:color w:val="000000" w:themeColor="text1"/>
                <w:sz w:val="24"/>
                <w:highlight w:val="none"/>
                <w:lang w:eastAsia="zh-CN"/>
                <w14:textFill>
                  <w14:solidFill>
                    <w14:schemeClr w14:val="tx1"/>
                  </w14:solidFill>
                </w14:textFill>
              </w:rPr>
              <w:t>）</w:t>
            </w:r>
            <w:r>
              <w:rPr>
                <w:rFonts w:hint="eastAsia" w:ascii="Times New Roman" w:hAnsi="Times New Roman" w:eastAsia="宋体" w:cs="Times New Roman"/>
                <w:b w:val="0"/>
                <w:color w:val="000000" w:themeColor="text1"/>
                <w:sz w:val="24"/>
                <w:highlight w:val="none"/>
                <w14:textFill>
                  <w14:solidFill>
                    <w14:schemeClr w14:val="tx1"/>
                  </w14:solidFill>
                </w14:textFill>
              </w:rPr>
              <w:t>风险防范、减缓措施</w:t>
            </w:r>
          </w:p>
          <w:p w14:paraId="177E95DC">
            <w:pPr>
              <w:spacing w:line="360" w:lineRule="auto"/>
              <w:ind w:firstLine="480" w:firstLineChars="200"/>
              <w:rPr>
                <w:rFonts w:hint="eastAsia" w:ascii="Times New Roman" w:hAnsi="Times New Roman" w:eastAsia="宋体" w:cs="Times New Roman"/>
                <w:color w:val="000000" w:themeColor="text1"/>
                <w:sz w:val="24"/>
                <w:highlight w:val="none"/>
                <w:lang w:eastAsia="zh-CN"/>
                <w14:textFill>
                  <w14:solidFill>
                    <w14:schemeClr w14:val="tx1"/>
                  </w14:solidFill>
                </w14:textFill>
              </w:rPr>
            </w:pP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①</w:t>
            </w:r>
            <w:r>
              <w:rPr>
                <w:rFonts w:hint="eastAsia" w:ascii="Times New Roman" w:hAnsi="Times New Roman" w:eastAsia="宋体" w:cs="Times New Roman"/>
                <w:color w:val="000000" w:themeColor="text1"/>
                <w:sz w:val="24"/>
                <w:highlight w:val="none"/>
                <w14:textFill>
                  <w14:solidFill>
                    <w14:schemeClr w14:val="tx1"/>
                  </w14:solidFill>
                </w14:textFill>
              </w:rPr>
              <w:t>在含有有毒气体的装置区及储运区设置有毒气体检测及自动报警系统；</w:t>
            </w:r>
          </w:p>
          <w:p w14:paraId="2C10CC1B">
            <w:pPr>
              <w:spacing w:line="360" w:lineRule="auto"/>
              <w:ind w:firstLine="480" w:firstLineChars="200"/>
              <w:rPr>
                <w:rFonts w:hint="eastAsia"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②</w:t>
            </w:r>
            <w:r>
              <w:rPr>
                <w:rFonts w:hint="eastAsia" w:ascii="Times New Roman" w:hAnsi="Times New Roman" w:eastAsia="宋体" w:cs="Times New Roman"/>
                <w:color w:val="000000" w:themeColor="text1"/>
                <w:sz w:val="24"/>
                <w:highlight w:val="none"/>
                <w14:textFill>
                  <w14:solidFill>
                    <w14:schemeClr w14:val="tx1"/>
                  </w14:solidFill>
                </w14:textFill>
              </w:rPr>
              <w:t>根据《工业企业设计卫生标准》</w:t>
            </w:r>
            <w:r>
              <w:rPr>
                <w:rFonts w:hint="eastAsia" w:ascii="Times New Roman" w:hAnsi="Times New Roman" w:eastAsia="宋体" w:cs="Times New Roman"/>
                <w:color w:val="000000" w:themeColor="text1"/>
                <w:sz w:val="24"/>
                <w:highlight w:val="none"/>
                <w:lang w:eastAsia="zh-CN"/>
                <w14:textFill>
                  <w14:solidFill>
                    <w14:schemeClr w14:val="tx1"/>
                  </w14:solidFill>
                </w14:textFill>
              </w:rPr>
              <w:t>（GBZ1-2010）</w:t>
            </w:r>
            <w:r>
              <w:rPr>
                <w:rFonts w:hint="eastAsia" w:ascii="Times New Roman" w:hAnsi="Times New Roman" w:eastAsia="宋体" w:cs="Times New Roman"/>
                <w:color w:val="000000" w:themeColor="text1"/>
                <w:sz w:val="24"/>
                <w:highlight w:val="none"/>
                <w14:textFill>
                  <w14:solidFill>
                    <w14:schemeClr w14:val="tx1"/>
                  </w14:solidFill>
                </w14:textFill>
              </w:rPr>
              <w:t>在厂区消防站内设有毒气体防护站；</w:t>
            </w:r>
          </w:p>
          <w:p w14:paraId="7C6D61ED">
            <w:pPr>
              <w:spacing w:line="360" w:lineRule="auto"/>
              <w:ind w:firstLine="480" w:firstLineChars="200"/>
              <w:rPr>
                <w:rFonts w:hint="eastAsia"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③</w:t>
            </w:r>
            <w:r>
              <w:rPr>
                <w:rFonts w:hint="eastAsia" w:ascii="Times New Roman" w:hAnsi="Times New Roman" w:eastAsia="宋体" w:cs="Times New Roman"/>
                <w:color w:val="000000" w:themeColor="text1"/>
                <w:sz w:val="24"/>
                <w:highlight w:val="none"/>
                <w14:textFill>
                  <w14:solidFill>
                    <w14:schemeClr w14:val="tx1"/>
                  </w14:solidFill>
                </w14:textFill>
              </w:rPr>
              <w:t>设置应急监测机构及配备必要的应急监测设备；</w:t>
            </w:r>
          </w:p>
          <w:p w14:paraId="68C52944">
            <w:pPr>
              <w:spacing w:line="360" w:lineRule="auto"/>
              <w:ind w:firstLine="480" w:firstLineChars="200"/>
              <w:rPr>
                <w:rFonts w:hint="eastAsia"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④</w:t>
            </w:r>
            <w:r>
              <w:rPr>
                <w:rFonts w:hint="eastAsia" w:ascii="Times New Roman" w:hAnsi="Times New Roman" w:eastAsia="宋体" w:cs="Times New Roman"/>
                <w:color w:val="000000" w:themeColor="text1"/>
                <w:sz w:val="24"/>
                <w:highlight w:val="none"/>
                <w14:textFill>
                  <w14:solidFill>
                    <w14:schemeClr w14:val="tx1"/>
                  </w14:solidFill>
                </w14:textFill>
              </w:rPr>
              <w:t>各装置内设有紧急事故泄压排放系统，重点危险源废气系统应设置收集装置并与火炬相接。出现风险事故造成停车或局部停车时，装置自动</w:t>
            </w:r>
            <w:r>
              <w:rPr>
                <w:rFonts w:hint="eastAsia" w:cs="Times New Roman"/>
                <w:color w:val="000000" w:themeColor="text1"/>
                <w:sz w:val="24"/>
                <w:highlight w:val="none"/>
                <w:lang w:eastAsia="zh-CN"/>
                <w14:textFill>
                  <w14:solidFill>
                    <w14:schemeClr w14:val="tx1"/>
                  </w14:solidFill>
                </w14:textFill>
              </w:rPr>
              <w:t>联锁</w:t>
            </w:r>
            <w:r>
              <w:rPr>
                <w:rFonts w:hint="eastAsia" w:ascii="Times New Roman" w:hAnsi="Times New Roman" w:eastAsia="宋体" w:cs="Times New Roman"/>
                <w:color w:val="000000" w:themeColor="text1"/>
                <w:sz w:val="24"/>
                <w:highlight w:val="none"/>
                <w14:textFill>
                  <w14:solidFill>
                    <w14:schemeClr w14:val="tx1"/>
                  </w14:solidFill>
                </w14:textFill>
              </w:rPr>
              <w:t>系统自动切断进料系统，事故停车造成的装置及连带上、下游装置无法回收的气体以及收集的事故废气全部排入火炬系统焚烧；</w:t>
            </w:r>
          </w:p>
          <w:p w14:paraId="62FA75C0">
            <w:pPr>
              <w:spacing w:line="360" w:lineRule="auto"/>
              <w:ind w:firstLine="480" w:firstLineChars="200"/>
              <w:rPr>
                <w:rFonts w:hint="eastAsia"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⑤</w:t>
            </w:r>
            <w:r>
              <w:rPr>
                <w:rFonts w:hint="eastAsia" w:ascii="Times New Roman" w:hAnsi="Times New Roman" w:eastAsia="宋体" w:cs="Times New Roman"/>
                <w:color w:val="000000" w:themeColor="text1"/>
                <w:sz w:val="24"/>
                <w:highlight w:val="none"/>
                <w14:textFill>
                  <w14:solidFill>
                    <w14:schemeClr w14:val="tx1"/>
                  </w14:solidFill>
                </w14:textFill>
              </w:rPr>
              <w:t>适当位置安装风向仪，用于观测准确风向。当发生毒害物泄漏事故，组织人员向事故发生源上风向疏散；</w:t>
            </w:r>
          </w:p>
          <w:p w14:paraId="674AB357">
            <w:pPr>
              <w:spacing w:line="360" w:lineRule="auto"/>
              <w:ind w:firstLine="480" w:firstLineChars="200"/>
              <w:rPr>
                <w:rFonts w:hint="eastAsia" w:ascii="Times New Roman" w:hAnsi="Times New Roman" w:eastAsia="宋体" w:cs="Times New Roman"/>
                <w:color w:val="000000" w:themeColor="text1"/>
                <w:sz w:val="24"/>
                <w:highlight w:val="none"/>
                <w:lang w:eastAsia="zh-CN"/>
                <w14:textFill>
                  <w14:solidFill>
                    <w14:schemeClr w14:val="tx1"/>
                  </w14:solidFill>
                </w14:textFill>
              </w:rPr>
            </w:pP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⑥</w:t>
            </w:r>
            <w:r>
              <w:rPr>
                <w:rFonts w:hint="eastAsia" w:ascii="Times New Roman" w:hAnsi="Times New Roman" w:eastAsia="宋体" w:cs="Times New Roman"/>
                <w:color w:val="000000" w:themeColor="text1"/>
                <w:sz w:val="24"/>
                <w:highlight w:val="none"/>
                <w14:textFill>
                  <w14:solidFill>
                    <w14:schemeClr w14:val="tx1"/>
                  </w14:solidFill>
                </w14:textFill>
              </w:rPr>
              <w:t>为有效预防火灾，及早发现火情，保障安全生产，本项目设置火灾报警系统，各单元的火灾报警系统均接入全厂火灾报警系统。</w:t>
            </w:r>
          </w:p>
          <w:p w14:paraId="5D00243F">
            <w:pPr>
              <w:spacing w:line="360" w:lineRule="auto"/>
              <w:ind w:firstLine="480" w:firstLineChars="200"/>
              <w:rPr>
                <w:rFonts w:hint="eastAsia"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⑦</w:t>
            </w:r>
            <w:r>
              <w:rPr>
                <w:rFonts w:hint="eastAsia" w:ascii="Times New Roman" w:hAnsi="Times New Roman" w:eastAsia="宋体" w:cs="Times New Roman"/>
                <w:color w:val="000000" w:themeColor="text1"/>
                <w:sz w:val="24"/>
                <w:highlight w:val="none"/>
                <w14:textFill>
                  <w14:solidFill>
                    <w14:schemeClr w14:val="tx1"/>
                  </w14:solidFill>
                </w14:textFill>
              </w:rPr>
              <w:t>设立消防气防站，对有毒、窒息性工作场所进行监护和对中毒和</w:t>
            </w:r>
            <w:r>
              <w:rPr>
                <w:rFonts w:hint="eastAsia" w:cs="Times New Roman"/>
                <w:color w:val="000000" w:themeColor="text1"/>
                <w:sz w:val="24"/>
                <w:highlight w:val="none"/>
                <w:lang w:eastAsia="zh-CN"/>
                <w14:textFill>
                  <w14:solidFill>
                    <w14:schemeClr w14:val="tx1"/>
                  </w14:solidFill>
                </w14:textFill>
              </w:rPr>
              <w:t>其他事故</w:t>
            </w:r>
            <w:r>
              <w:rPr>
                <w:rFonts w:hint="eastAsia" w:ascii="Times New Roman" w:hAnsi="Times New Roman" w:eastAsia="宋体" w:cs="Times New Roman"/>
                <w:color w:val="000000" w:themeColor="text1"/>
                <w:sz w:val="24"/>
                <w:highlight w:val="none"/>
                <w14:textFill>
                  <w14:solidFill>
                    <w14:schemeClr w14:val="tx1"/>
                  </w14:solidFill>
                </w14:textFill>
              </w:rPr>
              <w:t>的现场进行抢救工作，以及会同安全卫生部门和生产车间对职工进行防毒知识教育，组织事故抢救演习，负责防毒器具的发放、管理、维护、检验。</w:t>
            </w:r>
          </w:p>
          <w:p w14:paraId="7DC7A57D">
            <w:pPr>
              <w:spacing w:line="360" w:lineRule="auto"/>
              <w:ind w:firstLine="480" w:firstLineChars="200"/>
              <w:rPr>
                <w:rFonts w:hint="eastAsia" w:ascii="Times New Roman" w:hAnsi="Times New Roman" w:eastAsia="宋体" w:cs="Times New Roman"/>
                <w:b w:val="0"/>
                <w:color w:val="000000" w:themeColor="text1"/>
                <w:sz w:val="24"/>
                <w:highlight w:val="none"/>
                <w14:textFill>
                  <w14:solidFill>
                    <w14:schemeClr w14:val="tx1"/>
                  </w14:solidFill>
                </w14:textFill>
              </w:rPr>
            </w:pPr>
            <w:r>
              <w:rPr>
                <w:rFonts w:hint="eastAsia" w:ascii="Times New Roman" w:hAnsi="Times New Roman" w:eastAsia="宋体" w:cs="Times New Roman"/>
                <w:b w:val="0"/>
                <w:color w:val="000000" w:themeColor="text1"/>
                <w:sz w:val="24"/>
                <w:highlight w:val="none"/>
                <w:lang w:val="en-US" w:eastAsia="zh-CN"/>
                <w14:textFill>
                  <w14:solidFill>
                    <w14:schemeClr w14:val="tx1"/>
                  </w14:solidFill>
                </w14:textFill>
              </w:rPr>
              <w:t>2</w:t>
            </w:r>
            <w:r>
              <w:rPr>
                <w:rFonts w:hint="eastAsia" w:ascii="Times New Roman" w:hAnsi="Times New Roman" w:eastAsia="宋体" w:cs="Times New Roman"/>
                <w:b w:val="0"/>
                <w:color w:val="000000" w:themeColor="text1"/>
                <w:sz w:val="24"/>
                <w:highlight w:val="none"/>
                <w:lang w:eastAsia="zh-CN"/>
                <w14:textFill>
                  <w14:solidFill>
                    <w14:schemeClr w14:val="tx1"/>
                  </w14:solidFill>
                </w14:textFill>
              </w:rPr>
              <w:t>）</w:t>
            </w:r>
            <w:r>
              <w:rPr>
                <w:rFonts w:hint="eastAsia" w:ascii="Times New Roman" w:hAnsi="Times New Roman" w:eastAsia="宋体" w:cs="Times New Roman"/>
                <w:b w:val="0"/>
                <w:color w:val="000000" w:themeColor="text1"/>
                <w:sz w:val="24"/>
                <w:highlight w:val="none"/>
                <w14:textFill>
                  <w14:solidFill>
                    <w14:schemeClr w14:val="tx1"/>
                  </w14:solidFill>
                </w14:textFill>
              </w:rPr>
              <w:t>防止事故气态污染物向环境转移</w:t>
            </w:r>
          </w:p>
          <w:p w14:paraId="6D7EFC4E">
            <w:pPr>
              <w:spacing w:line="360" w:lineRule="auto"/>
              <w:ind w:firstLine="480" w:firstLineChars="200"/>
              <w:rPr>
                <w:rFonts w:hint="eastAsia"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14:textFill>
                  <w14:solidFill>
                    <w14:schemeClr w14:val="tx1"/>
                  </w14:solidFill>
                </w14:textFill>
              </w:rPr>
              <w:t>控制和减少事故情况下毒物和污染物从大气途径进入环境，重点危险源废气系统设置收集装置并与火炬相接，事故时收集事故废气转入火炬系统焚烧。</w:t>
            </w:r>
          </w:p>
          <w:p w14:paraId="6D386B2D">
            <w:pPr>
              <w:spacing w:line="360" w:lineRule="auto"/>
              <w:ind w:firstLine="480" w:firstLineChars="200"/>
              <w:rPr>
                <w:rFonts w:hint="eastAsia" w:ascii="Times New Roman" w:hAnsi="Times New Roman" w:eastAsia="宋体" w:cs="Times New Roman"/>
                <w:color w:val="000000" w:themeColor="text1"/>
                <w:sz w:val="24"/>
                <w:highlight w:val="none"/>
                <w:lang w:eastAsia="zh-CN"/>
                <w14:textFill>
                  <w14:solidFill>
                    <w14:schemeClr w14:val="tx1"/>
                  </w14:solidFill>
                </w14:textFill>
              </w:rPr>
            </w:pPr>
            <w:r>
              <w:rPr>
                <w:rFonts w:hint="eastAsia" w:ascii="Times New Roman" w:hAnsi="Times New Roman" w:eastAsia="宋体" w:cs="Times New Roman"/>
                <w:color w:val="000000" w:themeColor="text1"/>
                <w:sz w:val="24"/>
                <w:highlight w:val="none"/>
                <w14:textFill>
                  <w14:solidFill>
                    <w14:schemeClr w14:val="tx1"/>
                  </w14:solidFill>
                </w14:textFill>
              </w:rPr>
              <w:t>燃烧、爆炸过程中产生一氧化碳、二氧化碳及水等通过消防水吸收或被消防泡沫覆盖，减少对大气环境的污染。</w:t>
            </w:r>
          </w:p>
          <w:p w14:paraId="594AC0A4">
            <w:pPr>
              <w:spacing w:line="360" w:lineRule="auto"/>
              <w:ind w:firstLine="480" w:firstLineChars="200"/>
              <w:rPr>
                <w:rFonts w:hint="eastAsia"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14:textFill>
                  <w14:solidFill>
                    <w14:schemeClr w14:val="tx1"/>
                  </w14:solidFill>
                </w14:textFill>
              </w:rPr>
              <w:t>对于泄漏的气态有毒物料，应尽快切断泄漏源，防止进入排水沟等</w:t>
            </w:r>
            <w:r>
              <w:rPr>
                <w:rFonts w:hint="eastAsia" w:cs="Times New Roman"/>
                <w:color w:val="000000" w:themeColor="text1"/>
                <w:sz w:val="24"/>
                <w:highlight w:val="none"/>
                <w:lang w:eastAsia="zh-CN"/>
                <w14:textFill>
                  <w14:solidFill>
                    <w14:schemeClr w14:val="tx1"/>
                  </w14:solidFill>
                </w14:textFill>
              </w:rPr>
              <w:t>限制性</w:t>
            </w:r>
            <w:r>
              <w:rPr>
                <w:rFonts w:hint="eastAsia" w:ascii="Times New Roman" w:hAnsi="Times New Roman" w:eastAsia="宋体" w:cs="Times New Roman"/>
                <w:color w:val="000000" w:themeColor="text1"/>
                <w:sz w:val="24"/>
                <w:highlight w:val="none"/>
                <w14:textFill>
                  <w14:solidFill>
                    <w14:schemeClr w14:val="tx1"/>
                  </w14:solidFill>
                </w14:textFill>
              </w:rPr>
              <w:t>空间；对于小量的泄漏可用砂土或</w:t>
            </w:r>
            <w:r>
              <w:rPr>
                <w:rFonts w:hint="eastAsia" w:cs="Times New Roman"/>
                <w:color w:val="000000" w:themeColor="text1"/>
                <w:sz w:val="24"/>
                <w:highlight w:val="none"/>
                <w:lang w:eastAsia="zh-CN"/>
                <w14:textFill>
                  <w14:solidFill>
                    <w14:schemeClr w14:val="tx1"/>
                  </w14:solidFill>
                </w14:textFill>
              </w:rPr>
              <w:t>其他不</w:t>
            </w:r>
            <w:r>
              <w:rPr>
                <w:rFonts w:hint="eastAsia" w:ascii="Times New Roman" w:hAnsi="Times New Roman" w:eastAsia="宋体" w:cs="Times New Roman"/>
                <w:color w:val="000000" w:themeColor="text1"/>
                <w:sz w:val="24"/>
                <w:highlight w:val="none"/>
                <w14:textFill>
                  <w14:solidFill>
                    <w14:schemeClr w14:val="tx1"/>
                  </w14:solidFill>
                </w14:textFill>
              </w:rPr>
              <w:t>燃材料吸附，也可用大量水冲洗，冲洗后的污染须经稀释后方可排放废水系统；对于泄漏量大的，应构筑围堤或挖坑收容，也可用泡沫覆盖，降低蒸气灾害，用防爆泵转移至槽车或专用收集器内，回收或运至废物处理场所处置。</w:t>
            </w:r>
          </w:p>
          <w:p w14:paraId="5919CA28">
            <w:pPr>
              <w:spacing w:line="360" w:lineRule="auto"/>
              <w:ind w:firstLine="480" w:firstLineChars="200"/>
              <w:rPr>
                <w:rFonts w:hint="eastAsia" w:ascii="Times New Roman" w:hAnsi="Times New Roman" w:eastAsia="宋体" w:cs="Times New Roman"/>
                <w:b w:val="0"/>
                <w:color w:val="000000" w:themeColor="text1"/>
                <w:sz w:val="24"/>
                <w:highlight w:val="none"/>
                <w14:textFill>
                  <w14:solidFill>
                    <w14:schemeClr w14:val="tx1"/>
                  </w14:solidFill>
                </w14:textFill>
              </w:rPr>
            </w:pPr>
            <w:r>
              <w:rPr>
                <w:rFonts w:hint="eastAsia" w:ascii="Times New Roman" w:hAnsi="Times New Roman" w:eastAsia="宋体" w:cs="Times New Roman"/>
                <w:b w:val="0"/>
                <w:color w:val="000000" w:themeColor="text1"/>
                <w:sz w:val="24"/>
                <w:highlight w:val="none"/>
                <w:lang w:val="en-US" w:eastAsia="zh-CN"/>
                <w14:textFill>
                  <w14:solidFill>
                    <w14:schemeClr w14:val="tx1"/>
                  </w14:solidFill>
                </w14:textFill>
              </w:rPr>
              <w:t>3</w:t>
            </w:r>
            <w:r>
              <w:rPr>
                <w:rFonts w:hint="eastAsia" w:ascii="Times New Roman" w:hAnsi="Times New Roman" w:eastAsia="宋体" w:cs="Times New Roman"/>
                <w:b w:val="0"/>
                <w:color w:val="000000" w:themeColor="text1"/>
                <w:sz w:val="24"/>
                <w:highlight w:val="none"/>
                <w:lang w:eastAsia="zh-CN"/>
                <w14:textFill>
                  <w14:solidFill>
                    <w14:schemeClr w14:val="tx1"/>
                  </w14:solidFill>
                </w14:textFill>
              </w:rPr>
              <w:t>）</w:t>
            </w:r>
            <w:r>
              <w:rPr>
                <w:rFonts w:hint="eastAsia" w:ascii="Times New Roman" w:hAnsi="Times New Roman" w:eastAsia="宋体" w:cs="Times New Roman"/>
                <w:b w:val="0"/>
                <w:color w:val="000000" w:themeColor="text1"/>
                <w:sz w:val="24"/>
                <w:highlight w:val="none"/>
                <w14:textFill>
                  <w14:solidFill>
                    <w14:schemeClr w14:val="tx1"/>
                  </w14:solidFill>
                </w14:textFill>
              </w:rPr>
              <w:t>人员疏散、安置建议措施</w:t>
            </w:r>
          </w:p>
          <w:p w14:paraId="60BBB4EA">
            <w:pPr>
              <w:spacing w:line="360" w:lineRule="auto"/>
              <w:ind w:firstLine="480" w:firstLineChars="200"/>
              <w:rPr>
                <w:rFonts w:hint="eastAsia"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14:textFill>
                  <w14:solidFill>
                    <w14:schemeClr w14:val="tx1"/>
                  </w14:solidFill>
                </w14:textFill>
              </w:rPr>
              <w:t>建议业主根据最大影响范围设定环境风险防范区，环境风险防范区内的人群应作为紧急撤离目标，并确保能够在60min内撤离至安全地点。</w:t>
            </w:r>
          </w:p>
          <w:p w14:paraId="4AF92F9F">
            <w:pPr>
              <w:spacing w:line="360" w:lineRule="auto"/>
              <w:ind w:firstLine="480" w:firstLineChars="200"/>
              <w:rPr>
                <w:rFonts w:hint="eastAsia"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14:textFill>
                  <w14:solidFill>
                    <w14:schemeClr w14:val="tx1"/>
                  </w14:solidFill>
                </w14:textFill>
              </w:rPr>
              <w:t>现场紧急撤离时，应按照事故现场风向、周边居民分布及公众对毒物应急剂量控制的规定，制定人员紧急撤离、疏散计划和医疗救护方案。同时厂内需要在高点设立明显的风向标，确定安全疏散路线。事故发生后，应根据化学品泄漏的扩散情况及时通知政府相关部门，并通过厂区高音喇叭通知周边人群及时疏散。紧急疏散时应注意：</w:t>
            </w:r>
          </w:p>
          <w:p w14:paraId="2F8386B1">
            <w:pPr>
              <w:spacing w:line="360" w:lineRule="auto"/>
              <w:ind w:firstLine="480" w:firstLineChars="200"/>
              <w:rPr>
                <w:rFonts w:hint="eastAsia"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①</w:t>
            </w:r>
            <w:r>
              <w:rPr>
                <w:rFonts w:hint="eastAsia" w:ascii="Times New Roman" w:hAnsi="Times New Roman" w:eastAsia="宋体" w:cs="Times New Roman"/>
                <w:color w:val="000000" w:themeColor="text1"/>
                <w:sz w:val="24"/>
                <w:highlight w:val="none"/>
                <w14:textFill>
                  <w14:solidFill>
                    <w14:schemeClr w14:val="tx1"/>
                  </w14:solidFill>
                </w14:textFill>
              </w:rPr>
              <w:t>必要时采取佩戴呼吸器具、佩戴个人防护用品或采用其他简易有效的防护措施（戴防护眼镜或用浸湿毛巾捂住口鼻、减少皮肤外露等各种措施进行自身防护）。</w:t>
            </w:r>
          </w:p>
          <w:p w14:paraId="119802A9">
            <w:pPr>
              <w:spacing w:line="360" w:lineRule="auto"/>
              <w:ind w:firstLine="480" w:firstLineChars="200"/>
              <w:rPr>
                <w:rFonts w:hint="eastAsia"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②</w:t>
            </w:r>
            <w:r>
              <w:rPr>
                <w:rFonts w:hint="eastAsia" w:ascii="Times New Roman" w:hAnsi="Times New Roman" w:eastAsia="宋体" w:cs="Times New Roman"/>
                <w:color w:val="000000" w:themeColor="text1"/>
                <w:sz w:val="24"/>
                <w:highlight w:val="none"/>
                <w14:textFill>
                  <w14:solidFill>
                    <w14:schemeClr w14:val="tx1"/>
                  </w14:solidFill>
                </w14:textFill>
              </w:rPr>
              <w:t>应向上风向、高地势转移，迅速撤出危险区域可能受到危害的人员（在上风向无撤离通道时，也应避免沿下风向撤离），并由专人引导和护送疏散人员到安全区域，在疏散或撤离的路线上设立哨位，指明疏散、撤离的方向。</w:t>
            </w:r>
          </w:p>
          <w:p w14:paraId="21A65C02">
            <w:pPr>
              <w:spacing w:line="360" w:lineRule="auto"/>
              <w:ind w:firstLine="480" w:firstLineChars="200"/>
              <w:rPr>
                <w:rFonts w:hint="eastAsia"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③</w:t>
            </w:r>
            <w:r>
              <w:rPr>
                <w:rFonts w:hint="eastAsia" w:ascii="Times New Roman" w:hAnsi="Times New Roman" w:eastAsia="宋体" w:cs="Times New Roman"/>
                <w:color w:val="000000" w:themeColor="text1"/>
                <w:sz w:val="24"/>
                <w:highlight w:val="none"/>
                <w14:textFill>
                  <w14:solidFill>
                    <w14:schemeClr w14:val="tx1"/>
                  </w14:solidFill>
                </w14:textFill>
              </w:rPr>
              <w:t>按照设定的危险区域，设立警戒线，并在通往事故现场的主要干道上实行交通管制。</w:t>
            </w:r>
          </w:p>
          <w:p w14:paraId="3B1ADF5F">
            <w:pPr>
              <w:spacing w:line="360" w:lineRule="auto"/>
              <w:ind w:firstLine="480" w:firstLineChars="200"/>
              <w:rPr>
                <w:rFonts w:hint="eastAsia"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④</w:t>
            </w:r>
            <w:r>
              <w:rPr>
                <w:rFonts w:hint="eastAsia" w:ascii="Times New Roman" w:hAnsi="Times New Roman" w:eastAsia="宋体" w:cs="Times New Roman"/>
                <w:color w:val="000000" w:themeColor="text1"/>
                <w:sz w:val="24"/>
                <w:highlight w:val="none"/>
                <w14:textFill>
                  <w14:solidFill>
                    <w14:schemeClr w14:val="tx1"/>
                  </w14:solidFill>
                </w14:textFill>
              </w:rPr>
              <w:t>在污染区域和可能污染区域立即进行布点监测，根据监测数据及时调整疏散范围。</w:t>
            </w:r>
          </w:p>
          <w:p w14:paraId="458DB99E">
            <w:pPr>
              <w:spacing w:line="360" w:lineRule="auto"/>
              <w:ind w:firstLine="480" w:firstLineChars="200"/>
              <w:rPr>
                <w:rFonts w:hint="eastAsia"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⑤</w:t>
            </w:r>
            <w:r>
              <w:rPr>
                <w:rFonts w:hint="eastAsia" w:ascii="Times New Roman" w:hAnsi="Times New Roman" w:eastAsia="宋体" w:cs="Times New Roman"/>
                <w:color w:val="000000" w:themeColor="text1"/>
                <w:sz w:val="24"/>
                <w:highlight w:val="none"/>
                <w14:textFill>
                  <w14:solidFill>
                    <w14:schemeClr w14:val="tx1"/>
                  </w14:solidFill>
                </w14:textFill>
              </w:rPr>
              <w:t>为受灾群众提供避难场所以及必要的基本生活保障，配合政府部门进行受灾群众的医疗救助、疾病控制、生活救助。</w:t>
            </w:r>
          </w:p>
          <w:p w14:paraId="6AE82D34">
            <w:pPr>
              <w:spacing w:line="360" w:lineRule="auto"/>
              <w:ind w:firstLine="480" w:firstLineChars="200"/>
              <w:rPr>
                <w:rFonts w:hint="default" w:ascii="Times New Roman" w:hAnsi="Times New Roman" w:eastAsia="宋体" w:cs="Times New Roman"/>
                <w:b/>
                <w:bCs w:val="0"/>
                <w:color w:val="000000" w:themeColor="text1"/>
                <w:sz w:val="24"/>
                <w:szCs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14:textFill>
                  <w14:solidFill>
                    <w14:schemeClr w14:val="tx1"/>
                  </w14:solidFill>
                </w14:textFill>
              </w:rPr>
              <w:t>目前园区尚未规划紧急避难场所，园区内绿地、空地可作为临时避难场所。</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采取上述措施后，本项目大气环境风险可控</w:t>
            </w:r>
            <w:r>
              <w:rPr>
                <w:rFonts w:hint="eastAsia" w:ascii="Times New Roman" w:hAnsi="Times New Roman" w:eastAsia="宋体" w:cs="Times New Roman"/>
                <w:color w:val="000000" w:themeColor="text1"/>
                <w:sz w:val="24"/>
                <w:highlight w:val="none"/>
                <w14:textFill>
                  <w14:solidFill>
                    <w14:schemeClr w14:val="tx1"/>
                  </w14:solidFill>
                </w14:textFill>
              </w:rPr>
              <w:t>。</w:t>
            </w:r>
          </w:p>
          <w:p w14:paraId="18C8E3A0">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t>6.地下水环境影响分析</w:t>
            </w:r>
          </w:p>
          <w:p w14:paraId="06BA7452">
            <w:pPr>
              <w:keepNext w:val="0"/>
              <w:keepLines w:val="0"/>
              <w:pageBreakBefore w:val="0"/>
              <w:widowControl w:val="0"/>
              <w:kinsoku/>
              <w:wordWrap/>
              <w:overflowPunct/>
              <w:topLinePunct w:val="0"/>
              <w:autoSpaceDE/>
              <w:autoSpaceDN/>
              <w:bidi w:val="0"/>
              <w:adjustRightInd/>
              <w:snapToGrid/>
              <w:spacing w:line="360" w:lineRule="auto"/>
              <w:ind w:firstLine="466" w:firstLineChars="200"/>
              <w:jc w:val="both"/>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cs="Times New Roman"/>
                <w:b/>
                <w:bCs/>
                <w:color w:val="000000" w:themeColor="text1"/>
                <w:spacing w:val="-4"/>
                <w:sz w:val="24"/>
                <w:szCs w:val="24"/>
                <w:highlight w:val="none"/>
                <w:lang w:val="en-US" w:eastAsia="zh-CN"/>
                <w14:textFill>
                  <w14:solidFill>
                    <w14:schemeClr w14:val="tx1"/>
                  </w14:solidFill>
                </w14:textFill>
              </w:rPr>
              <w:t>6</w:t>
            </w:r>
            <w:r>
              <w:rPr>
                <w:rFonts w:hint="default" w:ascii="Times New Roman" w:hAnsi="Times New Roman" w:cs="Times New Roman"/>
                <w:b/>
                <w:bCs/>
                <w:color w:val="000000" w:themeColor="text1"/>
                <w:spacing w:val="-4"/>
                <w:sz w:val="24"/>
                <w:szCs w:val="24"/>
                <w:highlight w:val="none"/>
                <w14:textFill>
                  <w14:solidFill>
                    <w14:schemeClr w14:val="tx1"/>
                  </w14:solidFill>
                </w14:textFill>
              </w:rPr>
              <w:t>.1地下水污染源及污染途径</w:t>
            </w:r>
          </w:p>
          <w:p w14:paraId="0002AD5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本项目物料干燥且均储存在筒仓内，场区地面做硬化，不存在地下水、土壤污染途径。且项目厂界外500m范围内无地下水集中式饮用水水源和热水、矿泉水、温泉等特殊地下水资源。项目防渗分区图见附图。</w:t>
            </w:r>
          </w:p>
          <w:p w14:paraId="213B4138">
            <w:pPr>
              <w:pStyle w:val="11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72" w:firstLineChars="200"/>
              <w:jc w:val="both"/>
              <w:textAlignment w:val="baseline"/>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pacing w:val="-2"/>
                <w:sz w:val="24"/>
                <w:szCs w:val="24"/>
                <w:highlight w:val="none"/>
                <w14:textFill>
                  <w14:solidFill>
                    <w14:schemeClr w14:val="tx1"/>
                  </w14:solidFill>
                </w14:textFill>
              </w:rPr>
              <w:t>根据项目排污特点，本项目污染地下水、土壤的途径主要有以</w:t>
            </w:r>
            <w:r>
              <w:rPr>
                <w:rFonts w:hint="default" w:ascii="Times New Roman" w:hAnsi="Times New Roman" w:cs="Times New Roman"/>
                <w:color w:val="000000" w:themeColor="text1"/>
                <w:spacing w:val="-3"/>
                <w:sz w:val="24"/>
                <w:szCs w:val="24"/>
                <w:highlight w:val="none"/>
                <w14:textFill>
                  <w14:solidFill>
                    <w14:schemeClr w14:val="tx1"/>
                  </w14:solidFill>
                </w14:textFill>
              </w:rPr>
              <w:t>下三种：</w:t>
            </w:r>
          </w:p>
          <w:p w14:paraId="7C1268E8">
            <w:pPr>
              <w:pStyle w:val="11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①大气污染物通过沉降或降水进入土壤，造成</w:t>
            </w:r>
            <w:r>
              <w:rPr>
                <w:rFonts w:hint="default" w:ascii="Times New Roman" w:hAnsi="Times New Roman" w:cs="Times New Roman"/>
                <w:color w:val="000000" w:themeColor="text1"/>
                <w:spacing w:val="-1"/>
                <w:sz w:val="24"/>
                <w:szCs w:val="24"/>
                <w:highlight w:val="none"/>
                <w14:textFill>
                  <w14:solidFill>
                    <w14:schemeClr w14:val="tx1"/>
                  </w14:solidFill>
                </w14:textFill>
              </w:rPr>
              <w:t>地下水、土壤污染。本</w:t>
            </w:r>
            <w:r>
              <w:rPr>
                <w:rFonts w:hint="default" w:ascii="Times New Roman" w:hAnsi="Times New Roman" w:cs="Times New Roman"/>
                <w:color w:val="000000" w:themeColor="text1"/>
                <w:sz w:val="24"/>
                <w:szCs w:val="24"/>
                <w:highlight w:val="none"/>
                <w14:textFill>
                  <w14:solidFill>
                    <w14:schemeClr w14:val="tx1"/>
                  </w14:solidFill>
                </w14:textFill>
              </w:rPr>
              <w:t>项目对废气污染物排放采取了相应的处理措施</w:t>
            </w:r>
            <w:r>
              <w:rPr>
                <w:rFonts w:hint="default" w:ascii="Times New Roman" w:hAnsi="Times New Roman" w:cs="Times New Roman"/>
                <w:color w:val="000000" w:themeColor="text1"/>
                <w:spacing w:val="-1"/>
                <w:sz w:val="24"/>
                <w:szCs w:val="24"/>
                <w:highlight w:val="none"/>
                <w14:textFill>
                  <w14:solidFill>
                    <w14:schemeClr w14:val="tx1"/>
                  </w14:solidFill>
                </w14:textFill>
              </w:rPr>
              <w:t>，达标排放。</w:t>
            </w:r>
          </w:p>
          <w:p w14:paraId="7216FEB6">
            <w:pPr>
              <w:pStyle w:val="11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②项目产生的废水处理设施等防渗措施不到位或</w:t>
            </w:r>
            <w:r>
              <w:rPr>
                <w:rFonts w:hint="default" w:ascii="Times New Roman" w:hAnsi="Times New Roman" w:cs="Times New Roman"/>
                <w:color w:val="000000" w:themeColor="text1"/>
                <w:spacing w:val="-1"/>
                <w:sz w:val="24"/>
                <w:szCs w:val="24"/>
                <w:highlight w:val="none"/>
                <w14:textFill>
                  <w14:solidFill>
                    <w14:schemeClr w14:val="tx1"/>
                  </w14:solidFill>
                </w14:textFill>
              </w:rPr>
              <w:t>发生事故性排放，废</w:t>
            </w:r>
            <w:r>
              <w:rPr>
                <w:rFonts w:hint="default" w:ascii="Times New Roman" w:hAnsi="Times New Roman" w:cs="Times New Roman"/>
                <w:color w:val="000000" w:themeColor="text1"/>
                <w:sz w:val="24"/>
                <w:szCs w:val="24"/>
                <w:highlight w:val="none"/>
                <w14:textFill>
                  <w14:solidFill>
                    <w14:schemeClr w14:val="tx1"/>
                  </w14:solidFill>
                </w14:textFill>
              </w:rPr>
              <w:t>水可能会下渗对地下水、土壤产生污染。本项目工作人员产生生活垃圾集中收集后委托当地环卫部门要求统一处理。</w:t>
            </w:r>
          </w:p>
          <w:p w14:paraId="769E9094">
            <w:pPr>
              <w:pStyle w:val="11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66" w:firstLineChars="200"/>
              <w:jc w:val="both"/>
              <w:textAlignment w:val="baseline"/>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b/>
                <w:bCs/>
                <w:color w:val="000000" w:themeColor="text1"/>
                <w:spacing w:val="-4"/>
                <w:sz w:val="24"/>
                <w:szCs w:val="24"/>
                <w:highlight w:val="none"/>
                <w:lang w:val="en-US" w:eastAsia="zh-CN"/>
                <w14:textFill>
                  <w14:solidFill>
                    <w14:schemeClr w14:val="tx1"/>
                  </w14:solidFill>
                </w14:textFill>
              </w:rPr>
              <w:t>6</w:t>
            </w:r>
            <w:r>
              <w:rPr>
                <w:rFonts w:hint="default" w:ascii="Times New Roman" w:hAnsi="Times New Roman" w:cs="Times New Roman"/>
                <w:b/>
                <w:bCs/>
                <w:color w:val="000000" w:themeColor="text1"/>
                <w:spacing w:val="-4"/>
                <w:sz w:val="24"/>
                <w:szCs w:val="24"/>
                <w:highlight w:val="none"/>
                <w14:textFill>
                  <w14:solidFill>
                    <w14:schemeClr w14:val="tx1"/>
                  </w14:solidFill>
                </w14:textFill>
              </w:rPr>
              <w:t>.2分区防控要求</w:t>
            </w:r>
          </w:p>
          <w:p w14:paraId="0615B1B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为了最大程度</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减少</w:t>
            </w:r>
            <w:r>
              <w:rPr>
                <w:rFonts w:hint="default" w:ascii="Times New Roman" w:hAnsi="Times New Roman" w:eastAsia="宋体" w:cs="Times New Roman"/>
                <w:color w:val="000000" w:themeColor="text1"/>
                <w:sz w:val="24"/>
                <w:szCs w:val="24"/>
                <w:highlight w:val="none"/>
                <w14:textFill>
                  <w14:solidFill>
                    <w14:schemeClr w14:val="tx1"/>
                  </w14:solidFill>
                </w14:textFill>
              </w:rPr>
              <w:t>项目对地下水及土壤环境产生影响，本项目采取源头控制、分区防渗措施，具体防治措施如下：</w:t>
            </w:r>
          </w:p>
          <w:p w14:paraId="6E4663C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①源头控制措施</w:t>
            </w:r>
          </w:p>
          <w:p w14:paraId="04AE786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本次环评要求从源头上采取措施防止和降低污染物的跑、冒、滴、漏，主要包括：加强</w:t>
            </w:r>
            <w:r>
              <w:rPr>
                <w:rFonts w:hint="eastAsia" w:cs="Times New Roman"/>
                <w:color w:val="000000" w:themeColor="text1"/>
                <w:sz w:val="24"/>
                <w:szCs w:val="24"/>
                <w:highlight w:val="none"/>
                <w:lang w:val="en-US" w:eastAsia="zh-CN"/>
                <w14:textFill>
                  <w14:solidFill>
                    <w14:schemeClr w14:val="tx1"/>
                  </w14:solidFill>
                </w14:textFill>
              </w:rPr>
              <w:t>脱硫设施</w:t>
            </w:r>
            <w:r>
              <w:rPr>
                <w:rFonts w:hint="default" w:ascii="Times New Roman" w:hAnsi="Times New Roman" w:eastAsia="宋体" w:cs="Times New Roman"/>
                <w:color w:val="000000" w:themeColor="text1"/>
                <w:sz w:val="24"/>
                <w:szCs w:val="24"/>
                <w:highlight w:val="none"/>
                <w14:textFill>
                  <w14:solidFill>
                    <w14:schemeClr w14:val="tx1"/>
                  </w14:solidFill>
                </w14:textFill>
              </w:rPr>
              <w:t>、生产装置日常操作管理，尽量减少物料</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泄漏</w:t>
            </w:r>
            <w:r>
              <w:rPr>
                <w:rFonts w:hint="default" w:ascii="Times New Roman" w:hAnsi="Times New Roman" w:eastAsia="宋体" w:cs="Times New Roman"/>
                <w:color w:val="000000" w:themeColor="text1"/>
                <w:sz w:val="24"/>
                <w:szCs w:val="24"/>
                <w:highlight w:val="none"/>
                <w14:textFill>
                  <w14:solidFill>
                    <w14:schemeClr w14:val="tx1"/>
                  </w14:solidFill>
                </w14:textFill>
              </w:rPr>
              <w:t>；废水收集系统采用防渗、防腐、防漏处理，并进行定期检查，确保消除跑、冒、滴、漏现象发生；加强危险废物收集过程的检查维护，避免发生跑、冒、滴、漏现象，严格按照《危险废物贮存污染控制标准》</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GB18597-2023</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做好日常维护工作。</w:t>
            </w:r>
          </w:p>
          <w:p w14:paraId="628E31E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②分区防渗措施</w:t>
            </w:r>
          </w:p>
          <w:p w14:paraId="063074F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本工程应根据污水产生排放特点划分污染防治区，主要针对厂区提出不同区域的地面防渗方案，本项目防渗分区方案见</w:t>
            </w:r>
            <w:r>
              <w:rPr>
                <w:rFonts w:hint="eastAsia" w:cs="Times New Roman"/>
                <w:color w:val="000000" w:themeColor="text1"/>
                <w:sz w:val="24"/>
                <w:szCs w:val="24"/>
                <w:highlight w:val="none"/>
                <w:lang w:val="en-US" w:eastAsia="zh-CN"/>
                <w14:textFill>
                  <w14:solidFill>
                    <w14:schemeClr w14:val="tx1"/>
                  </w14:solidFill>
                </w14:textFill>
              </w:rPr>
              <w:t>下</w:t>
            </w:r>
            <w:r>
              <w:rPr>
                <w:rFonts w:hint="default" w:ascii="Times New Roman" w:hAnsi="Times New Roman" w:eastAsia="宋体" w:cs="Times New Roman"/>
                <w:color w:val="000000" w:themeColor="text1"/>
                <w:sz w:val="24"/>
                <w:szCs w:val="24"/>
                <w:highlight w:val="none"/>
                <w14:textFill>
                  <w14:solidFill>
                    <w14:schemeClr w14:val="tx1"/>
                  </w14:solidFill>
                </w14:textFill>
              </w:rPr>
              <w:t>表。</w:t>
            </w:r>
          </w:p>
          <w:p w14:paraId="65983B31">
            <w:pPr>
              <w:ind w:firstLine="482" w:firstLineChars="200"/>
              <w:jc w:val="center"/>
              <w:rPr>
                <w:rFonts w:hint="default" w:ascii="Times New Roman" w:hAnsi="Times New Roman" w:eastAsia="宋体" w:cs="Times New Roman"/>
                <w:b/>
                <w:color w:val="000000" w:themeColor="text1"/>
                <w:sz w:val="24"/>
                <w:highlight w:val="none"/>
                <w14:textFill>
                  <w14:solidFill>
                    <w14:schemeClr w14:val="tx1"/>
                  </w14:solidFill>
                </w14:textFill>
              </w:rPr>
            </w:pPr>
          </w:p>
          <w:p w14:paraId="22FFEE01">
            <w:pPr>
              <w:ind w:firstLine="482" w:firstLineChars="200"/>
              <w:jc w:val="center"/>
              <w:rPr>
                <w:rFonts w:hint="default" w:ascii="Times New Roman" w:hAnsi="Times New Roman" w:eastAsia="宋体" w:cs="Times New Roman"/>
                <w:b/>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b/>
                <w:color w:val="000000" w:themeColor="text1"/>
                <w:sz w:val="24"/>
                <w:highlight w:val="none"/>
                <w14:textFill>
                  <w14:solidFill>
                    <w14:schemeClr w14:val="tx1"/>
                  </w14:solidFill>
                </w14:textFill>
              </w:rPr>
              <w:t>表4</w:t>
            </w:r>
            <w:r>
              <w:rPr>
                <w:rFonts w:hint="default" w:ascii="Times New Roman" w:hAnsi="Times New Roman" w:eastAsia="宋体" w:cs="Times New Roman"/>
                <w:b/>
                <w:color w:val="000000" w:themeColor="text1"/>
                <w:sz w:val="24"/>
                <w:highlight w:val="none"/>
                <w:lang w:val="en-US" w:eastAsia="zh-CN"/>
                <w14:textFill>
                  <w14:solidFill>
                    <w14:schemeClr w14:val="tx1"/>
                  </w14:solidFill>
                </w14:textFill>
              </w:rPr>
              <w:t>-2</w:t>
            </w:r>
            <w:r>
              <w:rPr>
                <w:rFonts w:hint="eastAsia" w:cs="Times New Roman"/>
                <w:b/>
                <w:color w:val="000000" w:themeColor="text1"/>
                <w:sz w:val="24"/>
                <w:highlight w:val="none"/>
                <w:lang w:val="en-US" w:eastAsia="zh-CN"/>
                <w14:textFill>
                  <w14:solidFill>
                    <w14:schemeClr w14:val="tx1"/>
                  </w14:solidFill>
                </w14:textFill>
              </w:rPr>
              <w:t>5</w:t>
            </w:r>
            <w:r>
              <w:rPr>
                <w:rFonts w:hint="default" w:ascii="Times New Roman" w:hAnsi="Times New Roman" w:eastAsia="宋体" w:cs="Times New Roman"/>
                <w:b/>
                <w:color w:val="000000" w:themeColor="text1"/>
                <w:sz w:val="24"/>
                <w:highlight w:val="none"/>
                <w14:textFill>
                  <w14:solidFill>
                    <w14:schemeClr w14:val="tx1"/>
                  </w14:solidFill>
                </w14:textFill>
              </w:rPr>
              <w:t>防渗分区表</w:t>
            </w:r>
          </w:p>
          <w:tbl>
            <w:tblPr>
              <w:tblStyle w:val="25"/>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38"/>
              <w:gridCol w:w="1214"/>
              <w:gridCol w:w="3492"/>
            </w:tblGrid>
            <w:tr w14:paraId="0E7F1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7" w:type="pct"/>
                  <w:noWrap w:val="0"/>
                  <w:vAlign w:val="center"/>
                </w:tcPr>
                <w:p w14:paraId="5D2F3FEA">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pacing w:val="8"/>
                      <w:sz w:val="21"/>
                      <w:szCs w:val="21"/>
                      <w:highlight w:val="none"/>
                      <w14:textFill>
                        <w14:solidFill>
                          <w14:schemeClr w14:val="tx1"/>
                        </w14:solidFill>
                      </w14:textFill>
                    </w:rPr>
                    <w:t>区域</w:t>
                  </w:r>
                  <w:r>
                    <w:rPr>
                      <w:rFonts w:hint="default" w:ascii="Times New Roman" w:hAnsi="Times New Roman" w:cs="Times New Roman"/>
                      <w:color w:val="000000" w:themeColor="text1"/>
                      <w:spacing w:val="8"/>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8"/>
                      <w:sz w:val="21"/>
                      <w:szCs w:val="21"/>
                      <w:highlight w:val="none"/>
                      <w14:textFill>
                        <w14:solidFill>
                          <w14:schemeClr w14:val="tx1"/>
                        </w14:solidFill>
                      </w14:textFill>
                    </w:rPr>
                    <w:t>设施</w:t>
                  </w:r>
                  <w:r>
                    <w:rPr>
                      <w:rFonts w:hint="default" w:ascii="Times New Roman" w:hAnsi="Times New Roman" w:cs="Times New Roman"/>
                      <w:color w:val="000000" w:themeColor="text1"/>
                      <w:spacing w:val="8"/>
                      <w:sz w:val="21"/>
                      <w:szCs w:val="21"/>
                      <w:highlight w:val="none"/>
                      <w:lang w:eastAsia="zh-CN"/>
                      <w14:textFill>
                        <w14:solidFill>
                          <w14:schemeClr w14:val="tx1"/>
                        </w14:solidFill>
                      </w14:textFill>
                    </w:rPr>
                    <w:t>）</w:t>
                  </w:r>
                </w:p>
              </w:tc>
              <w:tc>
                <w:tcPr>
                  <w:tcW w:w="764" w:type="pct"/>
                  <w:noWrap w:val="0"/>
                  <w:vAlign w:val="center"/>
                </w:tcPr>
                <w:p w14:paraId="3A2827A1">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pacing w:val="3"/>
                      <w:sz w:val="21"/>
                      <w:szCs w:val="21"/>
                      <w:highlight w:val="none"/>
                      <w14:textFill>
                        <w14:solidFill>
                          <w14:schemeClr w14:val="tx1"/>
                        </w14:solidFill>
                      </w14:textFill>
                    </w:rPr>
                    <w:t>防渗等级</w:t>
                  </w:r>
                </w:p>
              </w:tc>
              <w:tc>
                <w:tcPr>
                  <w:tcW w:w="2197" w:type="pct"/>
                  <w:noWrap w:val="0"/>
                  <w:vAlign w:val="center"/>
                </w:tcPr>
                <w:p w14:paraId="733047AF">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pacing w:val="1"/>
                      <w:sz w:val="21"/>
                      <w:szCs w:val="21"/>
                      <w:highlight w:val="none"/>
                      <w14:textFill>
                        <w14:solidFill>
                          <w14:schemeClr w14:val="tx1"/>
                        </w14:solidFill>
                      </w14:textFill>
                    </w:rPr>
                    <w:t>防渗技术要求</w:t>
                  </w:r>
                </w:p>
              </w:tc>
            </w:tr>
            <w:tr w14:paraId="2A593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7" w:type="pct"/>
                  <w:noWrap w:val="0"/>
                  <w:vAlign w:val="center"/>
                </w:tcPr>
                <w:p w14:paraId="55EA15BB">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1"/>
                      <w:sz w:val="21"/>
                      <w:szCs w:val="21"/>
                      <w:highlight w:val="none"/>
                      <w14:textFill>
                        <w14:solidFill>
                          <w14:schemeClr w14:val="tx1"/>
                        </w14:solidFill>
                      </w14:textFill>
                    </w:rPr>
                    <w:t>石灰石-石膏脱硫装置区、三联箱处理装置区等</w:t>
                  </w:r>
                </w:p>
              </w:tc>
              <w:tc>
                <w:tcPr>
                  <w:tcW w:w="764" w:type="pct"/>
                  <w:vMerge w:val="restart"/>
                  <w:noWrap w:val="0"/>
                  <w:vAlign w:val="center"/>
                </w:tcPr>
                <w:p w14:paraId="48A8F646">
                  <w:pPr>
                    <w:pStyle w:val="11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000000" w:themeColor="text1"/>
                      <w:spacing w:val="-12"/>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2"/>
                      <w:sz w:val="21"/>
                      <w:szCs w:val="21"/>
                      <w:highlight w:val="none"/>
                      <w14:textFill>
                        <w14:solidFill>
                          <w14:schemeClr w14:val="tx1"/>
                        </w14:solidFill>
                      </w14:textFill>
                    </w:rPr>
                    <w:t>重点</w:t>
                  </w:r>
                </w:p>
                <w:p w14:paraId="3E05AC92">
                  <w:pPr>
                    <w:pStyle w:val="11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000000" w:themeColor="text1"/>
                      <w:spacing w:val="-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pacing w:val="-12"/>
                      <w:sz w:val="21"/>
                      <w:szCs w:val="21"/>
                      <w:highlight w:val="none"/>
                      <w14:textFill>
                        <w14:solidFill>
                          <w14:schemeClr w14:val="tx1"/>
                        </w14:solidFill>
                      </w14:textFill>
                    </w:rPr>
                    <w:t>防渗区</w:t>
                  </w:r>
                </w:p>
              </w:tc>
              <w:tc>
                <w:tcPr>
                  <w:tcW w:w="2197" w:type="pct"/>
                  <w:vMerge w:val="restart"/>
                  <w:noWrap w:val="0"/>
                  <w:vAlign w:val="center"/>
                </w:tcPr>
                <w:p w14:paraId="46885167">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pacing w:val="1"/>
                      <w:sz w:val="21"/>
                      <w:szCs w:val="21"/>
                      <w:highlight w:val="none"/>
                      <w14:textFill>
                        <w14:solidFill>
                          <w14:schemeClr w14:val="tx1"/>
                        </w14:solidFill>
                      </w14:textFill>
                    </w:rPr>
                    <w:t>等效于M=6m厚粘土，渗透系数不大于10</w:t>
                  </w:r>
                  <w:r>
                    <w:rPr>
                      <w:rFonts w:hint="default" w:ascii="Times New Roman" w:hAnsi="Times New Roman" w:eastAsia="宋体" w:cs="Times New Roman"/>
                      <w:color w:val="000000" w:themeColor="text1"/>
                      <w:spacing w:val="1"/>
                      <w:sz w:val="21"/>
                      <w:szCs w:val="21"/>
                      <w:highlight w:val="none"/>
                      <w:vertAlign w:val="superscript"/>
                      <w14:textFill>
                        <w14:solidFill>
                          <w14:schemeClr w14:val="tx1"/>
                        </w14:solidFill>
                      </w14:textFill>
                    </w:rPr>
                    <w:t>-</w:t>
                  </w:r>
                  <w:r>
                    <w:rPr>
                      <w:rFonts w:hint="default" w:ascii="Times New Roman" w:hAnsi="Times New Roman" w:eastAsia="宋体" w:cs="Times New Roman"/>
                      <w:color w:val="000000" w:themeColor="text1"/>
                      <w:spacing w:val="1"/>
                      <w:sz w:val="21"/>
                      <w:szCs w:val="21"/>
                      <w:highlight w:val="none"/>
                      <w14:textFill>
                        <w14:solidFill>
                          <w14:schemeClr w14:val="tx1"/>
                        </w14:solidFill>
                      </w14:textFill>
                    </w:rPr>
                    <w:t>⁷cm/s</w:t>
                  </w:r>
                  <w:r>
                    <w:rPr>
                      <w:rFonts w:hint="default" w:ascii="Times New Roman" w:hAnsi="Times New Roman" w:eastAsia="宋体" w:cs="Times New Roman"/>
                      <w:color w:val="000000" w:themeColor="text1"/>
                      <w:spacing w:val="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1"/>
                      <w:sz w:val="21"/>
                      <w:szCs w:val="21"/>
                      <w:highlight w:val="none"/>
                      <w14:textFill>
                        <w14:solidFill>
                          <w14:schemeClr w14:val="tx1"/>
                        </w14:solidFill>
                      </w14:textFill>
                    </w:rPr>
                    <w:t>或等效于M=2mm厚高密度聚乙烯防渗层，渗透系数不大于10</w:t>
                  </w:r>
                  <w:r>
                    <w:rPr>
                      <w:rFonts w:hint="default" w:ascii="Times New Roman" w:hAnsi="Times New Roman" w:eastAsia="宋体" w:cs="Times New Roman"/>
                      <w:color w:val="000000" w:themeColor="text1"/>
                      <w:spacing w:val="1"/>
                      <w:sz w:val="21"/>
                      <w:szCs w:val="21"/>
                      <w:highlight w:val="none"/>
                      <w:vertAlign w:val="superscript"/>
                      <w14:textFill>
                        <w14:solidFill>
                          <w14:schemeClr w14:val="tx1"/>
                        </w14:solidFill>
                      </w14:textFill>
                    </w:rPr>
                    <w:t>-1</w:t>
                  </w:r>
                  <w:r>
                    <w:rPr>
                      <w:rFonts w:hint="default" w:ascii="Times New Roman" w:hAnsi="Times New Roman" w:eastAsia="宋体" w:cs="Times New Roman"/>
                      <w:color w:val="000000" w:themeColor="text1"/>
                      <w:spacing w:val="1"/>
                      <w:sz w:val="21"/>
                      <w:szCs w:val="21"/>
                      <w:highlight w:val="none"/>
                      <w:vertAlign w:val="superscript"/>
                      <w:lang w:val="en-US" w:eastAsia="zh-CN"/>
                      <w14:textFill>
                        <w14:solidFill>
                          <w14:schemeClr w14:val="tx1"/>
                        </w14:solidFill>
                      </w14:textFill>
                    </w:rPr>
                    <w:t>0</w:t>
                  </w:r>
                  <w:r>
                    <w:rPr>
                      <w:rFonts w:hint="default" w:ascii="Times New Roman" w:hAnsi="Times New Roman" w:eastAsia="宋体" w:cs="Times New Roman"/>
                      <w:color w:val="000000" w:themeColor="text1"/>
                      <w:spacing w:val="1"/>
                      <w:sz w:val="21"/>
                      <w:szCs w:val="21"/>
                      <w:highlight w:val="none"/>
                      <w14:textFill>
                        <w14:solidFill>
                          <w14:schemeClr w14:val="tx1"/>
                        </w14:solidFill>
                      </w14:textFill>
                    </w:rPr>
                    <w:t>cm/s</w:t>
                  </w:r>
                </w:p>
              </w:tc>
            </w:tr>
            <w:tr w14:paraId="5F0AF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7" w:type="pct"/>
                  <w:noWrap w:val="0"/>
                  <w:vAlign w:val="center"/>
                </w:tcPr>
                <w:p w14:paraId="24521624">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1"/>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
                      <w:sz w:val="21"/>
                      <w:szCs w:val="21"/>
                      <w:highlight w:val="none"/>
                      <w14:textFill>
                        <w14:solidFill>
                          <w14:schemeClr w14:val="tx1"/>
                        </w14:solidFill>
                      </w14:textFill>
                    </w:rPr>
                    <w:t>危废</w:t>
                  </w:r>
                  <w:r>
                    <w:rPr>
                      <w:rFonts w:hint="default" w:ascii="Times New Roman" w:hAnsi="Times New Roman" w:eastAsia="宋体" w:cs="Times New Roman"/>
                      <w:color w:val="000000" w:themeColor="text1"/>
                      <w:spacing w:val="1"/>
                      <w:sz w:val="21"/>
                      <w:szCs w:val="21"/>
                      <w:highlight w:val="none"/>
                      <w:lang w:val="en-US" w:eastAsia="zh-CN"/>
                      <w14:textFill>
                        <w14:solidFill>
                          <w14:schemeClr w14:val="tx1"/>
                        </w14:solidFill>
                      </w14:textFill>
                    </w:rPr>
                    <w:t>间</w:t>
                  </w:r>
                  <w:r>
                    <w:rPr>
                      <w:rFonts w:hint="default" w:ascii="Times New Roman" w:hAnsi="Times New Roman" w:eastAsia="宋体" w:cs="Times New Roman"/>
                      <w:color w:val="000000" w:themeColor="text1"/>
                      <w:spacing w:val="1"/>
                      <w:sz w:val="21"/>
                      <w:szCs w:val="21"/>
                      <w:highlight w:val="none"/>
                      <w14:textFill>
                        <w14:solidFill>
                          <w14:schemeClr w14:val="tx1"/>
                        </w14:solidFill>
                      </w14:textFill>
                    </w:rPr>
                    <w:t>、</w:t>
                  </w:r>
                  <w:r>
                    <w:rPr>
                      <w:rFonts w:hint="eastAsia" w:ascii="Times New Roman" w:hAnsi="Times New Roman" w:cs="Times New Roman"/>
                      <w:color w:val="000000" w:themeColor="text1"/>
                      <w:spacing w:val="1"/>
                      <w:sz w:val="21"/>
                      <w:szCs w:val="21"/>
                      <w:highlight w:val="none"/>
                      <w:lang w:val="en-US" w:eastAsia="zh-CN"/>
                      <w14:textFill>
                        <w14:solidFill>
                          <w14:schemeClr w14:val="tx1"/>
                        </w14:solidFill>
                      </w14:textFill>
                    </w:rPr>
                    <w:t>氨水罐区</w:t>
                  </w:r>
                </w:p>
              </w:tc>
              <w:tc>
                <w:tcPr>
                  <w:tcW w:w="764" w:type="pct"/>
                  <w:vMerge w:val="continue"/>
                  <w:noWrap w:val="0"/>
                  <w:vAlign w:val="center"/>
                </w:tcPr>
                <w:p w14:paraId="2DFBD78C">
                  <w:pPr>
                    <w:pStyle w:val="11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000000" w:themeColor="text1"/>
                      <w:spacing w:val="-12"/>
                      <w:sz w:val="21"/>
                      <w:szCs w:val="21"/>
                      <w:highlight w:val="none"/>
                      <w14:textFill>
                        <w14:solidFill>
                          <w14:schemeClr w14:val="tx1"/>
                        </w14:solidFill>
                      </w14:textFill>
                    </w:rPr>
                  </w:pPr>
                </w:p>
              </w:tc>
              <w:tc>
                <w:tcPr>
                  <w:tcW w:w="2197" w:type="pct"/>
                  <w:vMerge w:val="continue"/>
                  <w:noWrap w:val="0"/>
                  <w:vAlign w:val="center"/>
                </w:tcPr>
                <w:p w14:paraId="15AB7391">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1"/>
                      <w:sz w:val="21"/>
                      <w:szCs w:val="21"/>
                      <w:highlight w:val="none"/>
                      <w14:textFill>
                        <w14:solidFill>
                          <w14:schemeClr w14:val="tx1"/>
                        </w14:solidFill>
                      </w14:textFill>
                    </w:rPr>
                  </w:pPr>
                </w:p>
              </w:tc>
            </w:tr>
            <w:tr w14:paraId="45547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7" w:type="pct"/>
                  <w:noWrap w:val="0"/>
                  <w:vAlign w:val="center"/>
                </w:tcPr>
                <w:p w14:paraId="418D4AAD">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pacing w:val="1"/>
                      <w:sz w:val="21"/>
                      <w:szCs w:val="21"/>
                      <w:highlight w:val="none"/>
                      <w:lang w:val="en-US" w:eastAsia="zh-CN"/>
                      <w14:textFill>
                        <w14:solidFill>
                          <w14:schemeClr w14:val="tx1"/>
                        </w14:solidFill>
                      </w14:textFill>
                    </w:rPr>
                    <w:t>原料粉</w:t>
                  </w:r>
                  <w:r>
                    <w:rPr>
                      <w:rFonts w:hint="default" w:ascii="Times New Roman" w:hAnsi="Times New Roman" w:eastAsia="宋体" w:cs="Times New Roman"/>
                      <w:color w:val="000000" w:themeColor="text1"/>
                      <w:spacing w:val="1"/>
                      <w:sz w:val="21"/>
                      <w:szCs w:val="21"/>
                      <w:highlight w:val="none"/>
                      <w:lang w:val="en-US" w:eastAsia="zh-CN"/>
                      <w14:textFill>
                        <w14:solidFill>
                          <w14:schemeClr w14:val="tx1"/>
                        </w14:solidFill>
                      </w14:textFill>
                    </w:rPr>
                    <w:t>筒仓、机修车间</w:t>
                  </w:r>
                  <w:r>
                    <w:rPr>
                      <w:rFonts w:hint="default" w:ascii="Times New Roman" w:hAnsi="Times New Roman" w:eastAsia="宋体" w:cs="Times New Roman"/>
                      <w:color w:val="000000" w:themeColor="text1"/>
                      <w:spacing w:val="1"/>
                      <w:sz w:val="21"/>
                      <w:szCs w:val="21"/>
                      <w:highlight w:val="none"/>
                      <w14:textFill>
                        <w14:solidFill>
                          <w14:schemeClr w14:val="tx1"/>
                        </w14:solidFill>
                      </w14:textFill>
                    </w:rPr>
                    <w:t>、</w:t>
                  </w:r>
                  <w:r>
                    <w:rPr>
                      <w:rFonts w:hint="default" w:ascii="Times New Roman" w:hAnsi="Times New Roman" w:eastAsia="宋体" w:cs="Times New Roman"/>
                      <w:color w:val="000000" w:themeColor="text1"/>
                      <w:spacing w:val="1"/>
                      <w:sz w:val="21"/>
                      <w:szCs w:val="21"/>
                      <w:highlight w:val="none"/>
                      <w:lang w:val="en-US" w:eastAsia="zh-CN"/>
                      <w14:textFill>
                        <w14:solidFill>
                          <w14:schemeClr w14:val="tx1"/>
                        </w14:solidFill>
                      </w14:textFill>
                    </w:rPr>
                    <w:t>分选</w:t>
                  </w:r>
                  <w:r>
                    <w:rPr>
                      <w:rFonts w:hint="default" w:ascii="Times New Roman" w:hAnsi="Times New Roman" w:eastAsia="宋体" w:cs="Times New Roman"/>
                      <w:color w:val="000000" w:themeColor="text1"/>
                      <w:spacing w:val="1"/>
                      <w:sz w:val="21"/>
                      <w:szCs w:val="21"/>
                      <w:highlight w:val="none"/>
                      <w14:textFill>
                        <w14:solidFill>
                          <w14:schemeClr w14:val="tx1"/>
                        </w14:solidFill>
                      </w14:textFill>
                    </w:rPr>
                    <w:t>车间、</w:t>
                  </w:r>
                  <w:r>
                    <w:rPr>
                      <w:rFonts w:hint="default" w:ascii="Times New Roman" w:hAnsi="Times New Roman" w:eastAsia="宋体" w:cs="Times New Roman"/>
                      <w:color w:val="000000" w:themeColor="text1"/>
                      <w:spacing w:val="1"/>
                      <w:sz w:val="21"/>
                      <w:szCs w:val="21"/>
                      <w:highlight w:val="none"/>
                      <w:lang w:val="en-US" w:eastAsia="zh-CN"/>
                      <w14:textFill>
                        <w14:solidFill>
                          <w14:schemeClr w14:val="tx1"/>
                        </w14:solidFill>
                      </w14:textFill>
                    </w:rPr>
                    <w:t>悬浮炉和回转窑区</w:t>
                  </w:r>
                  <w:r>
                    <w:rPr>
                      <w:rFonts w:hint="default" w:ascii="Times New Roman" w:hAnsi="Times New Roman" w:eastAsia="宋体" w:cs="Times New Roman"/>
                      <w:color w:val="000000" w:themeColor="text1"/>
                      <w:spacing w:val="1"/>
                      <w:sz w:val="21"/>
                      <w:szCs w:val="21"/>
                      <w:highlight w:val="none"/>
                      <w14:textFill>
                        <w14:solidFill>
                          <w14:schemeClr w14:val="tx1"/>
                        </w14:solidFill>
                      </w14:textFill>
                    </w:rPr>
                    <w:t>、</w:t>
                  </w:r>
                  <w:r>
                    <w:rPr>
                      <w:rFonts w:hint="default" w:ascii="Times New Roman" w:hAnsi="Times New Roman" w:cs="Times New Roman"/>
                      <w:color w:val="000000" w:themeColor="text1"/>
                      <w:spacing w:val="1"/>
                      <w:sz w:val="21"/>
                      <w:szCs w:val="21"/>
                      <w:highlight w:val="none"/>
                      <w:lang w:val="en-US" w:eastAsia="zh-CN"/>
                      <w14:textFill>
                        <w14:solidFill>
                          <w14:schemeClr w14:val="tx1"/>
                        </w14:solidFill>
                      </w14:textFill>
                    </w:rPr>
                    <w:t>冷却系统区、</w:t>
                  </w:r>
                  <w:r>
                    <w:rPr>
                      <w:rFonts w:hint="default" w:ascii="Times New Roman" w:hAnsi="Times New Roman" w:eastAsia="宋体" w:cs="Times New Roman"/>
                      <w:color w:val="000000" w:themeColor="text1"/>
                      <w:spacing w:val="1"/>
                      <w:sz w:val="21"/>
                      <w:szCs w:val="21"/>
                      <w:highlight w:val="none"/>
                      <w:lang w:val="en-US" w:eastAsia="zh-CN"/>
                      <w14:textFill>
                        <w14:solidFill>
                          <w14:schemeClr w14:val="tx1"/>
                        </w14:solidFill>
                      </w14:textFill>
                    </w:rPr>
                    <w:t>成品</w:t>
                  </w:r>
                  <w:r>
                    <w:rPr>
                      <w:rFonts w:hint="default" w:ascii="Times New Roman" w:hAnsi="Times New Roman" w:eastAsia="宋体" w:cs="Times New Roman"/>
                      <w:color w:val="000000" w:themeColor="text1"/>
                      <w:spacing w:val="1"/>
                      <w:sz w:val="21"/>
                      <w:szCs w:val="21"/>
                      <w:highlight w:val="none"/>
                      <w14:textFill>
                        <w14:solidFill>
                          <w14:schemeClr w14:val="tx1"/>
                        </w14:solidFill>
                      </w14:textFill>
                    </w:rPr>
                    <w:t>堆棚、</w:t>
                  </w:r>
                  <w:r>
                    <w:rPr>
                      <w:rFonts w:hint="default" w:ascii="Times New Roman" w:hAnsi="Times New Roman" w:eastAsia="宋体" w:cs="Times New Roman"/>
                      <w:color w:val="000000" w:themeColor="text1"/>
                      <w:spacing w:val="1"/>
                      <w:sz w:val="21"/>
                      <w:szCs w:val="21"/>
                      <w:highlight w:val="none"/>
                      <w:lang w:val="en-US" w:eastAsia="zh-CN"/>
                      <w14:textFill>
                        <w14:solidFill>
                          <w14:schemeClr w14:val="tx1"/>
                        </w14:solidFill>
                      </w14:textFill>
                    </w:rPr>
                    <w:t>黄料筒仓</w:t>
                  </w:r>
                  <w:r>
                    <w:rPr>
                      <w:rFonts w:hint="default" w:ascii="Times New Roman" w:hAnsi="Times New Roman" w:eastAsia="宋体" w:cs="Times New Roman"/>
                      <w:color w:val="000000" w:themeColor="text1"/>
                      <w:spacing w:val="1"/>
                      <w:sz w:val="21"/>
                      <w:szCs w:val="21"/>
                      <w:highlight w:val="none"/>
                      <w14:textFill>
                        <w14:solidFill>
                          <w14:schemeClr w14:val="tx1"/>
                        </w14:solidFill>
                      </w14:textFill>
                    </w:rPr>
                    <w:t>等</w:t>
                  </w:r>
                </w:p>
              </w:tc>
              <w:tc>
                <w:tcPr>
                  <w:tcW w:w="764" w:type="pct"/>
                  <w:noWrap w:val="0"/>
                  <w:vAlign w:val="center"/>
                </w:tcPr>
                <w:p w14:paraId="29E3FF5E">
                  <w:pPr>
                    <w:pStyle w:val="11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000000" w:themeColor="text1"/>
                      <w:spacing w:val="-12"/>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2"/>
                      <w:sz w:val="21"/>
                      <w:szCs w:val="21"/>
                      <w:highlight w:val="none"/>
                      <w14:textFill>
                        <w14:solidFill>
                          <w14:schemeClr w14:val="tx1"/>
                        </w14:solidFill>
                      </w14:textFill>
                    </w:rPr>
                    <w:t>一般</w:t>
                  </w:r>
                </w:p>
                <w:p w14:paraId="63D6255E">
                  <w:pPr>
                    <w:pStyle w:val="11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000000" w:themeColor="text1"/>
                      <w:spacing w:val="-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pacing w:val="-12"/>
                      <w:sz w:val="21"/>
                      <w:szCs w:val="21"/>
                      <w:highlight w:val="none"/>
                      <w14:textFill>
                        <w14:solidFill>
                          <w14:schemeClr w14:val="tx1"/>
                        </w14:solidFill>
                      </w14:textFill>
                    </w:rPr>
                    <w:t>防渗区</w:t>
                  </w:r>
                </w:p>
              </w:tc>
              <w:tc>
                <w:tcPr>
                  <w:tcW w:w="2197" w:type="pct"/>
                  <w:noWrap w:val="0"/>
                  <w:vAlign w:val="center"/>
                </w:tcPr>
                <w:p w14:paraId="0648955F">
                  <w:pPr>
                    <w:pStyle w:val="116"/>
                    <w:keepNext w:val="0"/>
                    <w:keepLines w:val="0"/>
                    <w:pageBreakBefore w:val="0"/>
                    <w:widowControl w:val="0"/>
                    <w:kinsoku/>
                    <w:wordWrap/>
                    <w:overflowPunct/>
                    <w:topLinePunct w:val="0"/>
                    <w:autoSpaceDE/>
                    <w:autoSpaceDN/>
                    <w:bidi w:val="0"/>
                    <w:adjustRightInd/>
                    <w:snapToGrid/>
                    <w:spacing w:line="240" w:lineRule="auto"/>
                    <w:ind w:left="0" w:leftChars="0" w:right="11" w:rightChars="0" w:hanging="210" w:firstLineChars="0"/>
                    <w:jc w:val="center"/>
                    <w:textAlignment w:val="auto"/>
                    <w:rPr>
                      <w:rFonts w:hint="default" w:ascii="Times New Roman" w:hAnsi="Times New Roman" w:cs="Times New Roman"/>
                      <w:color w:val="000000" w:themeColor="text1"/>
                      <w:spacing w:val="-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pacing w:val="-1"/>
                      <w:sz w:val="21"/>
                      <w:szCs w:val="21"/>
                      <w:highlight w:val="none"/>
                      <w14:textFill>
                        <w14:solidFill>
                          <w14:schemeClr w14:val="tx1"/>
                        </w14:solidFill>
                      </w14:textFill>
                    </w:rPr>
                    <w:t>等效黏土防渗层Mb≥1.5m</w:t>
                  </w:r>
                  <w:r>
                    <w:rPr>
                      <w:rFonts w:hint="default" w:ascii="Times New Roman" w:hAnsi="Times New Roman" w:cs="Times New Roman"/>
                      <w:color w:val="000000" w:themeColor="text1"/>
                      <w:spacing w:val="-1"/>
                      <w:sz w:val="21"/>
                      <w:szCs w:val="21"/>
                      <w:highlight w:val="none"/>
                      <w:lang w:eastAsia="zh-CN"/>
                      <w14:textFill>
                        <w14:solidFill>
                          <w14:schemeClr w14:val="tx1"/>
                        </w14:solidFill>
                      </w14:textFill>
                    </w:rPr>
                    <w:t>，</w:t>
                  </w:r>
                </w:p>
                <w:p w14:paraId="62A5F06E">
                  <w:pPr>
                    <w:pStyle w:val="116"/>
                    <w:keepNext w:val="0"/>
                    <w:keepLines w:val="0"/>
                    <w:pageBreakBefore w:val="0"/>
                    <w:widowControl w:val="0"/>
                    <w:kinsoku/>
                    <w:wordWrap/>
                    <w:overflowPunct/>
                    <w:topLinePunct w:val="0"/>
                    <w:autoSpaceDE/>
                    <w:autoSpaceDN/>
                    <w:bidi w:val="0"/>
                    <w:adjustRightInd/>
                    <w:snapToGrid/>
                    <w:spacing w:line="240" w:lineRule="auto"/>
                    <w:ind w:left="0" w:leftChars="0" w:right="11" w:rightChars="0" w:hanging="210" w:firstLineChars="0"/>
                    <w:jc w:val="center"/>
                    <w:textAlignment w:val="auto"/>
                    <w:rPr>
                      <w:rFonts w:hint="default" w:ascii="Times New Roman" w:hAnsi="Times New Roman" w:eastAsia="宋体" w:cs="Times New Roman"/>
                      <w:color w:val="000000" w:themeColor="text1"/>
                      <w:spacing w:val="-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pacing w:val="-1"/>
                      <w:sz w:val="21"/>
                      <w:szCs w:val="21"/>
                      <w:highlight w:val="none"/>
                      <w14:textFill>
                        <w14:solidFill>
                          <w14:schemeClr w14:val="tx1"/>
                        </w14:solidFill>
                      </w14:textFill>
                    </w:rPr>
                    <w:t>渗</w:t>
                  </w:r>
                  <w:r>
                    <w:rPr>
                      <w:rFonts w:hint="default" w:ascii="Times New Roman" w:hAnsi="Times New Roman" w:eastAsia="宋体" w:cs="Times New Roman"/>
                      <w:color w:val="000000" w:themeColor="text1"/>
                      <w:sz w:val="21"/>
                      <w:szCs w:val="21"/>
                      <w:highlight w:val="none"/>
                      <w14:textFill>
                        <w14:solidFill>
                          <w14:schemeClr w14:val="tx1"/>
                        </w14:solidFill>
                      </w14:textFill>
                    </w:rPr>
                    <w:t>透系数≤1.0×10</w:t>
                  </w:r>
                  <w:r>
                    <w:rPr>
                      <w:rFonts w:hint="default" w:ascii="Times New Roman" w:hAnsi="Times New Roman" w:cs="Times New Roman"/>
                      <w:color w:val="000000" w:themeColor="text1"/>
                      <w:sz w:val="21"/>
                      <w:szCs w:val="21"/>
                      <w:highlight w:val="none"/>
                      <w:vertAlign w:val="superscript"/>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vertAlign w:val="superscript"/>
                      <w14:textFill>
                        <w14:solidFill>
                          <w14:schemeClr w14:val="tx1"/>
                        </w14:solidFill>
                      </w14:textFill>
                    </w:rPr>
                    <w:t>7</w:t>
                  </w:r>
                  <w:r>
                    <w:rPr>
                      <w:rFonts w:hint="default" w:ascii="Times New Roman" w:hAnsi="Times New Roman" w:eastAsia="宋体" w:cs="Times New Roman"/>
                      <w:color w:val="000000" w:themeColor="text1"/>
                      <w:sz w:val="21"/>
                      <w:szCs w:val="21"/>
                      <w:highlight w:val="none"/>
                      <w14:textFill>
                        <w14:solidFill>
                          <w14:schemeClr w14:val="tx1"/>
                        </w14:solidFill>
                      </w14:textFill>
                    </w:rPr>
                    <w:t>cm/s</w:t>
                  </w:r>
                </w:p>
              </w:tc>
            </w:tr>
            <w:tr w14:paraId="4CADF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7" w:type="pct"/>
                  <w:noWrap w:val="0"/>
                  <w:vAlign w:val="center"/>
                </w:tcPr>
                <w:p w14:paraId="2F1EAB2E">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办公生活区、</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换热站、</w:t>
                  </w:r>
                  <w:r>
                    <w:rPr>
                      <w:rFonts w:hint="default" w:ascii="Times New Roman" w:hAnsi="Times New Roman" w:eastAsia="宋体" w:cs="Times New Roman"/>
                      <w:color w:val="000000" w:themeColor="text1"/>
                      <w:sz w:val="21"/>
                      <w:szCs w:val="21"/>
                      <w:highlight w:val="none"/>
                      <w14:textFill>
                        <w14:solidFill>
                          <w14:schemeClr w14:val="tx1"/>
                        </w14:solidFill>
                      </w14:textFill>
                    </w:rPr>
                    <w:t>空压站、门卫</w:t>
                  </w:r>
                </w:p>
              </w:tc>
              <w:tc>
                <w:tcPr>
                  <w:tcW w:w="764" w:type="pct"/>
                  <w:noWrap w:val="0"/>
                  <w:vAlign w:val="center"/>
                </w:tcPr>
                <w:p w14:paraId="1A64739F">
                  <w:pPr>
                    <w:pStyle w:val="11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000000" w:themeColor="text1"/>
                      <w:spacing w:val="-12"/>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2"/>
                      <w:sz w:val="21"/>
                      <w:szCs w:val="21"/>
                      <w:highlight w:val="none"/>
                      <w14:textFill>
                        <w14:solidFill>
                          <w14:schemeClr w14:val="tx1"/>
                        </w14:solidFill>
                      </w14:textFill>
                    </w:rPr>
                    <w:t>简单</w:t>
                  </w:r>
                </w:p>
                <w:p w14:paraId="1873D9E3">
                  <w:pPr>
                    <w:pStyle w:val="11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000000" w:themeColor="text1"/>
                      <w:spacing w:val="-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pacing w:val="-12"/>
                      <w:sz w:val="21"/>
                      <w:szCs w:val="21"/>
                      <w:highlight w:val="none"/>
                      <w14:textFill>
                        <w14:solidFill>
                          <w14:schemeClr w14:val="tx1"/>
                        </w14:solidFill>
                      </w14:textFill>
                    </w:rPr>
                    <w:t>防渗区</w:t>
                  </w:r>
                </w:p>
              </w:tc>
              <w:tc>
                <w:tcPr>
                  <w:tcW w:w="2197" w:type="pct"/>
                  <w:noWrap w:val="0"/>
                  <w:vAlign w:val="center"/>
                </w:tcPr>
                <w:p w14:paraId="40AF916E">
                  <w:pPr>
                    <w:pStyle w:val="1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themeColor="text1"/>
                      <w:spacing w:val="-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pacing w:val="1"/>
                      <w:sz w:val="21"/>
                      <w:szCs w:val="21"/>
                      <w:highlight w:val="none"/>
                      <w14:textFill>
                        <w14:solidFill>
                          <w14:schemeClr w14:val="tx1"/>
                        </w14:solidFill>
                      </w14:textFill>
                    </w:rPr>
                    <w:t>一般地面硬化</w:t>
                  </w:r>
                </w:p>
              </w:tc>
            </w:tr>
          </w:tbl>
          <w:p w14:paraId="277701C5">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cs="Times New Roman"/>
                <w:b/>
                <w:bCs/>
                <w:color w:val="000000" w:themeColor="text1"/>
                <w:sz w:val="24"/>
                <w:highlight w:val="none"/>
                <w:lang w:val="en-US" w:eastAsia="zh-CN"/>
                <w14:textFill>
                  <w14:solidFill>
                    <w14:schemeClr w14:val="tx1"/>
                  </w14:solidFill>
                </w14:textFill>
              </w:rPr>
            </w:pPr>
            <w:r>
              <w:rPr>
                <w:rFonts w:hint="default" w:ascii="Times New Roman" w:hAnsi="Times New Roman" w:cs="Times New Roman"/>
                <w:b/>
                <w:bCs/>
                <w:color w:val="000000" w:themeColor="text1"/>
                <w:sz w:val="24"/>
                <w:highlight w:val="none"/>
                <w:lang w:val="en-US" w:eastAsia="zh-CN"/>
                <w14:textFill>
                  <w14:solidFill>
                    <w14:schemeClr w14:val="tx1"/>
                  </w14:solidFill>
                </w14:textFill>
              </w:rPr>
              <w:t>7.土壤环境影响分析</w:t>
            </w:r>
          </w:p>
          <w:p w14:paraId="0A5AAFE9">
            <w:pPr>
              <w:spacing w:line="360" w:lineRule="auto"/>
              <w:ind w:firstLine="480" w:firstLineChars="200"/>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（1）土壤环境影响类型与影响途径识别</w:t>
            </w:r>
          </w:p>
          <w:p w14:paraId="7F2C31AD">
            <w:pPr>
              <w:spacing w:line="360" w:lineRule="auto"/>
              <w:ind w:firstLine="480" w:firstLineChars="200"/>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根据工程分析可知，本工程施工期主要工程内容为基础施工、设备安装等，因此对土壤的污染影响很小。运营期发生泄漏情况时污染物将垂直入渗进入土壤，对厂区内土壤环境产生直接影响。</w:t>
            </w:r>
          </w:p>
          <w:p w14:paraId="4BF12061">
            <w:pPr>
              <w:spacing w:line="360" w:lineRule="auto"/>
              <w:ind w:firstLine="480" w:firstLineChars="200"/>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（2）影响源及影响因子</w:t>
            </w:r>
          </w:p>
          <w:p w14:paraId="2740F4CB">
            <w:pPr>
              <w:pStyle w:val="121"/>
              <w:ind w:firstLine="480"/>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项目土壤污染途径为垂直入渗，特征因子为</w:t>
            </w:r>
            <w:r>
              <w:rPr>
                <w:rFonts w:hint="eastAsia" w:cs="Times New Roman"/>
                <w:color w:val="000000" w:themeColor="text1"/>
                <w:sz w:val="24"/>
                <w:szCs w:val="24"/>
                <w:highlight w:val="none"/>
                <w:lang w:val="en-US" w:eastAsia="zh-CN"/>
                <w14:textFill>
                  <w14:solidFill>
                    <w14:schemeClr w14:val="tx1"/>
                  </w14:solidFill>
                </w14:textFill>
              </w:rPr>
              <w:t>主要为石油类、</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氨水</w:t>
            </w:r>
            <w:r>
              <w:rPr>
                <w:rFonts w:hint="default" w:ascii="Times New Roman" w:hAnsi="Times New Roman" w:cs="Times New Roman"/>
                <w:color w:val="000000" w:themeColor="text1"/>
                <w:sz w:val="24"/>
                <w:szCs w:val="24"/>
                <w:highlight w:val="none"/>
                <w14:textFill>
                  <w14:solidFill>
                    <w14:schemeClr w14:val="tx1"/>
                  </w14:solidFill>
                </w14:textFill>
              </w:rPr>
              <w:t>，发生情形在</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氨水储罐</w:t>
            </w:r>
            <w:r>
              <w:rPr>
                <w:rFonts w:hint="default" w:ascii="Times New Roman" w:hAnsi="Times New Roman" w:cs="Times New Roman"/>
                <w:color w:val="000000" w:themeColor="text1"/>
                <w:sz w:val="24"/>
                <w:szCs w:val="24"/>
                <w:highlight w:val="none"/>
                <w14:textFill>
                  <w14:solidFill>
                    <w14:schemeClr w14:val="tx1"/>
                  </w14:solidFill>
                </w14:textFill>
              </w:rPr>
              <w:t>区防渗层出现破裂、破损的情况下</w:t>
            </w:r>
            <w:r>
              <w:rPr>
                <w:rFonts w:hint="eastAsia" w:cs="Times New Roman"/>
                <w:color w:val="000000" w:themeColor="text1"/>
                <w:sz w:val="24"/>
                <w:szCs w:val="24"/>
                <w:highlight w:val="none"/>
                <w:lang w:eastAsia="zh-CN"/>
                <w14:textFill>
                  <w14:solidFill>
                    <w14:schemeClr w14:val="tx1"/>
                  </w14:solidFill>
                </w14:textFill>
              </w:rPr>
              <w:t>，</w:t>
            </w:r>
            <w:r>
              <w:rPr>
                <w:rFonts w:hint="eastAsia" w:cs="Times New Roman"/>
                <w:color w:val="000000" w:themeColor="text1"/>
                <w:sz w:val="24"/>
                <w:szCs w:val="24"/>
                <w:highlight w:val="none"/>
                <w:lang w:val="en-US" w:eastAsia="zh-CN"/>
                <w14:textFill>
                  <w14:solidFill>
                    <w14:schemeClr w14:val="tx1"/>
                  </w14:solidFill>
                </w14:textFill>
              </w:rPr>
              <w:t>氨水垂直入渗；发生情形在危废暂存间地面破损且防渗层不具备防渗情况下，石油类垂直入渗</w:t>
            </w:r>
            <w:r>
              <w:rPr>
                <w:rFonts w:hint="default" w:ascii="Times New Roman" w:hAnsi="Times New Roman" w:cs="Times New Roman"/>
                <w:color w:val="000000" w:themeColor="text1"/>
                <w:sz w:val="24"/>
                <w:szCs w:val="24"/>
                <w:highlight w:val="none"/>
                <w14:textFill>
                  <w14:solidFill>
                    <w14:schemeClr w14:val="tx1"/>
                  </w14:solidFill>
                </w14:textFill>
              </w:rPr>
              <w:t>。</w:t>
            </w:r>
          </w:p>
          <w:p w14:paraId="71E5F0C6">
            <w:pPr>
              <w:pStyle w:val="121"/>
              <w:ind w:firstLine="480"/>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（3）土壤环境影响</w:t>
            </w:r>
          </w:p>
          <w:p w14:paraId="0FB29A5F">
            <w:pPr>
              <w:pStyle w:val="121"/>
              <w:ind w:firstLine="480"/>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氨水储罐区氨水</w:t>
            </w:r>
            <w:r>
              <w:rPr>
                <w:rFonts w:hint="default" w:ascii="Times New Roman" w:hAnsi="Times New Roman" w:cs="Times New Roman"/>
                <w:color w:val="000000" w:themeColor="text1"/>
                <w:sz w:val="24"/>
                <w:szCs w:val="24"/>
                <w:highlight w:val="none"/>
                <w14:textFill>
                  <w14:solidFill>
                    <w14:schemeClr w14:val="tx1"/>
                  </w14:solidFill>
                </w14:textFill>
              </w:rPr>
              <w:t>的泄漏或渗漏</w:t>
            </w:r>
            <w:r>
              <w:rPr>
                <w:rFonts w:hint="eastAsia" w:cs="Times New Roman"/>
                <w:color w:val="000000" w:themeColor="text1"/>
                <w:sz w:val="24"/>
                <w:szCs w:val="24"/>
                <w:highlight w:val="none"/>
                <w:lang w:eastAsia="zh-CN"/>
                <w14:textFill>
                  <w14:solidFill>
                    <w14:schemeClr w14:val="tx1"/>
                  </w14:solidFill>
                </w14:textFill>
              </w:rPr>
              <w:t>，</w:t>
            </w:r>
            <w:r>
              <w:rPr>
                <w:rFonts w:hint="eastAsia" w:cs="Times New Roman"/>
                <w:color w:val="000000" w:themeColor="text1"/>
                <w:sz w:val="24"/>
                <w:szCs w:val="24"/>
                <w:highlight w:val="none"/>
                <w:lang w:val="en-US" w:eastAsia="zh-CN"/>
                <w14:textFill>
                  <w14:solidFill>
                    <w14:schemeClr w14:val="tx1"/>
                  </w14:solidFill>
                </w14:textFill>
              </w:rPr>
              <w:t>危废暂存间地面破损后石油类容器破损导致石油类垂直入渗</w:t>
            </w:r>
            <w:r>
              <w:rPr>
                <w:rFonts w:hint="default" w:ascii="Times New Roman" w:hAnsi="Times New Roman" w:cs="Times New Roman"/>
                <w:color w:val="000000" w:themeColor="text1"/>
                <w:sz w:val="24"/>
                <w:szCs w:val="24"/>
                <w:highlight w:val="none"/>
                <w14:textFill>
                  <w14:solidFill>
                    <w14:schemeClr w14:val="tx1"/>
                  </w14:solidFill>
                </w14:textFill>
              </w:rPr>
              <w:t>穿过较厚的土壤层，使土壤层大量吸附，不仅会造成植物生物的死亡，而且还会随着地表水的下渗对土壤层的冲刷作用补充到地下水。</w:t>
            </w:r>
          </w:p>
          <w:p w14:paraId="6DAC3256">
            <w:pPr>
              <w:pStyle w:val="121"/>
              <w:ind w:firstLine="480"/>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（4）保护措施</w:t>
            </w:r>
          </w:p>
          <w:p w14:paraId="06B9DA7D">
            <w:pPr>
              <w:pStyle w:val="121"/>
              <w:ind w:firstLine="480"/>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highlight w:val="none"/>
                <w:lang w:val="en-US" w:eastAsia="zh-CN"/>
                <w14:textFill>
                  <w14:solidFill>
                    <w14:schemeClr w14:val="tx1"/>
                  </w14:solidFill>
                </w14:textFill>
              </w:rPr>
              <w:t>本次项目主要建设区域为氨水储槽区</w:t>
            </w:r>
            <w:r>
              <w:rPr>
                <w:rFonts w:hint="eastAsia" w:cs="Times New Roman"/>
                <w:color w:val="000000" w:themeColor="text1"/>
                <w:sz w:val="24"/>
                <w:highlight w:val="none"/>
                <w:lang w:val="en-US" w:eastAsia="zh-CN"/>
                <w14:textFill>
                  <w14:solidFill>
                    <w14:schemeClr w14:val="tx1"/>
                  </w14:solidFill>
                </w14:textFill>
              </w:rPr>
              <w:t>和危废暂存间</w:t>
            </w:r>
            <w:r>
              <w:rPr>
                <w:rFonts w:hint="default" w:ascii="Times New Roman" w:hAnsi="Times New Roman" w:cs="Times New Roman"/>
                <w:color w:val="000000" w:themeColor="text1"/>
                <w:sz w:val="24"/>
                <w:highlight w:val="none"/>
                <w:lang w:val="en-US" w:eastAsia="zh-CN"/>
                <w14:textFill>
                  <w14:solidFill>
                    <w14:schemeClr w14:val="tx1"/>
                  </w14:solidFill>
                </w14:textFill>
              </w:rPr>
              <w:t>，氨水储槽区</w:t>
            </w:r>
            <w:r>
              <w:rPr>
                <w:rFonts w:hint="eastAsia" w:cs="Times New Roman"/>
                <w:color w:val="000000" w:themeColor="text1"/>
                <w:sz w:val="24"/>
                <w:highlight w:val="none"/>
                <w:lang w:val="en-US" w:eastAsia="zh-CN"/>
                <w14:textFill>
                  <w14:solidFill>
                    <w14:schemeClr w14:val="tx1"/>
                  </w14:solidFill>
                </w14:textFill>
              </w:rPr>
              <w:t>和危废暂存间</w:t>
            </w:r>
            <w:r>
              <w:rPr>
                <w:rFonts w:hint="default" w:ascii="Times New Roman" w:hAnsi="Times New Roman" w:cs="Times New Roman"/>
                <w:color w:val="000000" w:themeColor="text1"/>
                <w:sz w:val="24"/>
                <w:highlight w:val="none"/>
                <w:lang w:val="en-US" w:eastAsia="zh-CN"/>
                <w14:textFill>
                  <w14:solidFill>
                    <w14:schemeClr w14:val="tx1"/>
                  </w14:solidFill>
                </w14:textFill>
              </w:rPr>
              <w:t>地面均为硬化钢筋混凝土防渗措施</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表面防渗材料应与所接触的物料或污染物相容，可采用抗渗混凝土、高密度聚乙烯膜、钠基膨润土防水毯或其他防渗性能等效的材料。贮存的危险废物直接接触地面的，还应进行基础防渗，防渗层为至少</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1m</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厚黏土层（渗透系数不大于</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10</w:t>
            </w:r>
            <w:r>
              <w:rPr>
                <w:rFonts w:hint="eastAsia" w:cs="Times New Roman"/>
                <w:color w:val="000000" w:themeColor="text1"/>
                <w:kern w:val="0"/>
                <w:sz w:val="24"/>
                <w:szCs w:val="24"/>
                <w:highlight w:val="none"/>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vertAlign w:val="superscript"/>
                <w:lang w:val="en-US" w:eastAsia="zh-CN" w:bidi="ar"/>
                <w14:textFill>
                  <w14:solidFill>
                    <w14:schemeClr w14:val="tx1"/>
                  </w14:solidFill>
                </w14:textFill>
              </w:rPr>
              <w:t>7</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cm/s</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），或至少</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2mm</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厚高密度聚乙烯膜等人工防渗材料（渗透系数不大于</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10</w:t>
            </w:r>
            <w:r>
              <w:rPr>
                <w:rFonts w:hint="eastAsia" w:cs="Times New Roman"/>
                <w:color w:val="000000" w:themeColor="text1"/>
                <w:kern w:val="0"/>
                <w:sz w:val="24"/>
                <w:szCs w:val="24"/>
                <w:highlight w:val="none"/>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vertAlign w:val="superscript"/>
                <w:lang w:val="en-US" w:eastAsia="zh-CN" w:bidi="ar"/>
                <w14:textFill>
                  <w14:solidFill>
                    <w14:schemeClr w14:val="tx1"/>
                  </w14:solidFill>
                </w14:textFill>
              </w:rPr>
              <w:t>10</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cm/s</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），或其他防渗性能等效的材料</w:t>
            </w:r>
            <w:r>
              <w:rPr>
                <w:rFonts w:hint="default" w:ascii="Times New Roman" w:hAnsi="Times New Roman" w:cs="Times New Roman"/>
                <w:color w:val="000000" w:themeColor="text1"/>
                <w:kern w:val="44"/>
                <w:sz w:val="24"/>
                <w:highlight w:val="none"/>
                <w14:textFill>
                  <w14:solidFill>
                    <w14:schemeClr w14:val="tx1"/>
                  </w14:solidFill>
                </w14:textFill>
              </w:rPr>
              <w:t>。</w:t>
            </w:r>
            <w:r>
              <w:rPr>
                <w:rFonts w:hint="default" w:ascii="Times New Roman" w:hAnsi="Times New Roman" w:cs="Times New Roman"/>
                <w:color w:val="000000" w:themeColor="text1"/>
                <w:sz w:val="24"/>
                <w:szCs w:val="24"/>
                <w:highlight w:val="none"/>
                <w14:textFill>
                  <w14:solidFill>
                    <w14:schemeClr w14:val="tx1"/>
                  </w14:solidFill>
                </w14:textFill>
              </w:rPr>
              <w:t>在加强管理的情况下，可以将土壤累积影响控制在现有厂区同等水平，对土壤的影响程度较轻、影响范围较小。</w:t>
            </w:r>
          </w:p>
          <w:p w14:paraId="6FCC755C">
            <w:pPr>
              <w:pStyle w:val="121"/>
              <w:ind w:firstLine="480"/>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综上所述，本项目实施后对周边土壤的影响是可接受的。</w:t>
            </w:r>
          </w:p>
          <w:p w14:paraId="0D2CA1CD">
            <w:pPr>
              <w:adjustRightInd w:val="0"/>
              <w:snapToGrid w:val="0"/>
              <w:spacing w:line="360" w:lineRule="auto"/>
              <w:ind w:firstLine="482" w:firstLineChars="200"/>
              <w:rPr>
                <w:b/>
                <w:color w:val="000000" w:themeColor="text1"/>
                <w:sz w:val="24"/>
                <w:highlight w:val="none"/>
                <w14:textFill>
                  <w14:solidFill>
                    <w14:schemeClr w14:val="tx1"/>
                  </w14:solidFill>
                </w14:textFill>
              </w:rPr>
            </w:pPr>
            <w:r>
              <w:rPr>
                <w:rFonts w:hint="eastAsia"/>
                <w:b/>
                <w:color w:val="000000" w:themeColor="text1"/>
                <w:sz w:val="24"/>
                <w:highlight w:val="none"/>
                <w:lang w:val="en-US" w:eastAsia="zh-CN"/>
                <w14:textFill>
                  <w14:solidFill>
                    <w14:schemeClr w14:val="tx1"/>
                  </w14:solidFill>
                </w14:textFill>
              </w:rPr>
              <w:t>8.</w:t>
            </w:r>
            <w:r>
              <w:rPr>
                <w:rFonts w:hint="eastAsia"/>
                <w:b/>
                <w:color w:val="000000" w:themeColor="text1"/>
                <w:sz w:val="24"/>
                <w:highlight w:val="none"/>
                <w14:textFill>
                  <w14:solidFill>
                    <w14:schemeClr w14:val="tx1"/>
                  </w14:solidFill>
                </w14:textFill>
              </w:rPr>
              <w:t>监测计划</w:t>
            </w:r>
          </w:p>
          <w:p w14:paraId="1A7DD5E5">
            <w:pPr>
              <w:spacing w:line="360" w:lineRule="auto"/>
              <w:ind w:firstLine="480" w:firstLineChars="200"/>
              <w:rPr>
                <w:color w:val="000000" w:themeColor="text1"/>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本工程监测计划。</w:t>
            </w:r>
          </w:p>
          <w:p w14:paraId="452F8AAF">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宋体" w:cs="Times New Roman"/>
                <w:b/>
                <w:bCs/>
                <w:color w:val="000000" w:themeColor="text1"/>
                <w:kern w:val="0"/>
                <w:sz w:val="24"/>
                <w:szCs w:val="24"/>
                <w:highlight w:val="none"/>
                <w:lang w:eastAsia="zh-CN"/>
                <w14:textFill>
                  <w14:solidFill>
                    <w14:schemeClr w14:val="tx1"/>
                  </w14:solidFill>
                </w14:textFill>
              </w:rPr>
            </w:pPr>
            <w:r>
              <w:rPr>
                <w:rFonts w:ascii="Times New Roman" w:hAnsi="Times New Roman" w:eastAsia="宋体" w:cs="Times New Roman"/>
                <w:b/>
                <w:bCs/>
                <w:color w:val="000000" w:themeColor="text1"/>
                <w:kern w:val="0"/>
                <w:sz w:val="24"/>
                <w:szCs w:val="24"/>
                <w:highlight w:val="none"/>
                <w:lang w:eastAsia="zh-CN"/>
                <w14:textFill>
                  <w14:solidFill>
                    <w14:schemeClr w14:val="tx1"/>
                  </w14:solidFill>
                </w14:textFill>
              </w:rPr>
              <w:t>表</w:t>
            </w:r>
            <w:r>
              <w:rPr>
                <w:rFonts w:hint="eastAsia" w:ascii="Times New Roman" w:hAnsi="Times New Roman" w:eastAsia="宋体" w:cs="Times New Roman"/>
                <w:b/>
                <w:bCs/>
                <w:color w:val="000000" w:themeColor="text1"/>
                <w:kern w:val="0"/>
                <w:sz w:val="24"/>
                <w:szCs w:val="24"/>
                <w:highlight w:val="none"/>
                <w:lang w:val="en-US" w:eastAsia="zh-CN"/>
                <w14:textFill>
                  <w14:solidFill>
                    <w14:schemeClr w14:val="tx1"/>
                  </w14:solidFill>
                </w14:textFill>
              </w:rPr>
              <w:t>4-2</w:t>
            </w:r>
            <w:r>
              <w:rPr>
                <w:rFonts w:hint="eastAsia" w:cs="Times New Roman"/>
                <w:b/>
                <w:bCs/>
                <w:color w:val="000000" w:themeColor="text1"/>
                <w:kern w:val="0"/>
                <w:sz w:val="24"/>
                <w:szCs w:val="24"/>
                <w:highlight w:val="none"/>
                <w:lang w:val="en-US" w:eastAsia="zh-CN"/>
                <w14:textFill>
                  <w14:solidFill>
                    <w14:schemeClr w14:val="tx1"/>
                  </w14:solidFill>
                </w14:textFill>
              </w:rPr>
              <w:t>6</w:t>
            </w:r>
            <w:r>
              <w:rPr>
                <w:rFonts w:hint="eastAsia" w:ascii="Times New Roman" w:hAnsi="Times New Roman" w:eastAsia="宋体" w:cs="Times New Roman"/>
                <w:b/>
                <w:bCs/>
                <w:color w:val="000000" w:themeColor="text1"/>
                <w:kern w:val="0"/>
                <w:sz w:val="24"/>
                <w:szCs w:val="24"/>
                <w:highlight w:val="none"/>
                <w:lang w:val="en-US" w:eastAsia="zh-CN"/>
                <w14:textFill>
                  <w14:solidFill>
                    <w14:schemeClr w14:val="tx1"/>
                  </w14:solidFill>
                </w14:textFill>
              </w:rPr>
              <w:t>项目</w:t>
            </w:r>
            <w:r>
              <w:rPr>
                <w:rFonts w:ascii="Times New Roman" w:hAnsi="Times New Roman" w:eastAsia="宋体" w:cs="Times New Roman"/>
                <w:b/>
                <w:bCs/>
                <w:color w:val="000000" w:themeColor="text1"/>
                <w:kern w:val="0"/>
                <w:sz w:val="24"/>
                <w:szCs w:val="24"/>
                <w:highlight w:val="none"/>
                <w:lang w:eastAsia="zh-CN"/>
                <w14:textFill>
                  <w14:solidFill>
                    <w14:schemeClr w14:val="tx1"/>
                  </w14:solidFill>
                </w14:textFill>
              </w:rPr>
              <w:t>监测计划表</w:t>
            </w:r>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7"/>
              <w:gridCol w:w="792"/>
              <w:gridCol w:w="1282"/>
              <w:gridCol w:w="1989"/>
              <w:gridCol w:w="771"/>
              <w:gridCol w:w="1954"/>
              <w:gridCol w:w="651"/>
            </w:tblGrid>
            <w:tr w14:paraId="13E2E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319" w:type="pct"/>
                  <w:noWrap w:val="0"/>
                  <w:vAlign w:val="center"/>
                </w:tcPr>
                <w:p w14:paraId="6316E389">
                  <w:pPr>
                    <w:spacing w:line="240" w:lineRule="exact"/>
                    <w:ind w:firstLine="0" w:firstLineChars="0"/>
                    <w:jc w:val="center"/>
                    <w:rPr>
                      <w:rFonts w:ascii="Times New Roman"/>
                      <w:color w:val="000000" w:themeColor="text1"/>
                      <w:sz w:val="21"/>
                      <w:szCs w:val="21"/>
                      <w:highlight w:val="none"/>
                      <w14:textFill>
                        <w14:solidFill>
                          <w14:schemeClr w14:val="tx1"/>
                        </w14:solidFill>
                      </w14:textFill>
                    </w:rPr>
                  </w:pPr>
                  <w:r>
                    <w:rPr>
                      <w:rFonts w:ascii="Times New Roman"/>
                      <w:color w:val="000000" w:themeColor="text1"/>
                      <w:sz w:val="21"/>
                      <w:szCs w:val="21"/>
                      <w:highlight w:val="none"/>
                      <w14:textFill>
                        <w14:solidFill>
                          <w14:schemeClr w14:val="tx1"/>
                        </w14:solidFill>
                      </w14:textFill>
                    </w:rPr>
                    <w:t>项目</w:t>
                  </w:r>
                </w:p>
              </w:tc>
              <w:tc>
                <w:tcPr>
                  <w:tcW w:w="498" w:type="pct"/>
                  <w:noWrap w:val="0"/>
                  <w:vAlign w:val="center"/>
                </w:tcPr>
                <w:p w14:paraId="540C38BF">
                  <w:pPr>
                    <w:spacing w:line="240" w:lineRule="exact"/>
                    <w:ind w:firstLine="0" w:firstLineChars="0"/>
                    <w:jc w:val="center"/>
                    <w:rPr>
                      <w:rFonts w:ascii="Times New Roman"/>
                      <w:color w:val="000000" w:themeColor="text1"/>
                      <w:sz w:val="21"/>
                      <w:szCs w:val="21"/>
                      <w:highlight w:val="none"/>
                      <w14:textFill>
                        <w14:solidFill>
                          <w14:schemeClr w14:val="tx1"/>
                        </w14:solidFill>
                      </w14:textFill>
                    </w:rPr>
                  </w:pPr>
                  <w:r>
                    <w:rPr>
                      <w:rFonts w:ascii="Times New Roman"/>
                      <w:color w:val="000000" w:themeColor="text1"/>
                      <w:sz w:val="21"/>
                      <w:szCs w:val="21"/>
                      <w:highlight w:val="none"/>
                      <w14:textFill>
                        <w14:solidFill>
                          <w14:schemeClr w14:val="tx1"/>
                        </w14:solidFill>
                      </w14:textFill>
                    </w:rPr>
                    <w:t>监测要素</w:t>
                  </w:r>
                </w:p>
              </w:tc>
              <w:tc>
                <w:tcPr>
                  <w:tcW w:w="806" w:type="pct"/>
                  <w:noWrap w:val="0"/>
                  <w:vAlign w:val="center"/>
                </w:tcPr>
                <w:p w14:paraId="6F3C7539">
                  <w:pPr>
                    <w:spacing w:line="240" w:lineRule="exact"/>
                    <w:ind w:firstLine="0" w:firstLineChars="0"/>
                    <w:jc w:val="center"/>
                    <w:rPr>
                      <w:rFonts w:ascii="Times New Roman"/>
                      <w:color w:val="000000" w:themeColor="text1"/>
                      <w:sz w:val="21"/>
                      <w:szCs w:val="21"/>
                      <w:highlight w:val="none"/>
                      <w14:textFill>
                        <w14:solidFill>
                          <w14:schemeClr w14:val="tx1"/>
                        </w14:solidFill>
                      </w14:textFill>
                    </w:rPr>
                  </w:pPr>
                  <w:r>
                    <w:rPr>
                      <w:rFonts w:ascii="Times New Roman"/>
                      <w:color w:val="000000" w:themeColor="text1"/>
                      <w:sz w:val="21"/>
                      <w:szCs w:val="21"/>
                      <w:highlight w:val="none"/>
                      <w14:textFill>
                        <w14:solidFill>
                          <w14:schemeClr w14:val="tx1"/>
                        </w14:solidFill>
                      </w14:textFill>
                    </w:rPr>
                    <w:t>监测点位</w:t>
                  </w:r>
                </w:p>
              </w:tc>
              <w:tc>
                <w:tcPr>
                  <w:tcW w:w="1251" w:type="pct"/>
                  <w:noWrap w:val="0"/>
                  <w:vAlign w:val="center"/>
                </w:tcPr>
                <w:p w14:paraId="24070611">
                  <w:pPr>
                    <w:spacing w:line="240" w:lineRule="exact"/>
                    <w:ind w:firstLine="0" w:firstLineChars="0"/>
                    <w:jc w:val="center"/>
                    <w:rPr>
                      <w:rFonts w:ascii="Times New Roman"/>
                      <w:color w:val="000000" w:themeColor="text1"/>
                      <w:sz w:val="21"/>
                      <w:szCs w:val="21"/>
                      <w:highlight w:val="none"/>
                      <w14:textFill>
                        <w14:solidFill>
                          <w14:schemeClr w14:val="tx1"/>
                        </w14:solidFill>
                      </w14:textFill>
                    </w:rPr>
                  </w:pPr>
                  <w:r>
                    <w:rPr>
                      <w:rFonts w:ascii="Times New Roman"/>
                      <w:color w:val="000000" w:themeColor="text1"/>
                      <w:sz w:val="21"/>
                      <w:szCs w:val="21"/>
                      <w:highlight w:val="none"/>
                      <w14:textFill>
                        <w14:solidFill>
                          <w14:schemeClr w14:val="tx1"/>
                        </w14:solidFill>
                      </w14:textFill>
                    </w:rPr>
                    <w:t>监测指标</w:t>
                  </w:r>
                </w:p>
              </w:tc>
              <w:tc>
                <w:tcPr>
                  <w:tcW w:w="485" w:type="pct"/>
                  <w:noWrap w:val="0"/>
                  <w:vAlign w:val="center"/>
                </w:tcPr>
                <w:p w14:paraId="7278E328">
                  <w:pPr>
                    <w:spacing w:line="240" w:lineRule="exact"/>
                    <w:ind w:firstLine="0" w:firstLineChars="0"/>
                    <w:jc w:val="center"/>
                    <w:rPr>
                      <w:rFonts w:ascii="Times New Roman"/>
                      <w:color w:val="000000" w:themeColor="text1"/>
                      <w:sz w:val="21"/>
                      <w:szCs w:val="21"/>
                      <w:highlight w:val="none"/>
                      <w14:textFill>
                        <w14:solidFill>
                          <w14:schemeClr w14:val="tx1"/>
                        </w14:solidFill>
                      </w14:textFill>
                    </w:rPr>
                  </w:pPr>
                  <w:r>
                    <w:rPr>
                      <w:rFonts w:ascii="Times New Roman"/>
                      <w:color w:val="000000" w:themeColor="text1"/>
                      <w:sz w:val="21"/>
                      <w:szCs w:val="21"/>
                      <w:highlight w:val="none"/>
                      <w14:textFill>
                        <w14:solidFill>
                          <w14:schemeClr w14:val="tx1"/>
                        </w14:solidFill>
                      </w14:textFill>
                    </w:rPr>
                    <w:t>监测频次</w:t>
                  </w:r>
                </w:p>
              </w:tc>
              <w:tc>
                <w:tcPr>
                  <w:tcW w:w="1229" w:type="pct"/>
                  <w:noWrap w:val="0"/>
                  <w:vAlign w:val="center"/>
                </w:tcPr>
                <w:p w14:paraId="7B2B6B22">
                  <w:pPr>
                    <w:spacing w:line="240" w:lineRule="exact"/>
                    <w:ind w:firstLine="0" w:firstLineChars="0"/>
                    <w:jc w:val="center"/>
                    <w:rPr>
                      <w:rFonts w:ascii="Times New Roman"/>
                      <w:color w:val="000000" w:themeColor="text1"/>
                      <w:sz w:val="21"/>
                      <w:szCs w:val="21"/>
                      <w:highlight w:val="none"/>
                      <w14:textFill>
                        <w14:solidFill>
                          <w14:schemeClr w14:val="tx1"/>
                        </w14:solidFill>
                      </w14:textFill>
                    </w:rPr>
                  </w:pPr>
                  <w:r>
                    <w:rPr>
                      <w:rFonts w:ascii="Times New Roman"/>
                      <w:color w:val="000000" w:themeColor="text1"/>
                      <w:sz w:val="21"/>
                      <w:szCs w:val="21"/>
                      <w:highlight w:val="none"/>
                      <w14:textFill>
                        <w14:solidFill>
                          <w14:schemeClr w14:val="tx1"/>
                        </w14:solidFill>
                      </w14:textFill>
                    </w:rPr>
                    <w:t>执行标准</w:t>
                  </w:r>
                </w:p>
              </w:tc>
              <w:tc>
                <w:tcPr>
                  <w:tcW w:w="409" w:type="pct"/>
                  <w:noWrap w:val="0"/>
                  <w:vAlign w:val="center"/>
                </w:tcPr>
                <w:p w14:paraId="7255FFB2">
                  <w:pPr>
                    <w:spacing w:line="240" w:lineRule="exact"/>
                    <w:ind w:firstLine="0" w:firstLineChars="0"/>
                    <w:jc w:val="center"/>
                    <w:rPr>
                      <w:rFonts w:ascii="Times New Roman"/>
                      <w:color w:val="000000" w:themeColor="text1"/>
                      <w:sz w:val="21"/>
                      <w:szCs w:val="21"/>
                      <w:highlight w:val="none"/>
                      <w14:textFill>
                        <w14:solidFill>
                          <w14:schemeClr w14:val="tx1"/>
                        </w14:solidFill>
                      </w14:textFill>
                    </w:rPr>
                  </w:pPr>
                  <w:r>
                    <w:rPr>
                      <w:rFonts w:ascii="Times New Roman"/>
                      <w:color w:val="000000" w:themeColor="text1"/>
                      <w:sz w:val="21"/>
                      <w:szCs w:val="21"/>
                      <w:highlight w:val="none"/>
                      <w14:textFill>
                        <w14:solidFill>
                          <w14:schemeClr w14:val="tx1"/>
                        </w14:solidFill>
                      </w14:textFill>
                    </w:rPr>
                    <w:t>备注</w:t>
                  </w:r>
                </w:p>
              </w:tc>
            </w:tr>
            <w:tr w14:paraId="2AC52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319" w:type="pct"/>
                  <w:vMerge w:val="restart"/>
                  <w:noWrap w:val="0"/>
                  <w:vAlign w:val="center"/>
                </w:tcPr>
                <w:p w14:paraId="2883E223">
                  <w:pPr>
                    <w:spacing w:line="240" w:lineRule="exact"/>
                    <w:ind w:firstLine="0" w:firstLineChars="0"/>
                    <w:jc w:val="center"/>
                    <w:rPr>
                      <w:rFonts w:ascii="Times New Roman"/>
                      <w:color w:val="000000" w:themeColor="text1"/>
                      <w:sz w:val="21"/>
                      <w:szCs w:val="21"/>
                      <w:highlight w:val="none"/>
                      <w14:textFill>
                        <w14:solidFill>
                          <w14:schemeClr w14:val="tx1"/>
                        </w14:solidFill>
                      </w14:textFill>
                    </w:rPr>
                  </w:pPr>
                  <w:r>
                    <w:rPr>
                      <w:rFonts w:ascii="Times New Roman"/>
                      <w:color w:val="000000" w:themeColor="text1"/>
                      <w:sz w:val="21"/>
                      <w:szCs w:val="21"/>
                      <w:highlight w:val="none"/>
                      <w14:textFill>
                        <w14:solidFill>
                          <w14:schemeClr w14:val="tx1"/>
                        </w14:solidFill>
                      </w14:textFill>
                    </w:rPr>
                    <w:t>污染源监测计划</w:t>
                  </w:r>
                </w:p>
              </w:tc>
              <w:tc>
                <w:tcPr>
                  <w:tcW w:w="498" w:type="pct"/>
                  <w:vMerge w:val="restart"/>
                  <w:noWrap w:val="0"/>
                  <w:vAlign w:val="center"/>
                </w:tcPr>
                <w:p w14:paraId="48E7F62D">
                  <w:pPr>
                    <w:spacing w:line="240" w:lineRule="exact"/>
                    <w:ind w:firstLine="0" w:firstLineChars="0"/>
                    <w:jc w:val="center"/>
                    <w:rPr>
                      <w:rFonts w:hint="default" w:ascii="Times New Roman"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有组织废气监测</w:t>
                  </w:r>
                </w:p>
              </w:tc>
              <w:tc>
                <w:tcPr>
                  <w:tcW w:w="806" w:type="pct"/>
                  <w:vMerge w:val="restart"/>
                  <w:noWrap w:val="0"/>
                  <w:vAlign w:val="center"/>
                </w:tcPr>
                <w:p w14:paraId="4848A035">
                  <w:pPr>
                    <w:spacing w:line="240" w:lineRule="exact"/>
                    <w:ind w:firstLine="0" w:firstLineChars="0"/>
                    <w:jc w:val="center"/>
                    <w:rPr>
                      <w:rFonts w:ascii="Times New Roman"/>
                      <w:color w:val="000000" w:themeColor="text1"/>
                      <w:sz w:val="21"/>
                      <w:szCs w:val="21"/>
                      <w:highlight w:val="none"/>
                      <w:lang w:val="zh-CN"/>
                      <w14:textFill>
                        <w14:solidFill>
                          <w14:schemeClr w14:val="tx1"/>
                        </w14:solidFill>
                      </w14:textFill>
                    </w:rPr>
                  </w:pPr>
                  <w:r>
                    <w:rPr>
                      <w:rFonts w:hint="default" w:ascii="Times New Roman" w:hAnsi="Times New Roman" w:eastAsia="宋体" w:cs="Times New Roman"/>
                      <w:color w:val="000000" w:themeColor="text1"/>
                      <w:kern w:val="0"/>
                      <w:sz w:val="20"/>
                      <w:szCs w:val="20"/>
                      <w:highlight w:val="none"/>
                      <w:lang w:val="en-US" w:eastAsia="zh-CN" w:bidi="ar"/>
                      <w14:textFill>
                        <w14:solidFill>
                          <w14:schemeClr w14:val="tx1"/>
                        </w14:solidFill>
                      </w14:textFill>
                    </w:rPr>
                    <w:t>DA006</w:t>
                  </w:r>
                </w:p>
              </w:tc>
              <w:tc>
                <w:tcPr>
                  <w:tcW w:w="1251" w:type="pct"/>
                  <w:noWrap w:val="0"/>
                  <w:vAlign w:val="center"/>
                </w:tcPr>
                <w:p w14:paraId="2DAB7F25">
                  <w:pPr>
                    <w:spacing w:line="240" w:lineRule="exact"/>
                    <w:ind w:firstLine="0" w:firstLineChars="0"/>
                    <w:jc w:val="center"/>
                    <w:rPr>
                      <w:rFonts w:hint="eastAsia" w:ascii="Times New Roman"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氮氧化物</w:t>
                  </w:r>
                </w:p>
              </w:tc>
              <w:tc>
                <w:tcPr>
                  <w:tcW w:w="485" w:type="pct"/>
                  <w:vMerge w:val="restart"/>
                  <w:noWrap w:val="0"/>
                  <w:vAlign w:val="center"/>
                </w:tcPr>
                <w:p w14:paraId="7866AE29">
                  <w:pPr>
                    <w:spacing w:line="240" w:lineRule="exact"/>
                    <w:ind w:firstLine="0" w:firstLineChars="0"/>
                    <w:jc w:val="center"/>
                    <w:rPr>
                      <w:rFonts w:hint="eastAsia" w:ascii="Times New Roman" w:eastAsia="宋体"/>
                      <w:color w:val="000000" w:themeColor="text1"/>
                      <w:sz w:val="21"/>
                      <w:szCs w:val="21"/>
                      <w:highlight w:val="none"/>
                      <w:lang w:val="en-US" w:eastAsia="zh-CN"/>
                      <w14:textFill>
                        <w14:solidFill>
                          <w14:schemeClr w14:val="tx1"/>
                        </w14:solidFill>
                      </w14:textFill>
                    </w:rPr>
                  </w:pPr>
                  <w:r>
                    <w:rPr>
                      <w:rFonts w:ascii="Times New Roman"/>
                      <w:color w:val="000000" w:themeColor="text1"/>
                      <w:sz w:val="21"/>
                      <w:szCs w:val="21"/>
                      <w:highlight w:val="none"/>
                      <w14:textFill>
                        <w14:solidFill>
                          <w14:schemeClr w14:val="tx1"/>
                        </w14:solidFill>
                      </w14:textFill>
                    </w:rPr>
                    <w:t>季</w:t>
                  </w:r>
                </w:p>
              </w:tc>
              <w:tc>
                <w:tcPr>
                  <w:tcW w:w="1229" w:type="pct"/>
                  <w:vMerge w:val="restart"/>
                  <w:noWrap w:val="0"/>
                  <w:vAlign w:val="center"/>
                </w:tcPr>
                <w:p w14:paraId="455D285B">
                  <w:pPr>
                    <w:adjustRightInd w:val="0"/>
                    <w:spacing w:line="240" w:lineRule="auto"/>
                    <w:ind w:firstLine="0" w:firstLineChars="0"/>
                    <w:jc w:val="center"/>
                    <w:textAlignment w:val="baseline"/>
                    <w:rPr>
                      <w:rFonts w:ascii="Times New Roman"/>
                      <w:color w:val="000000" w:themeColor="text1"/>
                      <w:sz w:val="21"/>
                      <w:szCs w:val="18"/>
                      <w:highlight w:val="none"/>
                      <w14:textFill>
                        <w14:solidFill>
                          <w14:schemeClr w14:val="tx1"/>
                        </w14:solidFill>
                      </w14:textFill>
                    </w:rPr>
                  </w:pPr>
                  <w:r>
                    <w:rPr>
                      <w:rFonts w:hint="default" w:ascii="Times New Roman"/>
                      <w:color w:val="000000" w:themeColor="text1"/>
                      <w:sz w:val="21"/>
                      <w:szCs w:val="18"/>
                      <w:highlight w:val="none"/>
                      <w:lang w:val="en-US" w:eastAsia="zh-CN"/>
                      <w14:textFill>
                        <w14:solidFill>
                          <w14:schemeClr w14:val="tx1"/>
                        </w14:solidFill>
                      </w14:textFill>
                    </w:rPr>
                    <w:t>《耐火材料工业大气污染物排放标准》（GB46790-2025）表1</w:t>
                  </w:r>
                </w:p>
              </w:tc>
              <w:tc>
                <w:tcPr>
                  <w:tcW w:w="409" w:type="pct"/>
                  <w:vMerge w:val="restart"/>
                  <w:noWrap w:val="0"/>
                  <w:vAlign w:val="center"/>
                </w:tcPr>
                <w:p w14:paraId="4E672E00">
                  <w:pPr>
                    <w:adjustRightInd w:val="0"/>
                    <w:spacing w:line="240" w:lineRule="auto"/>
                    <w:ind w:firstLine="0" w:firstLineChars="0"/>
                    <w:jc w:val="center"/>
                    <w:textAlignment w:val="baseline"/>
                    <w:rPr>
                      <w:rFonts w:ascii="Times New Roman"/>
                      <w:color w:val="000000" w:themeColor="text1"/>
                      <w:sz w:val="21"/>
                      <w:szCs w:val="18"/>
                      <w:highlight w:val="none"/>
                      <w14:textFill>
                        <w14:solidFill>
                          <w14:schemeClr w14:val="tx1"/>
                        </w14:solidFill>
                      </w14:textFill>
                    </w:rPr>
                  </w:pPr>
                </w:p>
              </w:tc>
            </w:tr>
            <w:tr w14:paraId="74DFB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319" w:type="pct"/>
                  <w:vMerge w:val="continue"/>
                  <w:noWrap w:val="0"/>
                  <w:vAlign w:val="center"/>
                </w:tcPr>
                <w:p w14:paraId="13D88A6C">
                  <w:pPr>
                    <w:spacing w:line="240" w:lineRule="exact"/>
                    <w:ind w:firstLine="0" w:firstLineChars="0"/>
                    <w:jc w:val="center"/>
                    <w:rPr>
                      <w:rFonts w:ascii="Times New Roman"/>
                      <w:color w:val="000000" w:themeColor="text1"/>
                      <w:sz w:val="21"/>
                      <w:szCs w:val="21"/>
                      <w:highlight w:val="none"/>
                      <w14:textFill>
                        <w14:solidFill>
                          <w14:schemeClr w14:val="tx1"/>
                        </w14:solidFill>
                      </w14:textFill>
                    </w:rPr>
                  </w:pPr>
                </w:p>
              </w:tc>
              <w:tc>
                <w:tcPr>
                  <w:tcW w:w="498" w:type="pct"/>
                  <w:vMerge w:val="continue"/>
                  <w:noWrap w:val="0"/>
                  <w:vAlign w:val="center"/>
                </w:tcPr>
                <w:p w14:paraId="24AD883E">
                  <w:pPr>
                    <w:spacing w:line="240" w:lineRule="exact"/>
                    <w:ind w:firstLine="0" w:firstLineChars="0"/>
                    <w:jc w:val="center"/>
                    <w:rPr>
                      <w:rFonts w:ascii="Times New Roman"/>
                      <w:color w:val="000000" w:themeColor="text1"/>
                      <w:sz w:val="21"/>
                      <w:szCs w:val="21"/>
                      <w:highlight w:val="none"/>
                      <w14:textFill>
                        <w14:solidFill>
                          <w14:schemeClr w14:val="tx1"/>
                        </w14:solidFill>
                      </w14:textFill>
                    </w:rPr>
                  </w:pPr>
                </w:p>
              </w:tc>
              <w:tc>
                <w:tcPr>
                  <w:tcW w:w="806" w:type="pct"/>
                  <w:vMerge w:val="continue"/>
                  <w:noWrap w:val="0"/>
                  <w:vAlign w:val="center"/>
                </w:tcPr>
                <w:p w14:paraId="6D041430">
                  <w:pPr>
                    <w:spacing w:line="240" w:lineRule="exact"/>
                    <w:ind w:firstLine="0" w:firstLineChars="0"/>
                    <w:jc w:val="center"/>
                    <w:rPr>
                      <w:rFonts w:ascii="Times New Roman"/>
                      <w:color w:val="000000" w:themeColor="text1"/>
                      <w:sz w:val="21"/>
                      <w:szCs w:val="21"/>
                      <w:highlight w:val="none"/>
                      <w:lang w:val="zh-CN"/>
                      <w14:textFill>
                        <w14:solidFill>
                          <w14:schemeClr w14:val="tx1"/>
                        </w14:solidFill>
                      </w14:textFill>
                    </w:rPr>
                  </w:pPr>
                </w:p>
              </w:tc>
              <w:tc>
                <w:tcPr>
                  <w:tcW w:w="1251" w:type="pct"/>
                  <w:noWrap w:val="0"/>
                  <w:vAlign w:val="center"/>
                </w:tcPr>
                <w:p w14:paraId="67272542">
                  <w:pPr>
                    <w:spacing w:line="240" w:lineRule="exact"/>
                    <w:ind w:firstLine="0" w:firstLineChars="0"/>
                    <w:jc w:val="center"/>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二氧化硫</w:t>
                  </w:r>
                </w:p>
              </w:tc>
              <w:tc>
                <w:tcPr>
                  <w:tcW w:w="485" w:type="pct"/>
                  <w:vMerge w:val="continue"/>
                  <w:noWrap w:val="0"/>
                  <w:vAlign w:val="center"/>
                </w:tcPr>
                <w:p w14:paraId="234F2F5F">
                  <w:pPr>
                    <w:spacing w:line="240" w:lineRule="exact"/>
                    <w:ind w:firstLine="0" w:firstLineChars="0"/>
                    <w:jc w:val="center"/>
                    <w:rPr>
                      <w:rFonts w:hint="eastAsia"/>
                      <w:color w:val="000000" w:themeColor="text1"/>
                      <w:sz w:val="21"/>
                      <w:szCs w:val="21"/>
                      <w:highlight w:val="none"/>
                      <w:lang w:val="en-US" w:eastAsia="zh-CN"/>
                      <w14:textFill>
                        <w14:solidFill>
                          <w14:schemeClr w14:val="tx1"/>
                        </w14:solidFill>
                      </w14:textFill>
                    </w:rPr>
                  </w:pPr>
                </w:p>
              </w:tc>
              <w:tc>
                <w:tcPr>
                  <w:tcW w:w="1229" w:type="pct"/>
                  <w:vMerge w:val="continue"/>
                  <w:noWrap w:val="0"/>
                  <w:vAlign w:val="center"/>
                </w:tcPr>
                <w:p w14:paraId="5A98284B">
                  <w:pPr>
                    <w:adjustRightInd w:val="0"/>
                    <w:spacing w:line="240" w:lineRule="auto"/>
                    <w:ind w:firstLine="0" w:firstLineChars="0"/>
                    <w:jc w:val="center"/>
                    <w:textAlignment w:val="baseline"/>
                    <w:rPr>
                      <w:rFonts w:ascii="Times New Roman"/>
                      <w:color w:val="000000" w:themeColor="text1"/>
                      <w:sz w:val="21"/>
                      <w:szCs w:val="18"/>
                      <w:highlight w:val="none"/>
                      <w14:textFill>
                        <w14:solidFill>
                          <w14:schemeClr w14:val="tx1"/>
                        </w14:solidFill>
                      </w14:textFill>
                    </w:rPr>
                  </w:pPr>
                </w:p>
              </w:tc>
              <w:tc>
                <w:tcPr>
                  <w:tcW w:w="409" w:type="pct"/>
                  <w:vMerge w:val="continue"/>
                  <w:noWrap w:val="0"/>
                  <w:vAlign w:val="center"/>
                </w:tcPr>
                <w:p w14:paraId="6821A27B">
                  <w:pPr>
                    <w:adjustRightInd w:val="0"/>
                    <w:spacing w:line="240" w:lineRule="auto"/>
                    <w:ind w:firstLine="0" w:firstLineChars="0"/>
                    <w:jc w:val="center"/>
                    <w:textAlignment w:val="baseline"/>
                    <w:rPr>
                      <w:rFonts w:ascii="Times New Roman"/>
                      <w:color w:val="000000" w:themeColor="text1"/>
                      <w:sz w:val="21"/>
                      <w:szCs w:val="18"/>
                      <w:highlight w:val="none"/>
                      <w14:textFill>
                        <w14:solidFill>
                          <w14:schemeClr w14:val="tx1"/>
                        </w14:solidFill>
                      </w14:textFill>
                    </w:rPr>
                  </w:pPr>
                </w:p>
              </w:tc>
            </w:tr>
            <w:tr w14:paraId="70667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319" w:type="pct"/>
                  <w:vMerge w:val="continue"/>
                  <w:noWrap w:val="0"/>
                  <w:vAlign w:val="center"/>
                </w:tcPr>
                <w:p w14:paraId="53067D57">
                  <w:pPr>
                    <w:spacing w:line="240" w:lineRule="exact"/>
                    <w:ind w:firstLine="0" w:firstLineChars="0"/>
                    <w:jc w:val="center"/>
                    <w:rPr>
                      <w:rFonts w:ascii="Times New Roman"/>
                      <w:color w:val="000000" w:themeColor="text1"/>
                      <w:sz w:val="21"/>
                      <w:szCs w:val="21"/>
                      <w:highlight w:val="none"/>
                      <w14:textFill>
                        <w14:solidFill>
                          <w14:schemeClr w14:val="tx1"/>
                        </w14:solidFill>
                      </w14:textFill>
                    </w:rPr>
                  </w:pPr>
                </w:p>
              </w:tc>
              <w:tc>
                <w:tcPr>
                  <w:tcW w:w="498" w:type="pct"/>
                  <w:vMerge w:val="continue"/>
                  <w:noWrap w:val="0"/>
                  <w:vAlign w:val="center"/>
                </w:tcPr>
                <w:p w14:paraId="6A36F5A8">
                  <w:pPr>
                    <w:spacing w:line="240" w:lineRule="exact"/>
                    <w:ind w:firstLine="0" w:firstLineChars="0"/>
                    <w:jc w:val="center"/>
                    <w:rPr>
                      <w:rFonts w:ascii="Times New Roman"/>
                      <w:color w:val="000000" w:themeColor="text1"/>
                      <w:sz w:val="21"/>
                      <w:szCs w:val="21"/>
                      <w:highlight w:val="none"/>
                      <w14:textFill>
                        <w14:solidFill>
                          <w14:schemeClr w14:val="tx1"/>
                        </w14:solidFill>
                      </w14:textFill>
                    </w:rPr>
                  </w:pPr>
                </w:p>
              </w:tc>
              <w:tc>
                <w:tcPr>
                  <w:tcW w:w="806" w:type="pct"/>
                  <w:vMerge w:val="continue"/>
                  <w:noWrap w:val="0"/>
                  <w:vAlign w:val="center"/>
                </w:tcPr>
                <w:p w14:paraId="246C39C4">
                  <w:pPr>
                    <w:spacing w:line="240" w:lineRule="exact"/>
                    <w:ind w:firstLine="0" w:firstLineChars="0"/>
                    <w:jc w:val="center"/>
                    <w:rPr>
                      <w:rFonts w:ascii="Times New Roman"/>
                      <w:color w:val="000000" w:themeColor="text1"/>
                      <w:sz w:val="21"/>
                      <w:szCs w:val="21"/>
                      <w:highlight w:val="none"/>
                      <w:lang w:val="zh-CN"/>
                      <w14:textFill>
                        <w14:solidFill>
                          <w14:schemeClr w14:val="tx1"/>
                        </w14:solidFill>
                      </w14:textFill>
                    </w:rPr>
                  </w:pPr>
                </w:p>
              </w:tc>
              <w:tc>
                <w:tcPr>
                  <w:tcW w:w="1251" w:type="pct"/>
                  <w:noWrap w:val="0"/>
                  <w:vAlign w:val="center"/>
                </w:tcPr>
                <w:p w14:paraId="2187B88B">
                  <w:pPr>
                    <w:spacing w:line="240" w:lineRule="exact"/>
                    <w:ind w:firstLine="0" w:firstLineChars="0"/>
                    <w:jc w:val="center"/>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氨气</w:t>
                  </w:r>
                </w:p>
              </w:tc>
              <w:tc>
                <w:tcPr>
                  <w:tcW w:w="485" w:type="pct"/>
                  <w:vMerge w:val="continue"/>
                  <w:noWrap w:val="0"/>
                  <w:vAlign w:val="center"/>
                </w:tcPr>
                <w:p w14:paraId="0C508358">
                  <w:pPr>
                    <w:spacing w:line="240" w:lineRule="exact"/>
                    <w:ind w:firstLine="0" w:firstLineChars="0"/>
                    <w:jc w:val="center"/>
                    <w:rPr>
                      <w:rFonts w:hint="eastAsia" w:ascii="Times New Roman" w:eastAsia="宋体"/>
                      <w:color w:val="000000" w:themeColor="text1"/>
                      <w:sz w:val="21"/>
                      <w:szCs w:val="21"/>
                      <w:highlight w:val="none"/>
                      <w:lang w:val="en-US" w:eastAsia="zh-CN"/>
                      <w14:textFill>
                        <w14:solidFill>
                          <w14:schemeClr w14:val="tx1"/>
                        </w14:solidFill>
                      </w14:textFill>
                    </w:rPr>
                  </w:pPr>
                </w:p>
              </w:tc>
              <w:tc>
                <w:tcPr>
                  <w:tcW w:w="1229" w:type="pct"/>
                  <w:vMerge w:val="continue"/>
                  <w:noWrap w:val="0"/>
                  <w:vAlign w:val="center"/>
                </w:tcPr>
                <w:p w14:paraId="62D9CAEA">
                  <w:pPr>
                    <w:adjustRightInd w:val="0"/>
                    <w:spacing w:line="240" w:lineRule="auto"/>
                    <w:ind w:firstLine="0" w:firstLineChars="0"/>
                    <w:jc w:val="center"/>
                    <w:textAlignment w:val="baseline"/>
                    <w:rPr>
                      <w:rFonts w:ascii="Times New Roman"/>
                      <w:color w:val="000000" w:themeColor="text1"/>
                      <w:sz w:val="21"/>
                      <w:szCs w:val="18"/>
                      <w:highlight w:val="none"/>
                      <w14:textFill>
                        <w14:solidFill>
                          <w14:schemeClr w14:val="tx1"/>
                        </w14:solidFill>
                      </w14:textFill>
                    </w:rPr>
                  </w:pPr>
                </w:p>
              </w:tc>
              <w:tc>
                <w:tcPr>
                  <w:tcW w:w="409" w:type="pct"/>
                  <w:vMerge w:val="continue"/>
                  <w:noWrap w:val="0"/>
                  <w:vAlign w:val="center"/>
                </w:tcPr>
                <w:p w14:paraId="7A2DB9F6">
                  <w:pPr>
                    <w:adjustRightInd w:val="0"/>
                    <w:spacing w:line="240" w:lineRule="auto"/>
                    <w:ind w:firstLine="0" w:firstLineChars="0"/>
                    <w:jc w:val="center"/>
                    <w:textAlignment w:val="baseline"/>
                    <w:rPr>
                      <w:rFonts w:ascii="Times New Roman"/>
                      <w:color w:val="000000" w:themeColor="text1"/>
                      <w:sz w:val="21"/>
                      <w:szCs w:val="18"/>
                      <w:highlight w:val="none"/>
                      <w14:textFill>
                        <w14:solidFill>
                          <w14:schemeClr w14:val="tx1"/>
                        </w14:solidFill>
                      </w14:textFill>
                    </w:rPr>
                  </w:pPr>
                </w:p>
              </w:tc>
            </w:tr>
            <w:tr w14:paraId="2FB58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3" w:hRule="atLeast"/>
                <w:jc w:val="center"/>
              </w:trPr>
              <w:tc>
                <w:tcPr>
                  <w:tcW w:w="319" w:type="pct"/>
                  <w:vMerge w:val="continue"/>
                  <w:noWrap w:val="0"/>
                  <w:vAlign w:val="center"/>
                </w:tcPr>
                <w:p w14:paraId="72AF3861">
                  <w:pPr>
                    <w:spacing w:line="240" w:lineRule="exact"/>
                    <w:ind w:firstLine="0" w:firstLineChars="0"/>
                    <w:jc w:val="center"/>
                    <w:rPr>
                      <w:rFonts w:ascii="Times New Roman"/>
                      <w:color w:val="000000" w:themeColor="text1"/>
                      <w:sz w:val="21"/>
                      <w:szCs w:val="21"/>
                      <w:highlight w:val="none"/>
                      <w14:textFill>
                        <w14:solidFill>
                          <w14:schemeClr w14:val="tx1"/>
                        </w14:solidFill>
                      </w14:textFill>
                    </w:rPr>
                  </w:pPr>
                </w:p>
              </w:tc>
              <w:tc>
                <w:tcPr>
                  <w:tcW w:w="498" w:type="pct"/>
                  <w:vMerge w:val="continue"/>
                  <w:noWrap w:val="0"/>
                  <w:vAlign w:val="center"/>
                </w:tcPr>
                <w:p w14:paraId="439B3FC8">
                  <w:pPr>
                    <w:spacing w:line="240" w:lineRule="exact"/>
                    <w:ind w:firstLine="0" w:firstLineChars="0"/>
                    <w:jc w:val="center"/>
                    <w:rPr>
                      <w:rFonts w:ascii="Times New Roman"/>
                      <w:color w:val="000000" w:themeColor="text1"/>
                      <w:sz w:val="21"/>
                      <w:szCs w:val="21"/>
                      <w:highlight w:val="none"/>
                      <w14:textFill>
                        <w14:solidFill>
                          <w14:schemeClr w14:val="tx1"/>
                        </w14:solidFill>
                      </w14:textFill>
                    </w:rPr>
                  </w:pPr>
                </w:p>
              </w:tc>
              <w:tc>
                <w:tcPr>
                  <w:tcW w:w="806" w:type="pct"/>
                  <w:vMerge w:val="continue"/>
                  <w:noWrap w:val="0"/>
                  <w:vAlign w:val="center"/>
                </w:tcPr>
                <w:p w14:paraId="5099C823">
                  <w:pPr>
                    <w:spacing w:line="240" w:lineRule="exact"/>
                    <w:ind w:firstLine="0" w:firstLineChars="0"/>
                    <w:jc w:val="center"/>
                    <w:rPr>
                      <w:rFonts w:ascii="Times New Roman"/>
                      <w:color w:val="000000" w:themeColor="text1"/>
                      <w:sz w:val="21"/>
                      <w:szCs w:val="21"/>
                      <w:highlight w:val="none"/>
                      <w:lang w:val="zh-CN"/>
                      <w14:textFill>
                        <w14:solidFill>
                          <w14:schemeClr w14:val="tx1"/>
                        </w14:solidFill>
                      </w14:textFill>
                    </w:rPr>
                  </w:pPr>
                </w:p>
              </w:tc>
              <w:tc>
                <w:tcPr>
                  <w:tcW w:w="1251" w:type="pct"/>
                  <w:noWrap w:val="0"/>
                  <w:vAlign w:val="center"/>
                </w:tcPr>
                <w:p w14:paraId="4721F1BC">
                  <w:pPr>
                    <w:spacing w:line="240" w:lineRule="exact"/>
                    <w:ind w:firstLine="0" w:firstLineChars="0"/>
                    <w:jc w:val="center"/>
                    <w:rPr>
                      <w:rFonts w:ascii="Times New Roman"/>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颗粒物</w:t>
                  </w:r>
                </w:p>
              </w:tc>
              <w:tc>
                <w:tcPr>
                  <w:tcW w:w="485" w:type="pct"/>
                  <w:vMerge w:val="continue"/>
                  <w:noWrap w:val="0"/>
                  <w:vAlign w:val="center"/>
                </w:tcPr>
                <w:p w14:paraId="03B3E6B7">
                  <w:pPr>
                    <w:spacing w:line="240" w:lineRule="exact"/>
                    <w:ind w:firstLine="0" w:firstLineChars="0"/>
                    <w:jc w:val="center"/>
                    <w:rPr>
                      <w:rFonts w:hint="eastAsia" w:ascii="Times New Roman" w:eastAsia="宋体"/>
                      <w:color w:val="000000" w:themeColor="text1"/>
                      <w:sz w:val="21"/>
                      <w:szCs w:val="21"/>
                      <w:highlight w:val="none"/>
                      <w:lang w:val="en-US" w:eastAsia="zh-CN"/>
                      <w14:textFill>
                        <w14:solidFill>
                          <w14:schemeClr w14:val="tx1"/>
                        </w14:solidFill>
                      </w14:textFill>
                    </w:rPr>
                  </w:pPr>
                </w:p>
              </w:tc>
              <w:tc>
                <w:tcPr>
                  <w:tcW w:w="1229" w:type="pct"/>
                  <w:vMerge w:val="continue"/>
                  <w:noWrap w:val="0"/>
                  <w:vAlign w:val="center"/>
                </w:tcPr>
                <w:p w14:paraId="713620E0">
                  <w:pPr>
                    <w:adjustRightInd w:val="0"/>
                    <w:spacing w:line="240" w:lineRule="auto"/>
                    <w:ind w:firstLine="0" w:firstLineChars="0"/>
                    <w:jc w:val="center"/>
                    <w:textAlignment w:val="baseline"/>
                    <w:rPr>
                      <w:rFonts w:ascii="Times New Roman"/>
                      <w:color w:val="000000" w:themeColor="text1"/>
                      <w:sz w:val="21"/>
                      <w:szCs w:val="18"/>
                      <w:highlight w:val="none"/>
                      <w14:textFill>
                        <w14:solidFill>
                          <w14:schemeClr w14:val="tx1"/>
                        </w14:solidFill>
                      </w14:textFill>
                    </w:rPr>
                  </w:pPr>
                </w:p>
              </w:tc>
              <w:tc>
                <w:tcPr>
                  <w:tcW w:w="409" w:type="pct"/>
                  <w:vMerge w:val="continue"/>
                  <w:noWrap w:val="0"/>
                  <w:vAlign w:val="center"/>
                </w:tcPr>
                <w:p w14:paraId="60E465AD">
                  <w:pPr>
                    <w:adjustRightInd w:val="0"/>
                    <w:spacing w:line="240" w:lineRule="auto"/>
                    <w:ind w:firstLine="0" w:firstLineChars="0"/>
                    <w:jc w:val="center"/>
                    <w:textAlignment w:val="baseline"/>
                    <w:rPr>
                      <w:rFonts w:ascii="Times New Roman"/>
                      <w:color w:val="000000" w:themeColor="text1"/>
                      <w:sz w:val="21"/>
                      <w:szCs w:val="18"/>
                      <w:highlight w:val="none"/>
                      <w14:textFill>
                        <w14:solidFill>
                          <w14:schemeClr w14:val="tx1"/>
                        </w14:solidFill>
                      </w14:textFill>
                    </w:rPr>
                  </w:pPr>
                </w:p>
              </w:tc>
            </w:tr>
            <w:tr w14:paraId="12D63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319" w:type="pct"/>
                  <w:vMerge w:val="continue"/>
                  <w:noWrap w:val="0"/>
                  <w:vAlign w:val="center"/>
                </w:tcPr>
                <w:p w14:paraId="677D5499">
                  <w:pPr>
                    <w:spacing w:line="240" w:lineRule="exact"/>
                    <w:ind w:firstLine="0" w:firstLineChars="0"/>
                    <w:jc w:val="center"/>
                    <w:rPr>
                      <w:rFonts w:ascii="Times New Roman"/>
                      <w:color w:val="000000" w:themeColor="text1"/>
                      <w:sz w:val="21"/>
                      <w:szCs w:val="21"/>
                      <w:highlight w:val="none"/>
                      <w14:textFill>
                        <w14:solidFill>
                          <w14:schemeClr w14:val="tx1"/>
                        </w14:solidFill>
                      </w14:textFill>
                    </w:rPr>
                  </w:pPr>
                </w:p>
              </w:tc>
              <w:tc>
                <w:tcPr>
                  <w:tcW w:w="498" w:type="pct"/>
                  <w:vMerge w:val="restart"/>
                  <w:noWrap w:val="0"/>
                  <w:vAlign w:val="center"/>
                </w:tcPr>
                <w:p w14:paraId="1BFDAE18">
                  <w:pPr>
                    <w:spacing w:line="240" w:lineRule="exact"/>
                    <w:ind w:firstLine="0" w:firstLineChars="0"/>
                    <w:jc w:val="center"/>
                    <w:rPr>
                      <w:rFonts w:hint="eastAsia" w:ascii="Times New Roman" w:eastAsia="宋体"/>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无组织废气监测</w:t>
                  </w:r>
                </w:p>
              </w:tc>
              <w:tc>
                <w:tcPr>
                  <w:tcW w:w="806" w:type="pct"/>
                  <w:noWrap w:val="0"/>
                  <w:vAlign w:val="center"/>
                </w:tcPr>
                <w:p w14:paraId="0D35FBAF">
                  <w:pPr>
                    <w:spacing w:line="240" w:lineRule="exact"/>
                    <w:ind w:firstLine="0" w:firstLine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厂房外</w:t>
                  </w:r>
                </w:p>
              </w:tc>
              <w:tc>
                <w:tcPr>
                  <w:tcW w:w="1251" w:type="pct"/>
                  <w:noWrap w:val="0"/>
                  <w:vAlign w:val="center"/>
                </w:tcPr>
                <w:p w14:paraId="05121AED">
                  <w:pPr>
                    <w:spacing w:line="240" w:lineRule="exact"/>
                    <w:ind w:firstLine="0" w:firstLineChars="0"/>
                    <w:jc w:val="cente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颗粒物</w:t>
                  </w:r>
                </w:p>
              </w:tc>
              <w:tc>
                <w:tcPr>
                  <w:tcW w:w="485" w:type="pct"/>
                  <w:noWrap w:val="0"/>
                  <w:vAlign w:val="center"/>
                </w:tcPr>
                <w:p w14:paraId="60818A76">
                  <w:pPr>
                    <w:spacing w:line="240" w:lineRule="exact"/>
                    <w:ind w:firstLine="0" w:firstLineChars="0"/>
                    <w:jc w:val="center"/>
                    <w:rPr>
                      <w:rFonts w:hint="eastAsia" w:ascii="Times New Roman" w:eastAsia="宋体"/>
                      <w:color w:val="000000" w:themeColor="text1"/>
                      <w:sz w:val="21"/>
                      <w:szCs w:val="21"/>
                      <w:highlight w:val="none"/>
                      <w:lang w:val="en-US" w:eastAsia="zh-CN"/>
                      <w14:textFill>
                        <w14:solidFill>
                          <w14:schemeClr w14:val="tx1"/>
                        </w14:solidFill>
                      </w14:textFill>
                    </w:rPr>
                  </w:pPr>
                  <w:r>
                    <w:rPr>
                      <w:rFonts w:ascii="Times New Roman"/>
                      <w:color w:val="000000" w:themeColor="text1"/>
                      <w:sz w:val="21"/>
                      <w:szCs w:val="21"/>
                      <w:highlight w:val="none"/>
                      <w14:textFill>
                        <w14:solidFill>
                          <w14:schemeClr w14:val="tx1"/>
                        </w14:solidFill>
                      </w14:textFill>
                    </w:rPr>
                    <w:t>季</w:t>
                  </w:r>
                </w:p>
              </w:tc>
              <w:tc>
                <w:tcPr>
                  <w:tcW w:w="1229" w:type="pct"/>
                  <w:noWrap w:val="0"/>
                  <w:vAlign w:val="center"/>
                </w:tcPr>
                <w:p w14:paraId="4D9047ED">
                  <w:pPr>
                    <w:adjustRightInd w:val="0"/>
                    <w:spacing w:line="240" w:lineRule="auto"/>
                    <w:ind w:firstLine="0" w:firstLineChars="0"/>
                    <w:jc w:val="center"/>
                    <w:textAlignment w:val="baseline"/>
                    <w:rPr>
                      <w:rFonts w:ascii="Times New Roman"/>
                      <w:color w:val="000000" w:themeColor="text1"/>
                      <w:sz w:val="21"/>
                      <w:szCs w:val="18"/>
                      <w:highlight w:val="none"/>
                      <w14:textFill>
                        <w14:solidFill>
                          <w14:schemeClr w14:val="tx1"/>
                        </w14:solidFill>
                      </w14:textFill>
                    </w:rPr>
                  </w:pPr>
                  <w:r>
                    <w:rPr>
                      <w:rFonts w:hint="default" w:ascii="Times New Roman"/>
                      <w:color w:val="000000" w:themeColor="text1"/>
                      <w:sz w:val="21"/>
                      <w:szCs w:val="18"/>
                      <w:highlight w:val="none"/>
                      <w:lang w:val="en-US" w:eastAsia="zh-CN"/>
                      <w14:textFill>
                        <w14:solidFill>
                          <w14:schemeClr w14:val="tx1"/>
                        </w14:solidFill>
                      </w14:textFill>
                    </w:rPr>
                    <w:t>《耐火材料工业大气污染物排放标准》（GB46790-2025）表4</w:t>
                  </w:r>
                </w:p>
              </w:tc>
              <w:tc>
                <w:tcPr>
                  <w:tcW w:w="409" w:type="pct"/>
                  <w:noWrap w:val="0"/>
                  <w:vAlign w:val="center"/>
                </w:tcPr>
                <w:p w14:paraId="001A309D">
                  <w:pPr>
                    <w:adjustRightInd w:val="0"/>
                    <w:spacing w:line="240" w:lineRule="auto"/>
                    <w:ind w:firstLine="0" w:firstLineChars="0"/>
                    <w:jc w:val="center"/>
                    <w:textAlignment w:val="baseline"/>
                    <w:rPr>
                      <w:rFonts w:ascii="Times New Roman"/>
                      <w:color w:val="000000" w:themeColor="text1"/>
                      <w:sz w:val="21"/>
                      <w:szCs w:val="18"/>
                      <w:highlight w:val="none"/>
                      <w14:textFill>
                        <w14:solidFill>
                          <w14:schemeClr w14:val="tx1"/>
                        </w14:solidFill>
                      </w14:textFill>
                    </w:rPr>
                  </w:pPr>
                </w:p>
              </w:tc>
            </w:tr>
            <w:tr w14:paraId="0B626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319" w:type="pct"/>
                  <w:vMerge w:val="continue"/>
                  <w:noWrap w:val="0"/>
                  <w:vAlign w:val="center"/>
                </w:tcPr>
                <w:p w14:paraId="57D10DC4">
                  <w:pPr>
                    <w:spacing w:line="240" w:lineRule="exact"/>
                    <w:ind w:firstLine="0" w:firstLineChars="0"/>
                    <w:jc w:val="center"/>
                    <w:rPr>
                      <w:rFonts w:ascii="Times New Roman"/>
                      <w:color w:val="000000" w:themeColor="text1"/>
                      <w:sz w:val="21"/>
                      <w:szCs w:val="21"/>
                      <w:highlight w:val="none"/>
                      <w14:textFill>
                        <w14:solidFill>
                          <w14:schemeClr w14:val="tx1"/>
                        </w14:solidFill>
                      </w14:textFill>
                    </w:rPr>
                  </w:pPr>
                </w:p>
              </w:tc>
              <w:tc>
                <w:tcPr>
                  <w:tcW w:w="498" w:type="pct"/>
                  <w:vMerge w:val="continue"/>
                  <w:noWrap w:val="0"/>
                  <w:vAlign w:val="center"/>
                </w:tcPr>
                <w:p w14:paraId="551EE7CF">
                  <w:pPr>
                    <w:spacing w:line="240" w:lineRule="exact"/>
                    <w:ind w:firstLine="0" w:firstLineChars="0"/>
                    <w:jc w:val="center"/>
                    <w:rPr>
                      <w:rFonts w:hint="eastAsia" w:ascii="Times New Roman" w:eastAsia="宋体"/>
                      <w:color w:val="000000" w:themeColor="text1"/>
                      <w:sz w:val="21"/>
                      <w:szCs w:val="21"/>
                      <w:highlight w:val="none"/>
                      <w:lang w:eastAsia="zh-CN"/>
                      <w14:textFill>
                        <w14:solidFill>
                          <w14:schemeClr w14:val="tx1"/>
                        </w14:solidFill>
                      </w14:textFill>
                    </w:rPr>
                  </w:pPr>
                </w:p>
              </w:tc>
              <w:tc>
                <w:tcPr>
                  <w:tcW w:w="806" w:type="pct"/>
                  <w:noWrap w:val="0"/>
                  <w:vAlign w:val="center"/>
                </w:tcPr>
                <w:p w14:paraId="0144E671">
                  <w:pPr>
                    <w:spacing w:line="240" w:lineRule="exact"/>
                    <w:ind w:firstLine="0" w:firstLineChars="0"/>
                    <w:jc w:val="center"/>
                    <w:rPr>
                      <w:rFonts w:hint="default" w:ascii="Times New Roman" w:eastAsia="宋体"/>
                      <w:color w:val="000000" w:themeColor="text1"/>
                      <w:sz w:val="21"/>
                      <w:szCs w:val="21"/>
                      <w:highlight w:val="none"/>
                      <w:lang w:val="en-US" w:eastAsia="zh-CN"/>
                      <w14:textFill>
                        <w14:solidFill>
                          <w14:schemeClr w14:val="tx1"/>
                        </w14:solidFill>
                      </w14:textFill>
                    </w:rPr>
                  </w:pPr>
                  <w:r>
                    <w:rPr>
                      <w:rFonts w:ascii="Times New Roman"/>
                      <w:color w:val="000000" w:themeColor="text1"/>
                      <w:sz w:val="21"/>
                      <w:szCs w:val="21"/>
                      <w:highlight w:val="none"/>
                      <w:lang w:val="zh-CN"/>
                      <w14:textFill>
                        <w14:solidFill>
                          <w14:schemeClr w14:val="tx1"/>
                        </w14:solidFill>
                      </w14:textFill>
                    </w:rPr>
                    <w:t>厂界</w:t>
                  </w:r>
                  <w:r>
                    <w:rPr>
                      <w:rFonts w:hint="eastAsia"/>
                      <w:color w:val="000000" w:themeColor="text1"/>
                      <w:sz w:val="21"/>
                      <w:szCs w:val="21"/>
                      <w:highlight w:val="none"/>
                      <w:lang w:val="en-US" w:eastAsia="zh-CN"/>
                      <w14:textFill>
                        <w14:solidFill>
                          <w14:schemeClr w14:val="tx1"/>
                        </w14:solidFill>
                      </w14:textFill>
                    </w:rPr>
                    <w:t>上、下风向</w:t>
                  </w:r>
                </w:p>
              </w:tc>
              <w:tc>
                <w:tcPr>
                  <w:tcW w:w="1251" w:type="pct"/>
                  <w:noWrap w:val="0"/>
                  <w:vAlign w:val="center"/>
                </w:tcPr>
                <w:p w14:paraId="00C9D5B6">
                  <w:pPr>
                    <w:spacing w:line="240" w:lineRule="exact"/>
                    <w:ind w:firstLine="0" w:firstLineChars="0"/>
                    <w:jc w:val="center"/>
                    <w:rPr>
                      <w:rFonts w:ascii="Times New Roman"/>
                      <w:color w:val="000000" w:themeColor="text1"/>
                      <w:sz w:val="21"/>
                      <w:szCs w:val="21"/>
                      <w:highlight w:val="none"/>
                      <w14:textFill>
                        <w14:solidFill>
                          <w14:schemeClr w14:val="tx1"/>
                        </w14:solidFill>
                      </w14:textFill>
                    </w:rPr>
                  </w:pPr>
                  <w:r>
                    <w:rPr>
                      <w:rFonts w:hint="eastAsia" w:ascii="Times New Roman"/>
                      <w:color w:val="000000" w:themeColor="text1"/>
                      <w:sz w:val="21"/>
                      <w:szCs w:val="21"/>
                      <w:highlight w:val="none"/>
                      <w:lang w:val="en-US" w:eastAsia="zh-CN"/>
                      <w14:textFill>
                        <w14:solidFill>
                          <w14:schemeClr w14:val="tx1"/>
                        </w14:solidFill>
                      </w14:textFill>
                    </w:rPr>
                    <w:t>颗粒物</w:t>
                  </w:r>
                </w:p>
              </w:tc>
              <w:tc>
                <w:tcPr>
                  <w:tcW w:w="485" w:type="pct"/>
                  <w:noWrap w:val="0"/>
                  <w:vAlign w:val="center"/>
                </w:tcPr>
                <w:p w14:paraId="029FE52B">
                  <w:pPr>
                    <w:spacing w:line="240" w:lineRule="exact"/>
                    <w:ind w:firstLine="0" w:firstLineChars="0"/>
                    <w:jc w:val="center"/>
                    <w:rPr>
                      <w:rFonts w:ascii="Times New Roman"/>
                      <w:color w:val="000000" w:themeColor="text1"/>
                      <w:sz w:val="21"/>
                      <w:szCs w:val="21"/>
                      <w:highlight w:val="none"/>
                      <w14:textFill>
                        <w14:solidFill>
                          <w14:schemeClr w14:val="tx1"/>
                        </w14:solidFill>
                      </w14:textFill>
                    </w:rPr>
                  </w:pPr>
                  <w:r>
                    <w:rPr>
                      <w:rFonts w:hint="eastAsia" w:ascii="Times New Roman"/>
                      <w:color w:val="000000" w:themeColor="text1"/>
                      <w:sz w:val="21"/>
                      <w:szCs w:val="21"/>
                      <w:highlight w:val="none"/>
                      <w:lang w:val="en-US" w:eastAsia="zh-CN"/>
                      <w14:textFill>
                        <w14:solidFill>
                          <w14:schemeClr w14:val="tx1"/>
                        </w14:solidFill>
                      </w14:textFill>
                    </w:rPr>
                    <w:t>季</w:t>
                  </w:r>
                </w:p>
              </w:tc>
              <w:tc>
                <w:tcPr>
                  <w:tcW w:w="1229" w:type="pct"/>
                  <w:noWrap w:val="0"/>
                  <w:vAlign w:val="center"/>
                </w:tcPr>
                <w:p w14:paraId="24D608CB">
                  <w:pPr>
                    <w:adjustRightInd w:val="0"/>
                    <w:spacing w:line="240" w:lineRule="auto"/>
                    <w:ind w:firstLine="0" w:firstLineChars="0"/>
                    <w:jc w:val="center"/>
                    <w:textAlignment w:val="baseline"/>
                    <w:rPr>
                      <w:rFonts w:ascii="Times New Roman"/>
                      <w:color w:val="000000" w:themeColor="text1"/>
                      <w:sz w:val="21"/>
                      <w:szCs w:val="18"/>
                      <w:highlight w:val="none"/>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《大气污染物综合排放标准》（GB16297-1996）表</w:t>
                  </w: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2中</w:t>
                  </w: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无组织排放限值</w:t>
                  </w:r>
                </w:p>
              </w:tc>
              <w:tc>
                <w:tcPr>
                  <w:tcW w:w="409" w:type="pct"/>
                  <w:noWrap w:val="0"/>
                  <w:vAlign w:val="center"/>
                </w:tcPr>
                <w:p w14:paraId="3F79A9D1">
                  <w:pPr>
                    <w:adjustRightInd w:val="0"/>
                    <w:spacing w:line="240" w:lineRule="auto"/>
                    <w:ind w:firstLine="0" w:firstLineChars="0"/>
                    <w:jc w:val="center"/>
                    <w:textAlignment w:val="baseline"/>
                    <w:rPr>
                      <w:rFonts w:ascii="Times New Roman"/>
                      <w:color w:val="000000" w:themeColor="text1"/>
                      <w:sz w:val="21"/>
                      <w:szCs w:val="18"/>
                      <w:highlight w:val="none"/>
                      <w14:textFill>
                        <w14:solidFill>
                          <w14:schemeClr w14:val="tx1"/>
                        </w14:solidFill>
                      </w14:textFill>
                    </w:rPr>
                  </w:pPr>
                </w:p>
              </w:tc>
            </w:tr>
            <w:tr w14:paraId="6BDC5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319" w:type="pct"/>
                  <w:vMerge w:val="continue"/>
                  <w:noWrap w:val="0"/>
                  <w:vAlign w:val="center"/>
                </w:tcPr>
                <w:p w14:paraId="4FBB1CA1">
                  <w:pPr>
                    <w:spacing w:line="240" w:lineRule="exact"/>
                    <w:ind w:firstLine="0" w:firstLineChars="0"/>
                    <w:jc w:val="center"/>
                    <w:rPr>
                      <w:rFonts w:ascii="Times New Roman"/>
                      <w:color w:val="000000" w:themeColor="text1"/>
                      <w:sz w:val="21"/>
                      <w:szCs w:val="21"/>
                      <w:highlight w:val="none"/>
                      <w14:textFill>
                        <w14:solidFill>
                          <w14:schemeClr w14:val="tx1"/>
                        </w14:solidFill>
                      </w14:textFill>
                    </w:rPr>
                  </w:pPr>
                </w:p>
              </w:tc>
              <w:tc>
                <w:tcPr>
                  <w:tcW w:w="498" w:type="pct"/>
                  <w:vMerge w:val="continue"/>
                  <w:noWrap w:val="0"/>
                  <w:vAlign w:val="center"/>
                </w:tcPr>
                <w:p w14:paraId="1857139B">
                  <w:pPr>
                    <w:spacing w:line="240" w:lineRule="exact"/>
                    <w:ind w:firstLine="0" w:firstLineChars="0"/>
                    <w:jc w:val="center"/>
                    <w:rPr>
                      <w:rFonts w:hint="eastAsia" w:ascii="Times New Roman" w:eastAsia="宋体"/>
                      <w:color w:val="000000" w:themeColor="text1"/>
                      <w:sz w:val="21"/>
                      <w:szCs w:val="21"/>
                      <w:highlight w:val="none"/>
                      <w:lang w:eastAsia="zh-CN"/>
                      <w14:textFill>
                        <w14:solidFill>
                          <w14:schemeClr w14:val="tx1"/>
                        </w14:solidFill>
                      </w14:textFill>
                    </w:rPr>
                  </w:pPr>
                </w:p>
              </w:tc>
              <w:tc>
                <w:tcPr>
                  <w:tcW w:w="806" w:type="pct"/>
                  <w:vMerge w:val="restart"/>
                  <w:noWrap w:val="0"/>
                  <w:vAlign w:val="center"/>
                </w:tcPr>
                <w:p w14:paraId="0917F24D">
                  <w:pPr>
                    <w:spacing w:line="240" w:lineRule="exact"/>
                    <w:ind w:firstLine="0" w:firstLineChars="0"/>
                    <w:jc w:val="center"/>
                    <w:rPr>
                      <w:rFonts w:hint="eastAsia" w:ascii="Times New Roman" w:eastAsia="宋体"/>
                      <w:color w:val="000000" w:themeColor="text1"/>
                      <w:sz w:val="21"/>
                      <w:szCs w:val="21"/>
                      <w:highlight w:val="none"/>
                      <w:lang w:val="en-US" w:eastAsia="zh-CN"/>
                      <w14:textFill>
                        <w14:solidFill>
                          <w14:schemeClr w14:val="tx1"/>
                        </w14:solidFill>
                      </w14:textFill>
                    </w:rPr>
                  </w:pPr>
                  <w:r>
                    <w:rPr>
                      <w:rFonts w:ascii="Times New Roman"/>
                      <w:color w:val="000000" w:themeColor="text1"/>
                      <w:sz w:val="21"/>
                      <w:szCs w:val="21"/>
                      <w:highlight w:val="none"/>
                      <w:lang w:val="zh-CN"/>
                      <w14:textFill>
                        <w14:solidFill>
                          <w14:schemeClr w14:val="tx1"/>
                        </w14:solidFill>
                      </w14:textFill>
                    </w:rPr>
                    <w:t>厂界</w:t>
                  </w:r>
                  <w:r>
                    <w:rPr>
                      <w:rFonts w:hint="eastAsia" w:ascii="Times New Roman"/>
                      <w:color w:val="000000" w:themeColor="text1"/>
                      <w:sz w:val="21"/>
                      <w:szCs w:val="21"/>
                      <w:highlight w:val="none"/>
                      <w:lang w:val="en-US" w:eastAsia="zh-CN"/>
                      <w14:textFill>
                        <w14:solidFill>
                          <w14:schemeClr w14:val="tx1"/>
                        </w14:solidFill>
                      </w14:textFill>
                    </w:rPr>
                    <w:t>四周</w:t>
                  </w:r>
                </w:p>
              </w:tc>
              <w:tc>
                <w:tcPr>
                  <w:tcW w:w="1251" w:type="pct"/>
                  <w:noWrap w:val="0"/>
                  <w:vAlign w:val="center"/>
                </w:tcPr>
                <w:p w14:paraId="2DF6FAAF">
                  <w:pPr>
                    <w:spacing w:line="240" w:lineRule="exact"/>
                    <w:ind w:firstLine="0" w:firstLineChars="0"/>
                    <w:jc w:val="center"/>
                    <w:rPr>
                      <w:rFonts w:ascii="Times New Roman"/>
                      <w:color w:val="000000" w:themeColor="text1"/>
                      <w:sz w:val="21"/>
                      <w:szCs w:val="21"/>
                      <w:highlight w:val="none"/>
                      <w14:textFill>
                        <w14:solidFill>
                          <w14:schemeClr w14:val="tx1"/>
                        </w14:solidFill>
                      </w14:textFill>
                    </w:rPr>
                  </w:pPr>
                  <w:r>
                    <w:rPr>
                      <w:rFonts w:ascii="Times New Roman"/>
                      <w:color w:val="000000" w:themeColor="text1"/>
                      <w:sz w:val="21"/>
                      <w:szCs w:val="21"/>
                      <w:highlight w:val="none"/>
                      <w14:textFill>
                        <w14:solidFill>
                          <w14:schemeClr w14:val="tx1"/>
                        </w14:solidFill>
                      </w14:textFill>
                    </w:rPr>
                    <w:t>氨</w:t>
                  </w:r>
                </w:p>
              </w:tc>
              <w:tc>
                <w:tcPr>
                  <w:tcW w:w="485" w:type="pct"/>
                  <w:vMerge w:val="restart"/>
                  <w:noWrap w:val="0"/>
                  <w:vAlign w:val="center"/>
                </w:tcPr>
                <w:p w14:paraId="51A5073B">
                  <w:pPr>
                    <w:spacing w:line="240" w:lineRule="exact"/>
                    <w:ind w:firstLine="0" w:firstLineChars="0"/>
                    <w:jc w:val="center"/>
                    <w:rPr>
                      <w:rFonts w:ascii="Times New Roman"/>
                      <w:color w:val="000000" w:themeColor="text1"/>
                      <w:sz w:val="21"/>
                      <w:szCs w:val="21"/>
                      <w:highlight w:val="none"/>
                      <w14:textFill>
                        <w14:solidFill>
                          <w14:schemeClr w14:val="tx1"/>
                        </w14:solidFill>
                      </w14:textFill>
                    </w:rPr>
                  </w:pPr>
                  <w:r>
                    <w:rPr>
                      <w:rFonts w:ascii="Times New Roman"/>
                      <w:color w:val="000000" w:themeColor="text1"/>
                      <w:sz w:val="21"/>
                      <w:szCs w:val="21"/>
                      <w:highlight w:val="none"/>
                      <w14:textFill>
                        <w14:solidFill>
                          <w14:schemeClr w14:val="tx1"/>
                        </w14:solidFill>
                      </w14:textFill>
                    </w:rPr>
                    <w:t>季</w:t>
                  </w:r>
                </w:p>
              </w:tc>
              <w:tc>
                <w:tcPr>
                  <w:tcW w:w="1229" w:type="pct"/>
                  <w:vMerge w:val="restart"/>
                  <w:noWrap w:val="0"/>
                  <w:vAlign w:val="center"/>
                </w:tcPr>
                <w:p w14:paraId="34B7A430">
                  <w:pPr>
                    <w:adjustRightInd w:val="0"/>
                    <w:spacing w:line="240" w:lineRule="auto"/>
                    <w:ind w:firstLine="0" w:firstLineChars="0"/>
                    <w:jc w:val="center"/>
                    <w:textAlignment w:val="baseline"/>
                    <w:rPr>
                      <w:rFonts w:ascii="Times New Roman"/>
                      <w:color w:val="000000" w:themeColor="text1"/>
                      <w:sz w:val="21"/>
                      <w:szCs w:val="21"/>
                      <w:highlight w:val="none"/>
                      <w14:textFill>
                        <w14:solidFill>
                          <w14:schemeClr w14:val="tx1"/>
                        </w14:solidFill>
                      </w14:textFill>
                    </w:rPr>
                  </w:pPr>
                  <w:r>
                    <w:rPr>
                      <w:rFonts w:ascii="Times New Roman"/>
                      <w:color w:val="000000" w:themeColor="text1"/>
                      <w:sz w:val="21"/>
                      <w:szCs w:val="18"/>
                      <w:highlight w:val="none"/>
                      <w14:textFill>
                        <w14:solidFill>
                          <w14:schemeClr w14:val="tx1"/>
                        </w14:solidFill>
                      </w14:textFill>
                    </w:rPr>
                    <w:t>《恶臭污染物排放标准》（GB14554-93）厂界标准值要求</w:t>
                  </w:r>
                </w:p>
              </w:tc>
              <w:tc>
                <w:tcPr>
                  <w:tcW w:w="409" w:type="pct"/>
                  <w:vMerge w:val="restart"/>
                  <w:noWrap w:val="0"/>
                  <w:vAlign w:val="center"/>
                </w:tcPr>
                <w:p w14:paraId="788106B3">
                  <w:pPr>
                    <w:adjustRightInd w:val="0"/>
                    <w:spacing w:line="240" w:lineRule="auto"/>
                    <w:ind w:firstLine="0" w:firstLineChars="0"/>
                    <w:jc w:val="center"/>
                    <w:textAlignment w:val="baseline"/>
                    <w:rPr>
                      <w:rFonts w:ascii="Times New Roman"/>
                      <w:color w:val="000000" w:themeColor="text1"/>
                      <w:sz w:val="21"/>
                      <w:szCs w:val="18"/>
                      <w:highlight w:val="none"/>
                      <w14:textFill>
                        <w14:solidFill>
                          <w14:schemeClr w14:val="tx1"/>
                        </w14:solidFill>
                      </w14:textFill>
                    </w:rPr>
                  </w:pPr>
                </w:p>
              </w:tc>
            </w:tr>
            <w:tr w14:paraId="0A8B4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319" w:type="pct"/>
                  <w:vMerge w:val="continue"/>
                  <w:noWrap w:val="0"/>
                  <w:vAlign w:val="center"/>
                </w:tcPr>
                <w:p w14:paraId="1994452F">
                  <w:pPr>
                    <w:spacing w:line="240" w:lineRule="exact"/>
                    <w:ind w:firstLine="0" w:firstLineChars="0"/>
                    <w:jc w:val="center"/>
                    <w:rPr>
                      <w:rFonts w:ascii="Times New Roman"/>
                      <w:color w:val="000000" w:themeColor="text1"/>
                      <w:sz w:val="21"/>
                      <w:szCs w:val="21"/>
                      <w:highlight w:val="none"/>
                      <w14:textFill>
                        <w14:solidFill>
                          <w14:schemeClr w14:val="tx1"/>
                        </w14:solidFill>
                      </w14:textFill>
                    </w:rPr>
                  </w:pPr>
                </w:p>
              </w:tc>
              <w:tc>
                <w:tcPr>
                  <w:tcW w:w="498" w:type="pct"/>
                  <w:vMerge w:val="continue"/>
                  <w:noWrap w:val="0"/>
                  <w:vAlign w:val="center"/>
                </w:tcPr>
                <w:p w14:paraId="3ED56190">
                  <w:pPr>
                    <w:spacing w:line="240" w:lineRule="exact"/>
                    <w:ind w:firstLine="0" w:firstLineChars="0"/>
                    <w:jc w:val="center"/>
                    <w:rPr>
                      <w:rFonts w:ascii="Times New Roman"/>
                      <w:color w:val="000000" w:themeColor="text1"/>
                      <w:sz w:val="21"/>
                      <w:szCs w:val="21"/>
                      <w:highlight w:val="none"/>
                      <w14:textFill>
                        <w14:solidFill>
                          <w14:schemeClr w14:val="tx1"/>
                        </w14:solidFill>
                      </w14:textFill>
                    </w:rPr>
                  </w:pPr>
                </w:p>
              </w:tc>
              <w:tc>
                <w:tcPr>
                  <w:tcW w:w="806" w:type="pct"/>
                  <w:vMerge w:val="continue"/>
                  <w:noWrap w:val="0"/>
                  <w:vAlign w:val="center"/>
                </w:tcPr>
                <w:p w14:paraId="06775957">
                  <w:pPr>
                    <w:spacing w:line="240" w:lineRule="exact"/>
                    <w:ind w:firstLine="0" w:firstLineChars="0"/>
                    <w:jc w:val="center"/>
                    <w:rPr>
                      <w:rFonts w:ascii="Times New Roman"/>
                      <w:color w:val="000000" w:themeColor="text1"/>
                      <w:sz w:val="21"/>
                      <w:szCs w:val="21"/>
                      <w:highlight w:val="none"/>
                      <w:lang w:val="zh-CN"/>
                      <w14:textFill>
                        <w14:solidFill>
                          <w14:schemeClr w14:val="tx1"/>
                        </w14:solidFill>
                      </w14:textFill>
                    </w:rPr>
                  </w:pPr>
                </w:p>
              </w:tc>
              <w:tc>
                <w:tcPr>
                  <w:tcW w:w="1251" w:type="pct"/>
                  <w:noWrap w:val="0"/>
                  <w:vAlign w:val="center"/>
                </w:tcPr>
                <w:p w14:paraId="5B563014">
                  <w:pPr>
                    <w:spacing w:line="240" w:lineRule="exact"/>
                    <w:ind w:firstLine="0" w:firstLineChars="0"/>
                    <w:jc w:val="center"/>
                    <w:rPr>
                      <w:rFonts w:ascii="Times New Roman"/>
                      <w:color w:val="000000" w:themeColor="text1"/>
                      <w:sz w:val="21"/>
                      <w:szCs w:val="21"/>
                      <w:highlight w:val="none"/>
                      <w14:textFill>
                        <w14:solidFill>
                          <w14:schemeClr w14:val="tx1"/>
                        </w14:solidFill>
                      </w14:textFill>
                    </w:rPr>
                  </w:pPr>
                  <w:r>
                    <w:rPr>
                      <w:rFonts w:ascii="Times New Roman"/>
                      <w:color w:val="000000" w:themeColor="text1"/>
                      <w:sz w:val="21"/>
                      <w:szCs w:val="21"/>
                      <w:highlight w:val="none"/>
                      <w14:textFill>
                        <w14:solidFill>
                          <w14:schemeClr w14:val="tx1"/>
                        </w14:solidFill>
                      </w14:textFill>
                    </w:rPr>
                    <w:t>臭气浓度</w:t>
                  </w:r>
                </w:p>
              </w:tc>
              <w:tc>
                <w:tcPr>
                  <w:tcW w:w="485" w:type="pct"/>
                  <w:vMerge w:val="continue"/>
                  <w:noWrap w:val="0"/>
                  <w:vAlign w:val="center"/>
                </w:tcPr>
                <w:p w14:paraId="212B778A">
                  <w:pPr>
                    <w:spacing w:line="240" w:lineRule="exact"/>
                    <w:ind w:firstLine="0" w:firstLineChars="0"/>
                    <w:jc w:val="center"/>
                    <w:rPr>
                      <w:rFonts w:ascii="Times New Roman"/>
                      <w:color w:val="000000" w:themeColor="text1"/>
                      <w:sz w:val="21"/>
                      <w:szCs w:val="21"/>
                      <w:highlight w:val="none"/>
                      <w14:textFill>
                        <w14:solidFill>
                          <w14:schemeClr w14:val="tx1"/>
                        </w14:solidFill>
                      </w14:textFill>
                    </w:rPr>
                  </w:pPr>
                </w:p>
              </w:tc>
              <w:tc>
                <w:tcPr>
                  <w:tcW w:w="1229" w:type="pct"/>
                  <w:vMerge w:val="continue"/>
                  <w:noWrap w:val="0"/>
                  <w:vAlign w:val="center"/>
                </w:tcPr>
                <w:p w14:paraId="1F59AB73">
                  <w:pPr>
                    <w:adjustRightInd w:val="0"/>
                    <w:spacing w:line="240" w:lineRule="auto"/>
                    <w:ind w:firstLine="0" w:firstLineChars="0"/>
                    <w:jc w:val="center"/>
                    <w:textAlignment w:val="baseline"/>
                    <w:rPr>
                      <w:rFonts w:ascii="Times New Roman"/>
                      <w:color w:val="000000" w:themeColor="text1"/>
                      <w:sz w:val="21"/>
                      <w:szCs w:val="18"/>
                      <w:highlight w:val="none"/>
                      <w14:textFill>
                        <w14:solidFill>
                          <w14:schemeClr w14:val="tx1"/>
                        </w14:solidFill>
                      </w14:textFill>
                    </w:rPr>
                  </w:pPr>
                </w:p>
              </w:tc>
              <w:tc>
                <w:tcPr>
                  <w:tcW w:w="409" w:type="pct"/>
                  <w:vMerge w:val="continue"/>
                  <w:noWrap w:val="0"/>
                  <w:vAlign w:val="center"/>
                </w:tcPr>
                <w:p w14:paraId="6DB3C34D">
                  <w:pPr>
                    <w:adjustRightInd w:val="0"/>
                    <w:spacing w:line="240" w:lineRule="auto"/>
                    <w:ind w:firstLine="0" w:firstLineChars="0"/>
                    <w:jc w:val="center"/>
                    <w:textAlignment w:val="baseline"/>
                    <w:rPr>
                      <w:rFonts w:ascii="Times New Roman"/>
                      <w:color w:val="000000" w:themeColor="text1"/>
                      <w:sz w:val="21"/>
                      <w:szCs w:val="18"/>
                      <w:highlight w:val="none"/>
                      <w14:textFill>
                        <w14:solidFill>
                          <w14:schemeClr w14:val="tx1"/>
                        </w14:solidFill>
                      </w14:textFill>
                    </w:rPr>
                  </w:pPr>
                </w:p>
              </w:tc>
            </w:tr>
            <w:tr w14:paraId="5742E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19" w:type="pct"/>
                  <w:vMerge w:val="continue"/>
                  <w:noWrap w:val="0"/>
                  <w:vAlign w:val="center"/>
                </w:tcPr>
                <w:p w14:paraId="69E78C93">
                  <w:pPr>
                    <w:spacing w:line="240" w:lineRule="exact"/>
                    <w:ind w:firstLine="0" w:firstLineChars="0"/>
                    <w:jc w:val="center"/>
                    <w:rPr>
                      <w:rFonts w:ascii="Times New Roman"/>
                      <w:color w:val="000000" w:themeColor="text1"/>
                      <w:sz w:val="21"/>
                      <w:szCs w:val="21"/>
                      <w:highlight w:val="none"/>
                      <w14:textFill>
                        <w14:solidFill>
                          <w14:schemeClr w14:val="tx1"/>
                        </w14:solidFill>
                      </w14:textFill>
                    </w:rPr>
                  </w:pPr>
                </w:p>
              </w:tc>
              <w:tc>
                <w:tcPr>
                  <w:tcW w:w="498" w:type="pct"/>
                  <w:vMerge w:val="restart"/>
                  <w:noWrap w:val="0"/>
                  <w:vAlign w:val="center"/>
                </w:tcPr>
                <w:p w14:paraId="5F786C67">
                  <w:pPr>
                    <w:spacing w:line="240" w:lineRule="exact"/>
                    <w:ind w:firstLine="0" w:firstLineChars="0"/>
                    <w:jc w:val="center"/>
                    <w:rPr>
                      <w:rFonts w:hint="eastAsia" w:ascii="Times New Roman"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废水</w:t>
                  </w:r>
                </w:p>
              </w:tc>
              <w:tc>
                <w:tcPr>
                  <w:tcW w:w="806" w:type="pct"/>
                  <w:noWrap w:val="0"/>
                  <w:vAlign w:val="center"/>
                </w:tcPr>
                <w:p w14:paraId="0107AFFF">
                  <w:pPr>
                    <w:spacing w:line="240" w:lineRule="exact"/>
                    <w:ind w:firstLine="0" w:firstLineChars="0"/>
                    <w:jc w:val="center"/>
                    <w:rPr>
                      <w:rFonts w:hint="eastAsia"/>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脱硫废水</w:t>
                  </w:r>
                </w:p>
              </w:tc>
              <w:tc>
                <w:tcPr>
                  <w:tcW w:w="1251" w:type="pct"/>
                  <w:noWrap w:val="0"/>
                  <w:vAlign w:val="center"/>
                </w:tcPr>
                <w:p w14:paraId="1D5291B2">
                  <w:pPr>
                    <w:spacing w:line="240" w:lineRule="exact"/>
                    <w:ind w:firstLine="0" w:firstLineChars="0"/>
                    <w:jc w:val="center"/>
                    <w:rPr>
                      <w:rFonts w:hint="eastAsia" w:eastAsia="新宋体"/>
                      <w:color w:val="000000" w:themeColor="text1"/>
                      <w:kern w:val="2"/>
                      <w:sz w:val="21"/>
                      <w:szCs w:val="21"/>
                      <w:highlight w:val="none"/>
                      <w:lang w:val="en-US" w:eastAsia="zh-CN"/>
                      <w14:textFill>
                        <w14:solidFill>
                          <w14:schemeClr w14:val="tx1"/>
                        </w14:solidFill>
                      </w14:textFill>
                    </w:rPr>
                  </w:pPr>
                  <w:r>
                    <w:rPr>
                      <w:rFonts w:hint="eastAsia" w:ascii="Times New Roman"/>
                      <w:color w:val="000000" w:themeColor="text1"/>
                      <w:sz w:val="21"/>
                      <w:szCs w:val="21"/>
                      <w:highlight w:val="none"/>
                      <w:lang w:val="en-US" w:eastAsia="zh-CN"/>
                      <w14:textFill>
                        <w14:solidFill>
                          <w14:schemeClr w14:val="tx1"/>
                        </w14:solidFill>
                      </w14:textFill>
                    </w:rPr>
                    <w:t>pH值、总砷、总铅、总汞、总镉</w:t>
                  </w:r>
                </w:p>
              </w:tc>
              <w:tc>
                <w:tcPr>
                  <w:tcW w:w="485" w:type="pct"/>
                  <w:noWrap w:val="0"/>
                  <w:vAlign w:val="center"/>
                </w:tcPr>
                <w:p w14:paraId="1D525A82">
                  <w:pPr>
                    <w:spacing w:line="240" w:lineRule="exact"/>
                    <w:ind w:firstLine="0" w:firstLineChars="0"/>
                    <w:jc w:val="center"/>
                    <w:rPr>
                      <w:rFonts w:hint="eastAsia"/>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年</w:t>
                  </w:r>
                </w:p>
              </w:tc>
              <w:tc>
                <w:tcPr>
                  <w:tcW w:w="1229" w:type="pct"/>
                  <w:vMerge w:val="restart"/>
                  <w:noWrap w:val="0"/>
                  <w:vAlign w:val="center"/>
                </w:tcPr>
                <w:p w14:paraId="640674F1">
                  <w:pPr>
                    <w:spacing w:line="240" w:lineRule="auto"/>
                    <w:ind w:firstLine="0" w:firstLineChars="0"/>
                    <w:jc w:val="center"/>
                    <w:rPr>
                      <w:rFonts w:hint="default" w:ascii="Times New Roman"/>
                      <w:color w:val="000000" w:themeColor="text1"/>
                      <w:kern w:val="2"/>
                      <w:sz w:val="21"/>
                      <w:szCs w:val="21"/>
                      <w:highlight w:val="none"/>
                      <w:lang w:val="en-US"/>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污水处理厂废水水质接纳标准</w:t>
                  </w:r>
                  <w:r>
                    <w:rPr>
                      <w:rFonts w:hint="eastAsia" w:ascii="Times New Roman" w:hAnsi="Times New Roman" w:cs="Times New Roman"/>
                      <w:color w:val="000000" w:themeColor="text1"/>
                      <w:sz w:val="21"/>
                      <w:szCs w:val="18"/>
                      <w:highlight w:val="none"/>
                      <w:lang w:val="en-US" w:eastAsia="zh-CN"/>
                      <w14:textFill>
                        <w14:solidFill>
                          <w14:schemeClr w14:val="tx1"/>
                        </w14:solidFill>
                      </w14:textFill>
                    </w:rPr>
                    <w:t>，详见表3-</w:t>
                  </w:r>
                  <w:r>
                    <w:rPr>
                      <w:rFonts w:hint="eastAsia" w:cs="Times New Roman"/>
                      <w:color w:val="000000" w:themeColor="text1"/>
                      <w:sz w:val="21"/>
                      <w:szCs w:val="18"/>
                      <w:highlight w:val="none"/>
                      <w:lang w:val="en-US" w:eastAsia="zh-CN"/>
                      <w14:textFill>
                        <w14:solidFill>
                          <w14:schemeClr w14:val="tx1"/>
                        </w14:solidFill>
                      </w14:textFill>
                    </w:rPr>
                    <w:t>25</w:t>
                  </w:r>
                </w:p>
              </w:tc>
              <w:tc>
                <w:tcPr>
                  <w:tcW w:w="409" w:type="pct"/>
                  <w:noWrap w:val="0"/>
                  <w:vAlign w:val="center"/>
                </w:tcPr>
                <w:p w14:paraId="6123FE3C">
                  <w:pPr>
                    <w:spacing w:line="240" w:lineRule="auto"/>
                    <w:ind w:firstLine="0" w:firstLineChars="0"/>
                    <w:jc w:val="center"/>
                    <w:rPr>
                      <w:rFonts w:ascii="Times New Roman"/>
                      <w:color w:val="000000" w:themeColor="text1"/>
                      <w:kern w:val="2"/>
                      <w:sz w:val="21"/>
                      <w:szCs w:val="21"/>
                      <w:highlight w:val="none"/>
                      <w14:textFill>
                        <w14:solidFill>
                          <w14:schemeClr w14:val="tx1"/>
                        </w14:solidFill>
                      </w14:textFill>
                    </w:rPr>
                  </w:pPr>
                </w:p>
              </w:tc>
            </w:tr>
            <w:tr w14:paraId="3E5CA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319" w:type="pct"/>
                  <w:vMerge w:val="continue"/>
                  <w:noWrap w:val="0"/>
                  <w:vAlign w:val="center"/>
                </w:tcPr>
                <w:p w14:paraId="3AC6F732">
                  <w:pPr>
                    <w:spacing w:line="240" w:lineRule="exact"/>
                    <w:ind w:firstLine="0" w:firstLineChars="0"/>
                    <w:jc w:val="center"/>
                    <w:rPr>
                      <w:rFonts w:ascii="Times New Roman"/>
                      <w:color w:val="000000" w:themeColor="text1"/>
                      <w:sz w:val="21"/>
                      <w:szCs w:val="21"/>
                      <w:highlight w:val="none"/>
                      <w14:textFill>
                        <w14:solidFill>
                          <w14:schemeClr w14:val="tx1"/>
                        </w14:solidFill>
                      </w14:textFill>
                    </w:rPr>
                  </w:pPr>
                </w:p>
              </w:tc>
              <w:tc>
                <w:tcPr>
                  <w:tcW w:w="498" w:type="pct"/>
                  <w:vMerge w:val="continue"/>
                  <w:noWrap w:val="0"/>
                  <w:vAlign w:val="center"/>
                </w:tcPr>
                <w:p w14:paraId="4D1576AA">
                  <w:pPr>
                    <w:spacing w:line="240" w:lineRule="exact"/>
                    <w:ind w:firstLine="0" w:firstLineChars="0"/>
                    <w:jc w:val="center"/>
                    <w:rPr>
                      <w:rFonts w:hint="eastAsia" w:ascii="Times New Roman" w:eastAsia="宋体"/>
                      <w:color w:val="000000" w:themeColor="text1"/>
                      <w:sz w:val="21"/>
                      <w:szCs w:val="21"/>
                      <w:highlight w:val="none"/>
                      <w:lang w:val="en-US" w:eastAsia="zh-CN"/>
                      <w14:textFill>
                        <w14:solidFill>
                          <w14:schemeClr w14:val="tx1"/>
                        </w14:solidFill>
                      </w14:textFill>
                    </w:rPr>
                  </w:pPr>
                </w:p>
              </w:tc>
              <w:tc>
                <w:tcPr>
                  <w:tcW w:w="806" w:type="pct"/>
                  <w:noWrap w:val="0"/>
                  <w:vAlign w:val="center"/>
                </w:tcPr>
                <w:p w14:paraId="5AF4BE70">
                  <w:pPr>
                    <w:spacing w:line="240" w:lineRule="exact"/>
                    <w:ind w:firstLine="0" w:firstLineChars="0"/>
                    <w:jc w:val="center"/>
                    <w:rPr>
                      <w:rFonts w:hint="eastAsia"/>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冷却水排污水</w:t>
                  </w:r>
                </w:p>
              </w:tc>
              <w:tc>
                <w:tcPr>
                  <w:tcW w:w="1251" w:type="pct"/>
                  <w:noWrap w:val="0"/>
                  <w:vAlign w:val="center"/>
                </w:tcPr>
                <w:p w14:paraId="3CC07317">
                  <w:pPr>
                    <w:spacing w:line="240" w:lineRule="exact"/>
                    <w:ind w:firstLine="0" w:firstLineChars="0"/>
                    <w:jc w:val="center"/>
                    <w:rPr>
                      <w:rFonts w:hint="eastAsia" w:eastAsia="新宋体"/>
                      <w:color w:val="000000" w:themeColor="text1"/>
                      <w:kern w:val="2"/>
                      <w:sz w:val="21"/>
                      <w:szCs w:val="21"/>
                      <w:highlight w:val="none"/>
                      <w:lang w:val="en-US" w:eastAsia="zh-CN"/>
                      <w14:textFill>
                        <w14:solidFill>
                          <w14:schemeClr w14:val="tx1"/>
                        </w14:solidFill>
                      </w14:textFill>
                    </w:rPr>
                  </w:pPr>
                  <w:r>
                    <w:rPr>
                      <w:rFonts w:hint="eastAsia" w:ascii="Times New Roman"/>
                      <w:color w:val="000000" w:themeColor="text1"/>
                      <w:sz w:val="21"/>
                      <w:szCs w:val="21"/>
                      <w:highlight w:val="none"/>
                      <w:lang w:val="en-US" w:eastAsia="zh-CN"/>
                      <w14:textFill>
                        <w14:solidFill>
                          <w14:schemeClr w14:val="tx1"/>
                        </w14:solidFill>
                      </w14:textFill>
                    </w:rPr>
                    <w:t>pH值、化学需氧量</w:t>
                  </w:r>
                </w:p>
              </w:tc>
              <w:tc>
                <w:tcPr>
                  <w:tcW w:w="485" w:type="pct"/>
                  <w:noWrap w:val="0"/>
                  <w:vAlign w:val="center"/>
                </w:tcPr>
                <w:p w14:paraId="3FF8570F">
                  <w:pPr>
                    <w:spacing w:line="240" w:lineRule="exact"/>
                    <w:ind w:firstLine="0" w:firstLineChars="0"/>
                    <w:jc w:val="center"/>
                    <w:rPr>
                      <w:rFonts w:hint="eastAsia"/>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年</w:t>
                  </w:r>
                </w:p>
              </w:tc>
              <w:tc>
                <w:tcPr>
                  <w:tcW w:w="1229" w:type="pct"/>
                  <w:vMerge w:val="continue"/>
                  <w:noWrap w:val="0"/>
                  <w:vAlign w:val="center"/>
                </w:tcPr>
                <w:p w14:paraId="11E1A2A6">
                  <w:pPr>
                    <w:spacing w:line="240" w:lineRule="auto"/>
                    <w:ind w:firstLine="0" w:firstLineChars="0"/>
                    <w:jc w:val="center"/>
                    <w:rPr>
                      <w:rFonts w:hint="eastAsia"/>
                      <w:color w:val="000000" w:themeColor="text1"/>
                      <w:szCs w:val="21"/>
                      <w:highlight w:val="none"/>
                      <w:lang w:val="en-US" w:eastAsia="zh-CN"/>
                      <w14:textFill>
                        <w14:solidFill>
                          <w14:schemeClr w14:val="tx1"/>
                        </w14:solidFill>
                      </w14:textFill>
                    </w:rPr>
                  </w:pPr>
                </w:p>
              </w:tc>
              <w:tc>
                <w:tcPr>
                  <w:tcW w:w="409" w:type="pct"/>
                  <w:noWrap w:val="0"/>
                  <w:vAlign w:val="center"/>
                </w:tcPr>
                <w:p w14:paraId="3CC7E106">
                  <w:pPr>
                    <w:spacing w:line="240" w:lineRule="auto"/>
                    <w:ind w:firstLine="0" w:firstLineChars="0"/>
                    <w:jc w:val="center"/>
                    <w:rPr>
                      <w:rFonts w:ascii="Times New Roman"/>
                      <w:color w:val="000000" w:themeColor="text1"/>
                      <w:kern w:val="2"/>
                      <w:sz w:val="21"/>
                      <w:szCs w:val="21"/>
                      <w:highlight w:val="none"/>
                      <w14:textFill>
                        <w14:solidFill>
                          <w14:schemeClr w14:val="tx1"/>
                        </w14:solidFill>
                      </w14:textFill>
                    </w:rPr>
                  </w:pPr>
                </w:p>
              </w:tc>
            </w:tr>
            <w:tr w14:paraId="71E98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19" w:type="pct"/>
                  <w:vMerge w:val="continue"/>
                  <w:noWrap w:val="0"/>
                  <w:vAlign w:val="center"/>
                </w:tcPr>
                <w:p w14:paraId="479ACABB">
                  <w:pPr>
                    <w:spacing w:line="240" w:lineRule="exact"/>
                    <w:ind w:firstLine="0" w:firstLineChars="0"/>
                    <w:jc w:val="center"/>
                    <w:rPr>
                      <w:rFonts w:ascii="Times New Roman"/>
                      <w:color w:val="000000" w:themeColor="text1"/>
                      <w:sz w:val="21"/>
                      <w:szCs w:val="21"/>
                      <w:highlight w:val="none"/>
                      <w14:textFill>
                        <w14:solidFill>
                          <w14:schemeClr w14:val="tx1"/>
                        </w14:solidFill>
                      </w14:textFill>
                    </w:rPr>
                  </w:pPr>
                </w:p>
              </w:tc>
              <w:tc>
                <w:tcPr>
                  <w:tcW w:w="498" w:type="pct"/>
                  <w:vMerge w:val="continue"/>
                  <w:noWrap w:val="0"/>
                  <w:vAlign w:val="center"/>
                </w:tcPr>
                <w:p w14:paraId="09E7F67B">
                  <w:pPr>
                    <w:spacing w:line="240" w:lineRule="exact"/>
                    <w:ind w:firstLine="0" w:firstLineChars="0"/>
                    <w:jc w:val="center"/>
                    <w:rPr>
                      <w:rFonts w:hint="eastAsia" w:ascii="Times New Roman" w:eastAsia="宋体"/>
                      <w:color w:val="000000" w:themeColor="text1"/>
                      <w:sz w:val="21"/>
                      <w:szCs w:val="21"/>
                      <w:highlight w:val="none"/>
                      <w:lang w:val="en-US" w:eastAsia="zh-CN"/>
                      <w14:textFill>
                        <w14:solidFill>
                          <w14:schemeClr w14:val="tx1"/>
                        </w14:solidFill>
                      </w14:textFill>
                    </w:rPr>
                  </w:pPr>
                </w:p>
              </w:tc>
              <w:tc>
                <w:tcPr>
                  <w:tcW w:w="806" w:type="pct"/>
                  <w:noWrap w:val="0"/>
                  <w:vAlign w:val="center"/>
                </w:tcPr>
                <w:p w14:paraId="3802508F">
                  <w:pPr>
                    <w:spacing w:line="240" w:lineRule="exact"/>
                    <w:ind w:firstLine="0" w:firstLineChars="0"/>
                    <w:jc w:val="center"/>
                    <w:rPr>
                      <w:rFonts w:hint="eastAsia" w:ascii="Times New Roman" w:eastAsia="宋体"/>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生活污水</w:t>
                  </w:r>
                </w:p>
              </w:tc>
              <w:tc>
                <w:tcPr>
                  <w:tcW w:w="1251" w:type="pct"/>
                  <w:noWrap w:val="0"/>
                  <w:vAlign w:val="center"/>
                </w:tcPr>
                <w:p w14:paraId="098DFE22">
                  <w:pPr>
                    <w:spacing w:line="240" w:lineRule="exact"/>
                    <w:ind w:firstLine="0" w:firstLineChars="0"/>
                    <w:jc w:val="center"/>
                    <w:rPr>
                      <w:rFonts w:hint="default" w:ascii="Times New Roman" w:eastAsia="新宋体"/>
                      <w:color w:val="000000" w:themeColor="text1"/>
                      <w:kern w:val="2"/>
                      <w:sz w:val="21"/>
                      <w:szCs w:val="21"/>
                      <w:highlight w:val="none"/>
                      <w:lang w:val="en-US" w:eastAsia="zh-CN"/>
                      <w14:textFill>
                        <w14:solidFill>
                          <w14:schemeClr w14:val="tx1"/>
                        </w14:solidFill>
                      </w14:textFill>
                    </w:rPr>
                  </w:pPr>
                  <w:r>
                    <w:rPr>
                      <w:rFonts w:hint="eastAsia" w:ascii="Times New Roman"/>
                      <w:color w:val="000000" w:themeColor="text1"/>
                      <w:sz w:val="21"/>
                      <w:szCs w:val="21"/>
                      <w:highlight w:val="none"/>
                      <w:lang w:val="en-US" w:eastAsia="zh-CN"/>
                      <w14:textFill>
                        <w14:solidFill>
                          <w14:schemeClr w14:val="tx1"/>
                        </w14:solidFill>
                      </w14:textFill>
                    </w:rPr>
                    <w:t>pH值、悬浮物、化学需氧量、五日生化需氧量、氨氮、总磷、动植物油</w:t>
                  </w:r>
                </w:p>
              </w:tc>
              <w:tc>
                <w:tcPr>
                  <w:tcW w:w="485" w:type="pct"/>
                  <w:noWrap w:val="0"/>
                  <w:vAlign w:val="center"/>
                </w:tcPr>
                <w:p w14:paraId="20A8BC4C">
                  <w:pPr>
                    <w:spacing w:line="240" w:lineRule="exact"/>
                    <w:ind w:firstLine="0" w:firstLineChars="0"/>
                    <w:jc w:val="center"/>
                    <w:rPr>
                      <w:rFonts w:ascii="Times New Roman"/>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年</w:t>
                  </w:r>
                </w:p>
              </w:tc>
              <w:tc>
                <w:tcPr>
                  <w:tcW w:w="1229" w:type="pct"/>
                  <w:vMerge w:val="continue"/>
                  <w:noWrap w:val="0"/>
                  <w:vAlign w:val="center"/>
                </w:tcPr>
                <w:p w14:paraId="73BC5AFF">
                  <w:pPr>
                    <w:spacing w:line="240" w:lineRule="auto"/>
                    <w:ind w:firstLine="0" w:firstLineChars="0"/>
                    <w:jc w:val="center"/>
                    <w:rPr>
                      <w:rFonts w:ascii="Times New Roman"/>
                      <w:color w:val="000000" w:themeColor="text1"/>
                      <w:kern w:val="2"/>
                      <w:sz w:val="21"/>
                      <w:szCs w:val="21"/>
                      <w:highlight w:val="none"/>
                      <w14:textFill>
                        <w14:solidFill>
                          <w14:schemeClr w14:val="tx1"/>
                        </w14:solidFill>
                      </w14:textFill>
                    </w:rPr>
                  </w:pPr>
                </w:p>
              </w:tc>
              <w:tc>
                <w:tcPr>
                  <w:tcW w:w="409" w:type="pct"/>
                  <w:noWrap w:val="0"/>
                  <w:vAlign w:val="center"/>
                </w:tcPr>
                <w:p w14:paraId="08E46E0E">
                  <w:pPr>
                    <w:spacing w:line="240" w:lineRule="auto"/>
                    <w:ind w:firstLine="0" w:firstLineChars="0"/>
                    <w:jc w:val="center"/>
                    <w:rPr>
                      <w:rFonts w:ascii="Times New Roman"/>
                      <w:color w:val="000000" w:themeColor="text1"/>
                      <w:kern w:val="2"/>
                      <w:sz w:val="21"/>
                      <w:szCs w:val="21"/>
                      <w:highlight w:val="none"/>
                      <w14:textFill>
                        <w14:solidFill>
                          <w14:schemeClr w14:val="tx1"/>
                        </w14:solidFill>
                      </w14:textFill>
                    </w:rPr>
                  </w:pPr>
                </w:p>
              </w:tc>
            </w:tr>
            <w:tr w14:paraId="49909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19" w:type="pct"/>
                  <w:vMerge w:val="continue"/>
                  <w:noWrap w:val="0"/>
                  <w:vAlign w:val="center"/>
                </w:tcPr>
                <w:p w14:paraId="654B2481">
                  <w:pPr>
                    <w:spacing w:line="240" w:lineRule="exact"/>
                    <w:ind w:firstLine="0" w:firstLineChars="0"/>
                    <w:jc w:val="center"/>
                    <w:rPr>
                      <w:rFonts w:ascii="Times New Roman"/>
                      <w:color w:val="000000" w:themeColor="text1"/>
                      <w:sz w:val="21"/>
                      <w:szCs w:val="21"/>
                      <w:highlight w:val="none"/>
                      <w14:textFill>
                        <w14:solidFill>
                          <w14:schemeClr w14:val="tx1"/>
                        </w14:solidFill>
                      </w14:textFill>
                    </w:rPr>
                  </w:pPr>
                </w:p>
              </w:tc>
              <w:tc>
                <w:tcPr>
                  <w:tcW w:w="498" w:type="pct"/>
                  <w:noWrap w:val="0"/>
                  <w:vAlign w:val="center"/>
                </w:tcPr>
                <w:p w14:paraId="4F686652">
                  <w:pPr>
                    <w:spacing w:line="240" w:lineRule="exact"/>
                    <w:ind w:firstLine="0" w:firstLineChars="0"/>
                    <w:jc w:val="center"/>
                    <w:rPr>
                      <w:rFonts w:ascii="Times New Roman"/>
                      <w:color w:val="000000" w:themeColor="text1"/>
                      <w:sz w:val="21"/>
                      <w:szCs w:val="21"/>
                      <w:highlight w:val="none"/>
                      <w14:textFill>
                        <w14:solidFill>
                          <w14:schemeClr w14:val="tx1"/>
                        </w14:solidFill>
                      </w14:textFill>
                    </w:rPr>
                  </w:pPr>
                  <w:r>
                    <w:rPr>
                      <w:rFonts w:ascii="Times New Roman"/>
                      <w:color w:val="000000" w:themeColor="text1"/>
                      <w:sz w:val="21"/>
                      <w:szCs w:val="21"/>
                      <w:highlight w:val="none"/>
                      <w14:textFill>
                        <w14:solidFill>
                          <w14:schemeClr w14:val="tx1"/>
                        </w14:solidFill>
                      </w14:textFill>
                    </w:rPr>
                    <w:t>噪声</w:t>
                  </w:r>
                </w:p>
              </w:tc>
              <w:tc>
                <w:tcPr>
                  <w:tcW w:w="806" w:type="pct"/>
                  <w:noWrap w:val="0"/>
                  <w:vAlign w:val="center"/>
                </w:tcPr>
                <w:p w14:paraId="29380203">
                  <w:pPr>
                    <w:spacing w:line="240" w:lineRule="exact"/>
                    <w:ind w:firstLine="0" w:firstLineChars="0"/>
                    <w:jc w:val="center"/>
                    <w:rPr>
                      <w:rFonts w:hint="default" w:ascii="Times New Roman" w:eastAsia="宋体"/>
                      <w:color w:val="000000" w:themeColor="text1"/>
                      <w:sz w:val="21"/>
                      <w:szCs w:val="21"/>
                      <w:highlight w:val="none"/>
                      <w:lang w:val="en-US" w:eastAsia="zh-CN"/>
                      <w14:textFill>
                        <w14:solidFill>
                          <w14:schemeClr w14:val="tx1"/>
                        </w14:solidFill>
                      </w14:textFill>
                    </w:rPr>
                  </w:pPr>
                  <w:r>
                    <w:rPr>
                      <w:rFonts w:ascii="Times New Roman"/>
                      <w:color w:val="000000" w:themeColor="text1"/>
                      <w:sz w:val="21"/>
                      <w:szCs w:val="21"/>
                      <w:highlight w:val="none"/>
                      <w:lang w:val="zh-CN"/>
                      <w14:textFill>
                        <w14:solidFill>
                          <w14:schemeClr w14:val="tx1"/>
                        </w14:solidFill>
                      </w14:textFill>
                    </w:rPr>
                    <w:t>厂区边界</w:t>
                  </w:r>
                  <w:r>
                    <w:rPr>
                      <w:rFonts w:hint="eastAsia"/>
                      <w:color w:val="000000" w:themeColor="text1"/>
                      <w:sz w:val="21"/>
                      <w:szCs w:val="21"/>
                      <w:highlight w:val="none"/>
                      <w:lang w:val="en-US" w:eastAsia="zh-CN"/>
                      <w14:textFill>
                        <w14:solidFill>
                          <w14:schemeClr w14:val="tx1"/>
                        </w14:solidFill>
                      </w14:textFill>
                    </w:rPr>
                    <w:t>外1m</w:t>
                  </w:r>
                </w:p>
              </w:tc>
              <w:tc>
                <w:tcPr>
                  <w:tcW w:w="1251" w:type="pct"/>
                  <w:noWrap w:val="0"/>
                  <w:vAlign w:val="center"/>
                </w:tcPr>
                <w:p w14:paraId="75C4CA18">
                  <w:pPr>
                    <w:spacing w:line="240" w:lineRule="auto"/>
                    <w:ind w:firstLine="0" w:firstLineChars="0"/>
                    <w:jc w:val="center"/>
                    <w:rPr>
                      <w:rFonts w:ascii="Times New Roman"/>
                      <w:color w:val="000000" w:themeColor="text1"/>
                      <w:kern w:val="2"/>
                      <w:sz w:val="21"/>
                      <w:szCs w:val="21"/>
                      <w:highlight w:val="none"/>
                      <w14:textFill>
                        <w14:solidFill>
                          <w14:schemeClr w14:val="tx1"/>
                        </w14:solidFill>
                      </w14:textFill>
                    </w:rPr>
                  </w:pPr>
                  <w:r>
                    <w:rPr>
                      <w:rFonts w:ascii="Times New Roman" w:eastAsia="新宋体"/>
                      <w:color w:val="000000" w:themeColor="text1"/>
                      <w:kern w:val="2"/>
                      <w:sz w:val="21"/>
                      <w:szCs w:val="21"/>
                      <w:highlight w:val="none"/>
                      <w14:textFill>
                        <w14:solidFill>
                          <w14:schemeClr w14:val="tx1"/>
                        </w14:solidFill>
                      </w14:textFill>
                    </w:rPr>
                    <w:t>等效连续A声级</w:t>
                  </w:r>
                </w:p>
              </w:tc>
              <w:tc>
                <w:tcPr>
                  <w:tcW w:w="485" w:type="pct"/>
                  <w:noWrap w:val="0"/>
                  <w:vAlign w:val="center"/>
                </w:tcPr>
                <w:p w14:paraId="75D8CBA6">
                  <w:pPr>
                    <w:spacing w:line="240" w:lineRule="exact"/>
                    <w:ind w:firstLine="0" w:firstLineChars="0"/>
                    <w:jc w:val="center"/>
                    <w:rPr>
                      <w:rFonts w:hint="default" w:ascii="Times New Roman" w:eastAsia="宋体"/>
                      <w:color w:val="000000" w:themeColor="text1"/>
                      <w:kern w:val="2"/>
                      <w:sz w:val="21"/>
                      <w:szCs w:val="21"/>
                      <w:highlight w:val="none"/>
                      <w:lang w:val="en-US" w:eastAsia="zh-CN"/>
                      <w14:textFill>
                        <w14:solidFill>
                          <w14:schemeClr w14:val="tx1"/>
                        </w14:solidFill>
                      </w14:textFill>
                    </w:rPr>
                  </w:pPr>
                  <w:r>
                    <w:rPr>
                      <w:rFonts w:ascii="Times New Roman"/>
                      <w:color w:val="000000" w:themeColor="text1"/>
                      <w:sz w:val="21"/>
                      <w:szCs w:val="21"/>
                      <w:highlight w:val="none"/>
                      <w14:textFill>
                        <w14:solidFill>
                          <w14:schemeClr w14:val="tx1"/>
                        </w14:solidFill>
                      </w14:textFill>
                    </w:rPr>
                    <w:t>季</w:t>
                  </w:r>
                  <w:r>
                    <w:rPr>
                      <w:rFonts w:hint="eastAsia"/>
                      <w:color w:val="000000" w:themeColor="text1"/>
                      <w:sz w:val="21"/>
                      <w:szCs w:val="21"/>
                      <w:highlight w:val="none"/>
                      <w:lang w:eastAsia="zh-CN"/>
                      <w14:textFill>
                        <w14:solidFill>
                          <w14:schemeClr w14:val="tx1"/>
                        </w14:solidFill>
                      </w14:textFill>
                    </w:rPr>
                    <w:t>，</w:t>
                  </w:r>
                  <w:r>
                    <w:rPr>
                      <w:rFonts w:hint="eastAsia"/>
                      <w:color w:val="000000" w:themeColor="text1"/>
                      <w:sz w:val="21"/>
                      <w:szCs w:val="21"/>
                      <w:highlight w:val="none"/>
                      <w:lang w:val="en-US" w:eastAsia="zh-CN"/>
                      <w14:textFill>
                        <w14:solidFill>
                          <w14:schemeClr w14:val="tx1"/>
                        </w14:solidFill>
                      </w14:textFill>
                    </w:rPr>
                    <w:t>每次昼夜各一次</w:t>
                  </w:r>
                </w:p>
              </w:tc>
              <w:tc>
                <w:tcPr>
                  <w:tcW w:w="1229" w:type="pct"/>
                  <w:noWrap w:val="0"/>
                  <w:vAlign w:val="center"/>
                </w:tcPr>
                <w:p w14:paraId="529F83A2">
                  <w:pPr>
                    <w:spacing w:line="240" w:lineRule="auto"/>
                    <w:ind w:firstLine="0" w:firstLineChars="0"/>
                    <w:jc w:val="center"/>
                    <w:rPr>
                      <w:rFonts w:ascii="Times New Roman"/>
                      <w:color w:val="000000" w:themeColor="text1"/>
                      <w:kern w:val="2"/>
                      <w:sz w:val="21"/>
                      <w:szCs w:val="21"/>
                      <w:highlight w:val="none"/>
                      <w14:textFill>
                        <w14:solidFill>
                          <w14:schemeClr w14:val="tx1"/>
                        </w14:solidFill>
                      </w14:textFill>
                    </w:rPr>
                  </w:pPr>
                  <w:r>
                    <w:rPr>
                      <w:rFonts w:ascii="Times New Roman"/>
                      <w:color w:val="000000" w:themeColor="text1"/>
                      <w:kern w:val="2"/>
                      <w:sz w:val="21"/>
                      <w:szCs w:val="21"/>
                      <w:highlight w:val="none"/>
                      <w14:textFill>
                        <w14:solidFill>
                          <w14:schemeClr w14:val="tx1"/>
                        </w14:solidFill>
                      </w14:textFill>
                    </w:rPr>
                    <w:t>《工业企业厂界环境噪声排放标准》（GB12348-2008）3类标准</w:t>
                  </w:r>
                </w:p>
              </w:tc>
              <w:tc>
                <w:tcPr>
                  <w:tcW w:w="409" w:type="pct"/>
                  <w:noWrap w:val="0"/>
                  <w:vAlign w:val="center"/>
                </w:tcPr>
                <w:p w14:paraId="05DCC782">
                  <w:pPr>
                    <w:spacing w:line="240" w:lineRule="auto"/>
                    <w:ind w:firstLine="0" w:firstLineChars="0"/>
                    <w:jc w:val="center"/>
                    <w:rPr>
                      <w:rFonts w:ascii="Times New Roman"/>
                      <w:color w:val="000000" w:themeColor="text1"/>
                      <w:kern w:val="2"/>
                      <w:sz w:val="21"/>
                      <w:szCs w:val="21"/>
                      <w:highlight w:val="none"/>
                      <w14:textFill>
                        <w14:solidFill>
                          <w14:schemeClr w14:val="tx1"/>
                        </w14:solidFill>
                      </w14:textFill>
                    </w:rPr>
                  </w:pPr>
                </w:p>
              </w:tc>
            </w:tr>
          </w:tbl>
          <w:p w14:paraId="3363B4BB">
            <w:pPr>
              <w:spacing w:line="360" w:lineRule="auto"/>
              <w:ind w:firstLine="482" w:firstLineChars="200"/>
              <w:rPr>
                <w:rFonts w:hint="default" w:ascii="Times New Roman" w:hAnsi="Times New Roman" w:cs="Times New Roman"/>
                <w:b/>
                <w:color w:val="000000" w:themeColor="text1"/>
                <w:sz w:val="24"/>
                <w:highlight w:val="none"/>
                <w14:textFill>
                  <w14:solidFill>
                    <w14:schemeClr w14:val="tx1"/>
                  </w14:solidFill>
                </w14:textFill>
              </w:rPr>
            </w:pPr>
            <w:r>
              <w:rPr>
                <w:rFonts w:hint="eastAsia" w:cs="Times New Roman"/>
                <w:b/>
                <w:bCs/>
                <w:color w:val="000000" w:themeColor="text1"/>
                <w:sz w:val="24"/>
                <w:highlight w:val="none"/>
                <w:lang w:val="en-US" w:eastAsia="zh-CN"/>
                <w14:textFill>
                  <w14:solidFill>
                    <w14:schemeClr w14:val="tx1"/>
                  </w14:solidFill>
                </w14:textFill>
              </w:rPr>
              <w:t>9.</w:t>
            </w:r>
            <w:r>
              <w:rPr>
                <w:rFonts w:hint="default" w:ascii="Times New Roman" w:hAnsi="Times New Roman" w:eastAsia="宋体" w:cs="Times New Roman"/>
                <w:b/>
                <w:bCs/>
                <w:color w:val="000000" w:themeColor="text1"/>
                <w:sz w:val="24"/>
                <w:highlight w:val="none"/>
                <w14:textFill>
                  <w14:solidFill>
                    <w14:schemeClr w14:val="tx1"/>
                  </w14:solidFill>
                </w14:textFill>
              </w:rPr>
              <w:t>环保投资</w:t>
            </w:r>
            <w:r>
              <w:rPr>
                <w:rFonts w:hint="default" w:ascii="Times New Roman" w:hAnsi="Times New Roman" w:cs="Times New Roman"/>
                <w:b/>
                <w:bCs/>
                <w:color w:val="000000" w:themeColor="text1"/>
                <w:sz w:val="24"/>
                <w:highlight w:val="none"/>
                <w:lang w:val="en-US" w:eastAsia="zh-CN"/>
                <w14:textFill>
                  <w14:solidFill>
                    <w14:schemeClr w14:val="tx1"/>
                  </w14:solidFill>
                </w14:textFill>
              </w:rPr>
              <w:t>及</w:t>
            </w:r>
            <w:r>
              <w:rPr>
                <w:rFonts w:hint="default" w:ascii="Times New Roman" w:hAnsi="Times New Roman" w:cs="Times New Roman"/>
                <w:b/>
                <w:color w:val="000000" w:themeColor="text1"/>
                <w:sz w:val="24"/>
                <w:highlight w:val="none"/>
                <w14:textFill>
                  <w14:solidFill>
                    <w14:schemeClr w14:val="tx1"/>
                  </w14:solidFill>
                </w14:textFill>
              </w:rPr>
              <w:t>“三同时”</w:t>
            </w:r>
          </w:p>
          <w:p w14:paraId="1FB7599B">
            <w:pPr>
              <w:spacing w:line="360" w:lineRule="auto"/>
              <w:ind w:firstLine="480" w:firstLineChars="20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本项目总投资</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13014.3</w:t>
            </w:r>
            <w:r>
              <w:rPr>
                <w:rFonts w:hint="default" w:ascii="Times New Roman" w:hAnsi="Times New Roman" w:eastAsia="宋体" w:cs="Times New Roman"/>
                <w:color w:val="000000" w:themeColor="text1"/>
                <w:sz w:val="24"/>
                <w:highlight w:val="none"/>
                <w14:textFill>
                  <w14:solidFill>
                    <w14:schemeClr w14:val="tx1"/>
                  </w14:solidFill>
                </w14:textFill>
              </w:rPr>
              <w:t>万元，其中环保投资为</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655.5</w:t>
            </w:r>
            <w:r>
              <w:rPr>
                <w:rFonts w:hint="default" w:ascii="Times New Roman" w:hAnsi="Times New Roman" w:eastAsia="宋体" w:cs="Times New Roman"/>
                <w:color w:val="000000" w:themeColor="text1"/>
                <w:sz w:val="24"/>
                <w:highlight w:val="none"/>
                <w14:textFill>
                  <w14:solidFill>
                    <w14:schemeClr w14:val="tx1"/>
                  </w14:solidFill>
                </w14:textFill>
              </w:rPr>
              <w:t>万元，占总投资额的</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5.04</w:t>
            </w:r>
            <w:r>
              <w:rPr>
                <w:rFonts w:hint="default" w:ascii="Times New Roman" w:hAnsi="Times New Roman" w:eastAsia="宋体" w:cs="Times New Roman"/>
                <w:color w:val="000000" w:themeColor="text1"/>
                <w:sz w:val="24"/>
                <w:highlight w:val="none"/>
                <w14:textFill>
                  <w14:solidFill>
                    <w14:schemeClr w14:val="tx1"/>
                  </w14:solidFill>
                </w14:textFill>
              </w:rPr>
              <w:t>%，</w:t>
            </w:r>
            <w:r>
              <w:rPr>
                <w:rFonts w:hint="default" w:ascii="Times New Roman" w:hAnsi="Times New Roman" w:cs="Times New Roman"/>
                <w:color w:val="000000" w:themeColor="text1"/>
                <w:sz w:val="24"/>
                <w:highlight w:val="none"/>
                <w14:textFill>
                  <w14:solidFill>
                    <w14:schemeClr w14:val="tx1"/>
                  </w14:solidFill>
                </w14:textFill>
              </w:rPr>
              <w:t>本项目必须严格执行“三同时”制度，即环保设施必须与主体工程同时设计、同时施工、同时投入使用。</w:t>
            </w:r>
            <w:r>
              <w:rPr>
                <w:rFonts w:hint="default" w:ascii="Times New Roman" w:hAnsi="Times New Roman" w:eastAsia="宋体" w:cs="Times New Roman"/>
                <w:color w:val="000000" w:themeColor="text1"/>
                <w:sz w:val="24"/>
                <w:highlight w:val="none"/>
                <w14:textFill>
                  <w14:solidFill>
                    <w14:schemeClr w14:val="tx1"/>
                  </w14:solidFill>
                </w14:textFill>
              </w:rPr>
              <w:t>具体</w:t>
            </w:r>
            <w:r>
              <w:rPr>
                <w:rFonts w:hint="default" w:ascii="Times New Roman" w:hAnsi="Times New Roman" w:eastAsia="宋体" w:cs="Times New Roman"/>
                <w:bCs/>
                <w:color w:val="000000" w:themeColor="text1"/>
                <w:sz w:val="24"/>
                <w:highlight w:val="none"/>
                <w14:textFill>
                  <w14:solidFill>
                    <w14:schemeClr w14:val="tx1"/>
                  </w14:solidFill>
                </w14:textFill>
              </w:rPr>
              <w:t>环保投资</w:t>
            </w:r>
            <w:r>
              <w:rPr>
                <w:rFonts w:hint="default" w:ascii="Times New Roman" w:hAnsi="Times New Roman" w:cs="Times New Roman"/>
                <w:bCs/>
                <w:color w:val="000000" w:themeColor="text1"/>
                <w:sz w:val="24"/>
                <w:highlight w:val="none"/>
                <w:lang w:val="en-US" w:eastAsia="zh-CN"/>
                <w14:textFill>
                  <w14:solidFill>
                    <w14:schemeClr w14:val="tx1"/>
                  </w14:solidFill>
                </w14:textFill>
              </w:rPr>
              <w:t>及环保措施</w:t>
            </w:r>
            <w:r>
              <w:rPr>
                <w:rFonts w:hint="default" w:ascii="Times New Roman" w:hAnsi="Times New Roman" w:eastAsia="宋体" w:cs="Times New Roman"/>
                <w:bCs/>
                <w:color w:val="000000" w:themeColor="text1"/>
                <w:sz w:val="24"/>
                <w:highlight w:val="none"/>
                <w14:textFill>
                  <w14:solidFill>
                    <w14:schemeClr w14:val="tx1"/>
                  </w14:solidFill>
                </w14:textFill>
              </w:rPr>
              <w:t>见下</w:t>
            </w:r>
            <w:r>
              <w:rPr>
                <w:rFonts w:hint="default" w:ascii="Times New Roman" w:hAnsi="Times New Roman" w:eastAsia="宋体" w:cs="Times New Roman"/>
                <w:color w:val="000000" w:themeColor="text1"/>
                <w:sz w:val="24"/>
                <w:highlight w:val="none"/>
                <w14:textFill>
                  <w14:solidFill>
                    <w14:schemeClr w14:val="tx1"/>
                  </w14:solidFill>
                </w14:textFill>
              </w:rPr>
              <w:t>表。</w:t>
            </w:r>
          </w:p>
          <w:p w14:paraId="7DD4A840">
            <w:pPr>
              <w:ind w:firstLine="482" w:firstLineChars="200"/>
              <w:jc w:val="center"/>
              <w:rPr>
                <w:rFonts w:hint="default" w:ascii="Times New Roman" w:hAnsi="Times New Roman" w:cs="Times New Roman"/>
                <w:b/>
                <w:color w:val="000000" w:themeColor="text1"/>
                <w:sz w:val="24"/>
                <w:highlight w:val="none"/>
                <w14:textFill>
                  <w14:solidFill>
                    <w14:schemeClr w14:val="tx1"/>
                  </w14:solidFill>
                </w14:textFill>
              </w:rPr>
            </w:pPr>
            <w:r>
              <w:rPr>
                <w:rFonts w:hint="default" w:ascii="Times New Roman" w:hAnsi="Times New Roman" w:eastAsia="宋体" w:cs="Times New Roman"/>
                <w:b/>
                <w:color w:val="000000" w:themeColor="text1"/>
                <w:sz w:val="24"/>
                <w:highlight w:val="none"/>
                <w14:textFill>
                  <w14:solidFill>
                    <w14:schemeClr w14:val="tx1"/>
                  </w14:solidFill>
                </w14:textFill>
              </w:rPr>
              <w:t>表</w:t>
            </w:r>
            <w:r>
              <w:rPr>
                <w:rFonts w:hint="default" w:ascii="Times New Roman" w:hAnsi="Times New Roman" w:eastAsia="宋体" w:cs="Times New Roman"/>
                <w:b/>
                <w:color w:val="000000" w:themeColor="text1"/>
                <w:sz w:val="24"/>
                <w:highlight w:val="none"/>
                <w:lang w:val="en-US" w:eastAsia="zh-CN"/>
                <w14:textFill>
                  <w14:solidFill>
                    <w14:schemeClr w14:val="tx1"/>
                  </w14:solidFill>
                </w14:textFill>
              </w:rPr>
              <w:t>4-2</w:t>
            </w:r>
            <w:r>
              <w:rPr>
                <w:rFonts w:hint="eastAsia" w:cs="Times New Roman"/>
                <w:b/>
                <w:color w:val="000000" w:themeColor="text1"/>
                <w:sz w:val="24"/>
                <w:highlight w:val="none"/>
                <w:lang w:val="en-US" w:eastAsia="zh-CN"/>
                <w14:textFill>
                  <w14:solidFill>
                    <w14:schemeClr w14:val="tx1"/>
                  </w14:solidFill>
                </w14:textFill>
              </w:rPr>
              <w:t>7</w:t>
            </w:r>
            <w:r>
              <w:rPr>
                <w:rFonts w:hint="default" w:ascii="Times New Roman" w:hAnsi="Times New Roman" w:eastAsia="宋体" w:cs="Times New Roman"/>
                <w:b/>
                <w:color w:val="000000" w:themeColor="text1"/>
                <w:sz w:val="24"/>
                <w:highlight w:val="none"/>
                <w14:textFill>
                  <w14:solidFill>
                    <w14:schemeClr w14:val="tx1"/>
                  </w14:solidFill>
                </w14:textFill>
              </w:rPr>
              <w:t>环</w:t>
            </w:r>
            <w:r>
              <w:rPr>
                <w:rFonts w:hint="default" w:ascii="Times New Roman" w:hAnsi="Times New Roman" w:cs="Times New Roman"/>
                <w:b/>
                <w:color w:val="000000" w:themeColor="text1"/>
                <w:sz w:val="24"/>
                <w:highlight w:val="none"/>
                <w14:textFill>
                  <w14:solidFill>
                    <w14:schemeClr w14:val="tx1"/>
                  </w14:solidFill>
                </w14:textFill>
              </w:rPr>
              <w:t>保</w:t>
            </w:r>
            <w:r>
              <w:rPr>
                <w:rFonts w:hint="default" w:ascii="Times New Roman" w:hAnsi="Times New Roman" w:cs="Times New Roman"/>
                <w:b/>
                <w:color w:val="000000" w:themeColor="text1"/>
                <w:sz w:val="24"/>
                <w:highlight w:val="none"/>
                <w:lang w:val="en-US" w:eastAsia="zh-CN"/>
                <w14:textFill>
                  <w14:solidFill>
                    <w14:schemeClr w14:val="tx1"/>
                  </w14:solidFill>
                </w14:textFill>
              </w:rPr>
              <w:t>措施及环保</w:t>
            </w:r>
            <w:r>
              <w:rPr>
                <w:rFonts w:hint="default" w:ascii="Times New Roman" w:hAnsi="Times New Roman" w:cs="Times New Roman"/>
                <w:b/>
                <w:color w:val="000000" w:themeColor="text1"/>
                <w:sz w:val="24"/>
                <w:highlight w:val="none"/>
                <w14:textFill>
                  <w14:solidFill>
                    <w14:schemeClr w14:val="tx1"/>
                  </w14:solidFill>
                </w14:textFill>
              </w:rPr>
              <w:t>投资一览表</w:t>
            </w:r>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5"/>
              <w:gridCol w:w="641"/>
              <w:gridCol w:w="1080"/>
              <w:gridCol w:w="4689"/>
              <w:gridCol w:w="941"/>
            </w:tblGrid>
            <w:tr w14:paraId="56F8C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374" w:type="pct"/>
                  <w:noWrap w:val="0"/>
                  <w:vAlign w:val="center"/>
                </w:tcPr>
                <w:p w14:paraId="3CDF1C75">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序号</w:t>
                  </w:r>
                </w:p>
              </w:tc>
              <w:tc>
                <w:tcPr>
                  <w:tcW w:w="403" w:type="pct"/>
                  <w:noWrap w:val="0"/>
                  <w:vAlign w:val="center"/>
                </w:tcPr>
                <w:p w14:paraId="55356244">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类别</w:t>
                  </w:r>
                </w:p>
              </w:tc>
              <w:tc>
                <w:tcPr>
                  <w:tcW w:w="679" w:type="pct"/>
                  <w:noWrap w:val="0"/>
                  <w:vAlign w:val="center"/>
                </w:tcPr>
                <w:p w14:paraId="4B31EA03">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污染源</w:t>
                  </w:r>
                </w:p>
              </w:tc>
              <w:tc>
                <w:tcPr>
                  <w:tcW w:w="2949" w:type="pct"/>
                  <w:noWrap w:val="0"/>
                  <w:vAlign w:val="center"/>
                </w:tcPr>
                <w:p w14:paraId="5704D375">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治理措施名称</w:t>
                  </w:r>
                </w:p>
              </w:tc>
              <w:tc>
                <w:tcPr>
                  <w:tcW w:w="592" w:type="pct"/>
                  <w:noWrap w:val="0"/>
                  <w:vAlign w:val="center"/>
                </w:tcPr>
                <w:p w14:paraId="0C8C5242">
                  <w:pPr>
                    <w:adjustRightInd w:val="0"/>
                    <w:snapToGrid w:val="0"/>
                    <w:spacing w:line="240" w:lineRule="auto"/>
                    <w:jc w:val="cente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环保投资</w:t>
                  </w:r>
                  <w:r>
                    <w:rPr>
                      <w:rFonts w:hint="default" w:ascii="Times New Roman" w:hAnsi="Times New Roman" w:cs="Times New Roman"/>
                      <w:b w:val="0"/>
                      <w:bCs w:val="0"/>
                      <w:color w:val="000000" w:themeColor="text1"/>
                      <w:sz w:val="21"/>
                      <w:szCs w:val="21"/>
                      <w:highlight w:val="none"/>
                      <w:lang w:eastAsia="zh-CN"/>
                      <w14:textFill>
                        <w14:solidFill>
                          <w14:schemeClr w14:val="tx1"/>
                        </w14:solidFill>
                      </w14:textFill>
                    </w:rPr>
                    <w:t>（</w:t>
                  </w:r>
                  <w:r>
                    <w:rPr>
                      <w:rFonts w:hint="default" w:ascii="Times New Roman" w:hAnsi="Times New Roman" w:cs="Times New Roman"/>
                      <w:b w:val="0"/>
                      <w:bCs w:val="0"/>
                      <w:color w:val="000000" w:themeColor="text1"/>
                      <w:sz w:val="21"/>
                      <w:szCs w:val="21"/>
                      <w:highlight w:val="none"/>
                      <w14:textFill>
                        <w14:solidFill>
                          <w14:schemeClr w14:val="tx1"/>
                        </w14:solidFill>
                      </w14:textFill>
                    </w:rPr>
                    <w:t>万元</w:t>
                  </w:r>
                  <w:r>
                    <w:rPr>
                      <w:rFonts w:hint="default" w:ascii="Times New Roman" w:hAnsi="Times New Roman" w:cs="Times New Roman"/>
                      <w:b w:val="0"/>
                      <w:bCs w:val="0"/>
                      <w:color w:val="000000" w:themeColor="text1"/>
                      <w:sz w:val="21"/>
                      <w:szCs w:val="21"/>
                      <w:highlight w:val="none"/>
                      <w:lang w:eastAsia="zh-CN"/>
                      <w14:textFill>
                        <w14:solidFill>
                          <w14:schemeClr w14:val="tx1"/>
                        </w14:solidFill>
                      </w14:textFill>
                    </w:rPr>
                    <w:t>）</w:t>
                  </w:r>
                </w:p>
              </w:tc>
            </w:tr>
            <w:tr w14:paraId="1942C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374" w:type="pct"/>
                  <w:vMerge w:val="restart"/>
                  <w:noWrap w:val="0"/>
                  <w:vAlign w:val="center"/>
                </w:tcPr>
                <w:p w14:paraId="2D78C104">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1</w:t>
                  </w:r>
                </w:p>
              </w:tc>
              <w:tc>
                <w:tcPr>
                  <w:tcW w:w="403" w:type="pct"/>
                  <w:vMerge w:val="restart"/>
                  <w:noWrap w:val="0"/>
                  <w:vAlign w:val="center"/>
                </w:tcPr>
                <w:p w14:paraId="0E5B57C5">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大气污</w:t>
                  </w:r>
                </w:p>
                <w:p w14:paraId="2604B1B9">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染物</w:t>
                  </w:r>
                </w:p>
              </w:tc>
              <w:tc>
                <w:tcPr>
                  <w:tcW w:w="679" w:type="pct"/>
                  <w:noWrap w:val="0"/>
                  <w:vAlign w:val="center"/>
                </w:tcPr>
                <w:p w14:paraId="35F0E833">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原料粉</w:t>
                  </w:r>
                  <w:r>
                    <w:rPr>
                      <w:rFonts w:hint="default" w:ascii="Times New Roman" w:hAnsi="Times New Roman" w:cs="Times New Roman"/>
                      <w:b w:val="0"/>
                      <w:bCs w:val="0"/>
                      <w:color w:val="000000" w:themeColor="text1"/>
                      <w:sz w:val="21"/>
                      <w:szCs w:val="21"/>
                      <w:highlight w:val="none"/>
                      <w14:textFill>
                        <w14:solidFill>
                          <w14:schemeClr w14:val="tx1"/>
                        </w14:solidFill>
                      </w14:textFill>
                    </w:rPr>
                    <w:t>仓尘</w:t>
                  </w:r>
                </w:p>
              </w:tc>
              <w:tc>
                <w:tcPr>
                  <w:tcW w:w="2949" w:type="pct"/>
                  <w:noWrap w:val="0"/>
                  <w:vAlign w:val="center"/>
                </w:tcPr>
                <w:p w14:paraId="57AB701B">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2个</w:t>
                  </w:r>
                  <w:r>
                    <w:rPr>
                      <w:rFonts w:hint="eastAsia" w:cs="Times New Roman"/>
                      <w:b w:val="0"/>
                      <w:bCs w:val="0"/>
                      <w:color w:val="000000" w:themeColor="text1"/>
                      <w:sz w:val="21"/>
                      <w:szCs w:val="21"/>
                      <w:highlight w:val="none"/>
                      <w:lang w:val="en-US" w:eastAsia="zh-CN"/>
                      <w14:textFill>
                        <w14:solidFill>
                          <w14:schemeClr w14:val="tx1"/>
                        </w14:solidFill>
                      </w14:textFill>
                    </w:rPr>
                    <w:t>原料粉</w:t>
                  </w:r>
                  <w:r>
                    <w:rPr>
                      <w:rFonts w:hint="default" w:ascii="Times New Roman" w:hAnsi="Times New Roman" w:cs="Times New Roman"/>
                      <w:b w:val="0"/>
                      <w:bCs w:val="0"/>
                      <w:color w:val="000000" w:themeColor="text1"/>
                      <w:sz w:val="21"/>
                      <w:szCs w:val="21"/>
                      <w:highlight w:val="none"/>
                      <w14:textFill>
                        <w14:solidFill>
                          <w14:schemeClr w14:val="tx1"/>
                        </w14:solidFill>
                      </w14:textFill>
                    </w:rPr>
                    <w:t>仓均各配置一台仓顶</w:t>
                  </w:r>
                  <w:r>
                    <w:rPr>
                      <w:rFonts w:hint="eastAsia" w:cs="Times New Roman"/>
                      <w:b w:val="0"/>
                      <w:bCs w:val="0"/>
                      <w:color w:val="000000" w:themeColor="text1"/>
                      <w:sz w:val="21"/>
                      <w:szCs w:val="21"/>
                      <w:highlight w:val="none"/>
                      <w:lang w:val="en-US" w:eastAsia="zh-CN"/>
                      <w14:textFill>
                        <w14:solidFill>
                          <w14:schemeClr w14:val="tx1"/>
                        </w14:solidFill>
                      </w14:textFill>
                    </w:rPr>
                    <w:t>布袋</w:t>
                  </w:r>
                  <w:r>
                    <w:rPr>
                      <w:rFonts w:hint="default" w:ascii="Times New Roman" w:hAnsi="Times New Roman" w:cs="Times New Roman"/>
                      <w:b w:val="0"/>
                      <w:bCs w:val="0"/>
                      <w:color w:val="000000" w:themeColor="text1"/>
                      <w:sz w:val="21"/>
                      <w:szCs w:val="21"/>
                      <w:highlight w:val="none"/>
                      <w14:textFill>
                        <w14:solidFill>
                          <w14:schemeClr w14:val="tx1"/>
                        </w14:solidFill>
                      </w14:textFill>
                    </w:rPr>
                    <w:t>除尘器（除尘效率99%），通过高</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42</w:t>
                  </w:r>
                  <w:r>
                    <w:rPr>
                      <w:rFonts w:hint="default" w:ascii="Times New Roman" w:hAnsi="Times New Roman" w:cs="Times New Roman"/>
                      <w:b w:val="0"/>
                      <w:bCs w:val="0"/>
                      <w:color w:val="000000" w:themeColor="text1"/>
                      <w:sz w:val="21"/>
                      <w:szCs w:val="21"/>
                      <w:highlight w:val="none"/>
                      <w14:textFill>
                        <w14:solidFill>
                          <w14:schemeClr w14:val="tx1"/>
                        </w14:solidFill>
                      </w14:textFill>
                    </w:rPr>
                    <w:t>m</w:t>
                  </w:r>
                  <w:r>
                    <w:rPr>
                      <w:rFonts w:hint="eastAsia" w:cs="Times New Roman"/>
                      <w:b w:val="0"/>
                      <w:bCs w:val="0"/>
                      <w:color w:val="000000" w:themeColor="text1"/>
                      <w:sz w:val="21"/>
                      <w:szCs w:val="21"/>
                      <w:highlight w:val="none"/>
                      <w:lang w:val="en-US" w:eastAsia="zh-CN"/>
                      <w14:textFill>
                        <w14:solidFill>
                          <w14:schemeClr w14:val="tx1"/>
                        </w14:solidFill>
                      </w14:textFill>
                    </w:rPr>
                    <w:t>高的</w:t>
                  </w:r>
                  <w:r>
                    <w:rPr>
                      <w:rFonts w:hint="eastAsia" w:cs="Times New Roman"/>
                      <w:b w:val="0"/>
                      <w:bCs w:val="0"/>
                      <w:color w:val="000000" w:themeColor="text1"/>
                      <w:sz w:val="21"/>
                      <w:szCs w:val="21"/>
                      <w:highlight w:val="none"/>
                      <w:lang w:eastAsia="zh-CN"/>
                      <w14:textFill>
                        <w14:solidFill>
                          <w14:schemeClr w14:val="tx1"/>
                        </w14:solidFill>
                      </w14:textFill>
                    </w:rPr>
                    <w:t>排气</w:t>
                  </w:r>
                  <w:r>
                    <w:rPr>
                      <w:rFonts w:hint="eastAsia" w:cs="Times New Roman"/>
                      <w:b w:val="0"/>
                      <w:bCs w:val="0"/>
                      <w:color w:val="000000" w:themeColor="text1"/>
                      <w:sz w:val="21"/>
                      <w:szCs w:val="21"/>
                      <w:highlight w:val="none"/>
                      <w:lang w:val="en-US" w:eastAsia="zh-CN"/>
                      <w14:textFill>
                        <w14:solidFill>
                          <w14:schemeClr w14:val="tx1"/>
                        </w14:solidFill>
                      </w14:textFill>
                    </w:rPr>
                    <w:t>口</w:t>
                  </w:r>
                  <w:r>
                    <w:rPr>
                      <w:rFonts w:hint="default" w:ascii="Times New Roman" w:hAnsi="Times New Roman" w:cs="Times New Roman"/>
                      <w:b w:val="0"/>
                      <w:bCs w:val="0"/>
                      <w:color w:val="000000" w:themeColor="text1"/>
                      <w:sz w:val="21"/>
                      <w:szCs w:val="21"/>
                      <w:highlight w:val="none"/>
                      <w14:textFill>
                        <w14:solidFill>
                          <w14:schemeClr w14:val="tx1"/>
                        </w14:solidFill>
                      </w14:textFill>
                    </w:rPr>
                    <w:t>（</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DA001、DA002</w:t>
                  </w:r>
                  <w:r>
                    <w:rPr>
                      <w:rFonts w:hint="default" w:ascii="Times New Roman" w:hAnsi="Times New Roman" w:cs="Times New Roman"/>
                      <w:b w:val="0"/>
                      <w:bCs w:val="0"/>
                      <w:color w:val="000000" w:themeColor="text1"/>
                      <w:sz w:val="21"/>
                      <w:szCs w:val="21"/>
                      <w:highlight w:val="none"/>
                      <w14:textFill>
                        <w14:solidFill>
                          <w14:schemeClr w14:val="tx1"/>
                        </w14:solidFill>
                      </w14:textFill>
                    </w:rPr>
                    <w:t>）排放。</w:t>
                  </w:r>
                </w:p>
              </w:tc>
              <w:tc>
                <w:tcPr>
                  <w:tcW w:w="592" w:type="pct"/>
                  <w:noWrap w:val="0"/>
                  <w:vAlign w:val="center"/>
                </w:tcPr>
                <w:p w14:paraId="7928FCF3">
                  <w:pPr>
                    <w:adjustRightInd w:val="0"/>
                    <w:snapToGrid w:val="0"/>
                    <w:spacing w:line="240" w:lineRule="auto"/>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20</w:t>
                  </w:r>
                </w:p>
              </w:tc>
            </w:tr>
            <w:tr w14:paraId="62757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374" w:type="pct"/>
                  <w:vMerge w:val="continue"/>
                  <w:noWrap w:val="0"/>
                  <w:vAlign w:val="center"/>
                </w:tcPr>
                <w:p w14:paraId="5B32A223">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p>
              </w:tc>
              <w:tc>
                <w:tcPr>
                  <w:tcW w:w="403" w:type="pct"/>
                  <w:vMerge w:val="continue"/>
                  <w:noWrap w:val="0"/>
                  <w:vAlign w:val="center"/>
                </w:tcPr>
                <w:p w14:paraId="7D6F6D8F">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p>
              </w:tc>
              <w:tc>
                <w:tcPr>
                  <w:tcW w:w="679" w:type="pct"/>
                  <w:noWrap w:val="0"/>
                  <w:vAlign w:val="center"/>
                </w:tcPr>
                <w:p w14:paraId="65DD5D76">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输送转运</w:t>
                  </w:r>
                  <w:r>
                    <w:rPr>
                      <w:rFonts w:hint="default" w:ascii="Times New Roman" w:hAnsi="Times New Roman" w:cs="Times New Roman"/>
                      <w:b w:val="0"/>
                      <w:bCs w:val="0"/>
                      <w:color w:val="000000" w:themeColor="text1"/>
                      <w:sz w:val="21"/>
                      <w:szCs w:val="21"/>
                      <w:highlight w:val="none"/>
                      <w14:textFill>
                        <w14:solidFill>
                          <w14:schemeClr w14:val="tx1"/>
                        </w14:solidFill>
                      </w14:textFill>
                    </w:rPr>
                    <w:t>粉尘</w:t>
                  </w:r>
                </w:p>
              </w:tc>
              <w:tc>
                <w:tcPr>
                  <w:tcW w:w="2949" w:type="pct"/>
                  <w:noWrap w:val="0"/>
                  <w:vAlign w:val="center"/>
                </w:tcPr>
                <w:p w14:paraId="13A27895">
                  <w:pPr>
                    <w:adjustRightInd w:val="0"/>
                    <w:snapToGrid w:val="0"/>
                    <w:spacing w:line="240" w:lineRule="auto"/>
                    <w:jc w:val="both"/>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通过密闭管道收集后由一台</w:t>
                  </w:r>
                  <w:r>
                    <w:rPr>
                      <w:rFonts w:hint="eastAsia" w:cs="Times New Roman"/>
                      <w:b w:val="0"/>
                      <w:bCs w:val="0"/>
                      <w:color w:val="000000" w:themeColor="text1"/>
                      <w:sz w:val="21"/>
                      <w:szCs w:val="21"/>
                      <w:highlight w:val="none"/>
                      <w:lang w:val="en-US" w:eastAsia="zh-CN"/>
                      <w14:textFill>
                        <w14:solidFill>
                          <w14:schemeClr w14:val="tx1"/>
                        </w14:solidFill>
                      </w14:textFill>
                    </w:rPr>
                    <w:t>布袋除尘器（覆膜袋式）</w:t>
                  </w:r>
                  <w:r>
                    <w:rPr>
                      <w:rFonts w:hint="default" w:ascii="Times New Roman" w:hAnsi="Times New Roman" w:cs="Times New Roman"/>
                      <w:b w:val="0"/>
                      <w:bCs w:val="0"/>
                      <w:color w:val="000000" w:themeColor="text1"/>
                      <w:sz w:val="21"/>
                      <w:szCs w:val="21"/>
                      <w:highlight w:val="none"/>
                      <w14:textFill>
                        <w14:solidFill>
                          <w14:schemeClr w14:val="tx1"/>
                        </w14:solidFill>
                      </w14:textFill>
                    </w:rPr>
                    <w:t>（除尘效率99%）除尘后通过</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15</w:t>
                  </w:r>
                  <w:r>
                    <w:rPr>
                      <w:rFonts w:hint="default" w:ascii="Times New Roman" w:hAnsi="Times New Roman" w:cs="Times New Roman"/>
                      <w:b w:val="0"/>
                      <w:bCs w:val="0"/>
                      <w:color w:val="000000" w:themeColor="text1"/>
                      <w:sz w:val="21"/>
                      <w:szCs w:val="21"/>
                      <w:highlight w:val="none"/>
                      <w14:textFill>
                        <w14:solidFill>
                          <w14:schemeClr w14:val="tx1"/>
                        </w14:solidFill>
                      </w14:textFill>
                    </w:rPr>
                    <w:t>m高</w:t>
                  </w:r>
                  <w:r>
                    <w:rPr>
                      <w:rFonts w:hint="eastAsia" w:cs="Times New Roman"/>
                      <w:b w:val="0"/>
                      <w:bCs w:val="0"/>
                      <w:color w:val="000000" w:themeColor="text1"/>
                      <w:sz w:val="21"/>
                      <w:szCs w:val="21"/>
                      <w:highlight w:val="none"/>
                      <w:lang w:eastAsia="zh-CN"/>
                      <w14:textFill>
                        <w14:solidFill>
                          <w14:schemeClr w14:val="tx1"/>
                        </w14:solidFill>
                      </w14:textFill>
                    </w:rPr>
                    <w:t>排气</w:t>
                  </w:r>
                  <w:r>
                    <w:rPr>
                      <w:rFonts w:hint="eastAsia" w:cs="Times New Roman"/>
                      <w:b w:val="0"/>
                      <w:bCs w:val="0"/>
                      <w:color w:val="000000" w:themeColor="text1"/>
                      <w:sz w:val="21"/>
                      <w:szCs w:val="21"/>
                      <w:highlight w:val="none"/>
                      <w:lang w:val="en-US" w:eastAsia="zh-CN"/>
                      <w14:textFill>
                        <w14:solidFill>
                          <w14:schemeClr w14:val="tx1"/>
                        </w14:solidFill>
                      </w14:textFill>
                    </w:rPr>
                    <w:t>口</w:t>
                  </w:r>
                  <w:r>
                    <w:rPr>
                      <w:rFonts w:hint="default" w:ascii="Times New Roman" w:hAnsi="Times New Roman" w:cs="Times New Roman"/>
                      <w:b w:val="0"/>
                      <w:bCs w:val="0"/>
                      <w:color w:val="000000" w:themeColor="text1"/>
                      <w:sz w:val="21"/>
                      <w:szCs w:val="21"/>
                      <w:highlight w:val="none"/>
                      <w14:textFill>
                        <w14:solidFill>
                          <w14:schemeClr w14:val="tx1"/>
                        </w14:solidFill>
                      </w14:textFill>
                    </w:rPr>
                    <w:t>（</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DA003</w:t>
                  </w:r>
                  <w:r>
                    <w:rPr>
                      <w:rFonts w:hint="default" w:ascii="Times New Roman" w:hAnsi="Times New Roman" w:cs="Times New Roman"/>
                      <w:b w:val="0"/>
                      <w:bCs w:val="0"/>
                      <w:color w:val="000000" w:themeColor="text1"/>
                      <w:sz w:val="21"/>
                      <w:szCs w:val="21"/>
                      <w:highlight w:val="none"/>
                      <w14:textFill>
                        <w14:solidFill>
                          <w14:schemeClr w14:val="tx1"/>
                        </w14:solidFill>
                      </w14:textFill>
                    </w:rPr>
                    <w:t>）排放。</w:t>
                  </w:r>
                </w:p>
              </w:tc>
              <w:tc>
                <w:tcPr>
                  <w:tcW w:w="592" w:type="pct"/>
                  <w:noWrap w:val="0"/>
                  <w:vAlign w:val="center"/>
                </w:tcPr>
                <w:p w14:paraId="57AB3F54">
                  <w:pPr>
                    <w:adjustRightInd w:val="0"/>
                    <w:snapToGrid w:val="0"/>
                    <w:spacing w:line="240" w:lineRule="auto"/>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10</w:t>
                  </w:r>
                </w:p>
              </w:tc>
            </w:tr>
            <w:tr w14:paraId="16983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374" w:type="pct"/>
                  <w:vMerge w:val="continue"/>
                  <w:noWrap w:val="0"/>
                  <w:vAlign w:val="center"/>
                </w:tcPr>
                <w:p w14:paraId="6046AC1F">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p>
              </w:tc>
              <w:tc>
                <w:tcPr>
                  <w:tcW w:w="403" w:type="pct"/>
                  <w:vMerge w:val="continue"/>
                  <w:noWrap w:val="0"/>
                  <w:vAlign w:val="center"/>
                </w:tcPr>
                <w:p w14:paraId="23C09993">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p>
              </w:tc>
              <w:tc>
                <w:tcPr>
                  <w:tcW w:w="679" w:type="pct"/>
                  <w:noWrap w:val="0"/>
                  <w:vAlign w:val="center"/>
                </w:tcPr>
                <w:p w14:paraId="503DB5DC">
                  <w:pPr>
                    <w:adjustRightInd w:val="0"/>
                    <w:snapToGrid w:val="0"/>
                    <w:spacing w:line="240" w:lineRule="auto"/>
                    <w:jc w:val="center"/>
                    <w:rPr>
                      <w:rFonts w:hint="default" w:ascii="Times New Roman" w:hAnsi="Times New Roman" w:eastAsia="宋体" w:cs="Times New Roman"/>
                      <w:b w:val="0"/>
                      <w:bCs w:val="0"/>
                      <w:color w:val="000000" w:themeColor="text1"/>
                      <w:spacing w:val="-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窑尾喂料仓卸料</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粉尘</w:t>
                  </w:r>
                </w:p>
              </w:tc>
              <w:tc>
                <w:tcPr>
                  <w:tcW w:w="2949" w:type="pct"/>
                  <w:noWrap w:val="0"/>
                  <w:vAlign w:val="center"/>
                </w:tcPr>
                <w:p w14:paraId="3C8C2359">
                  <w:pPr>
                    <w:adjustRightInd w:val="0"/>
                    <w:snapToGrid w:val="0"/>
                    <w:spacing w:line="240" w:lineRule="auto"/>
                    <w:jc w:val="both"/>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窑尾喂料仓卸料</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粉尘</w:t>
                  </w:r>
                  <w:r>
                    <w:rPr>
                      <w:rFonts w:hint="default" w:ascii="Times New Roman" w:hAnsi="Times New Roman" w:eastAsia="宋体" w:cs="Times New Roman"/>
                      <w:b w:val="0"/>
                      <w:bCs w:val="0"/>
                      <w:color w:val="000000" w:themeColor="text1"/>
                      <w:spacing w:val="-1"/>
                      <w:sz w:val="21"/>
                      <w:szCs w:val="21"/>
                      <w:highlight w:val="none"/>
                      <w:lang w:val="en-US" w:eastAsia="zh-CN"/>
                      <w14:textFill>
                        <w14:solidFill>
                          <w14:schemeClr w14:val="tx1"/>
                        </w14:solidFill>
                      </w14:textFill>
                    </w:rPr>
                    <w:t>产生的废气</w:t>
                  </w:r>
                  <w:r>
                    <w:rPr>
                      <w:rFonts w:hint="default" w:ascii="Times New Roman" w:hAnsi="Times New Roman" w:eastAsia="宋体" w:cs="Times New Roman"/>
                      <w:b w:val="0"/>
                      <w:bCs w:val="0"/>
                      <w:color w:val="000000" w:themeColor="text1"/>
                      <w:kern w:val="0"/>
                      <w:sz w:val="21"/>
                      <w:szCs w:val="21"/>
                      <w:highlight w:val="none"/>
                      <w:lang w:val="en-US" w:eastAsia="zh-CN" w:bidi="ar"/>
                      <w14:textFill>
                        <w14:solidFill>
                          <w14:schemeClr w14:val="tx1"/>
                        </w14:solidFill>
                      </w14:textFill>
                    </w:rPr>
                    <w:t>通过“封闭设备+收集+</w:t>
                  </w:r>
                  <w:r>
                    <w:rPr>
                      <w:rFonts w:hint="eastAsia" w:cs="Times New Roman"/>
                      <w:b w:val="0"/>
                      <w:bCs w:val="0"/>
                      <w:color w:val="000000" w:themeColor="text1"/>
                      <w:kern w:val="0"/>
                      <w:sz w:val="21"/>
                      <w:szCs w:val="21"/>
                      <w:highlight w:val="none"/>
                      <w:lang w:val="en-US" w:eastAsia="zh-CN" w:bidi="ar"/>
                      <w14:textFill>
                        <w14:solidFill>
                          <w14:schemeClr w14:val="tx1"/>
                        </w14:solidFill>
                      </w14:textFill>
                    </w:rPr>
                    <w:t>布袋除尘器（覆膜袋式）</w:t>
                  </w:r>
                  <w:r>
                    <w:rPr>
                      <w:rFonts w:hint="default" w:ascii="Times New Roman" w:hAnsi="Times New Roman" w:cs="Times New Roman"/>
                      <w:b w:val="0"/>
                      <w:bCs w:val="0"/>
                      <w:color w:val="000000" w:themeColor="text1"/>
                      <w:sz w:val="21"/>
                      <w:szCs w:val="21"/>
                      <w:highlight w:val="none"/>
                      <w14:textFill>
                        <w14:solidFill>
                          <w14:schemeClr w14:val="tx1"/>
                        </w14:solidFill>
                      </w14:textFill>
                    </w:rPr>
                    <w:t>（除尘效率99%）</w:t>
                  </w:r>
                  <w:r>
                    <w:rPr>
                      <w:rFonts w:hint="default" w:ascii="Times New Roman" w:hAnsi="Times New Roman" w:eastAsia="宋体" w:cs="Times New Roman"/>
                      <w:b w:val="0"/>
                      <w:bCs w:val="0"/>
                      <w:color w:val="000000" w:themeColor="text1"/>
                      <w:kern w:val="0"/>
                      <w:sz w:val="21"/>
                      <w:szCs w:val="21"/>
                      <w:highlight w:val="none"/>
                      <w:lang w:val="en-US" w:eastAsia="zh-CN" w:bidi="ar"/>
                      <w14:textFill>
                        <w14:solidFill>
                          <w14:schemeClr w14:val="tx1"/>
                        </w14:solidFill>
                      </w14:textFill>
                    </w:rPr>
                    <w:t>”处理后经1根</w:t>
                  </w:r>
                  <w:r>
                    <w:rPr>
                      <w:rFonts w:hint="eastAsia" w:cs="Times New Roman"/>
                      <w:b w:val="0"/>
                      <w:bCs w:val="0"/>
                      <w:color w:val="000000" w:themeColor="text1"/>
                      <w:kern w:val="0"/>
                      <w:sz w:val="21"/>
                      <w:szCs w:val="21"/>
                      <w:highlight w:val="none"/>
                      <w:lang w:val="en-US" w:eastAsia="zh-CN" w:bidi="ar"/>
                      <w14:textFill>
                        <w14:solidFill>
                          <w14:schemeClr w14:val="tx1"/>
                        </w14:solidFill>
                      </w14:textFill>
                    </w:rPr>
                    <w:t>3</w:t>
                  </w:r>
                  <w:r>
                    <w:rPr>
                      <w:rFonts w:hint="default" w:ascii="Times New Roman" w:hAnsi="Times New Roman" w:eastAsia="宋体" w:cs="Times New Roman"/>
                      <w:b w:val="0"/>
                      <w:bCs w:val="0"/>
                      <w:color w:val="000000" w:themeColor="text1"/>
                      <w:kern w:val="0"/>
                      <w:sz w:val="21"/>
                      <w:szCs w:val="21"/>
                      <w:highlight w:val="none"/>
                      <w:lang w:val="en-US" w:eastAsia="zh-CN" w:bidi="ar"/>
                      <w14:textFill>
                        <w14:solidFill>
                          <w14:schemeClr w14:val="tx1"/>
                        </w14:solidFill>
                      </w14:textFill>
                    </w:rPr>
                    <w:t>0m高（DA004）</w:t>
                  </w:r>
                  <w:r>
                    <w:rPr>
                      <w:rFonts w:hint="eastAsia" w:cs="Times New Roman"/>
                      <w:b w:val="0"/>
                      <w:bCs w:val="0"/>
                      <w:color w:val="000000" w:themeColor="text1"/>
                      <w:kern w:val="0"/>
                      <w:sz w:val="21"/>
                      <w:szCs w:val="21"/>
                      <w:highlight w:val="none"/>
                      <w:lang w:val="en-US" w:eastAsia="zh-CN" w:bidi="ar"/>
                      <w14:textFill>
                        <w14:solidFill>
                          <w14:schemeClr w14:val="tx1"/>
                        </w14:solidFill>
                      </w14:textFill>
                    </w:rPr>
                    <w:t>排气</w:t>
                  </w:r>
                  <w:r>
                    <w:rPr>
                      <w:rFonts w:hint="eastAsia" w:cs="Times New Roman"/>
                      <w:b w:val="0"/>
                      <w:bCs w:val="0"/>
                      <w:color w:val="000000" w:themeColor="text1"/>
                      <w:sz w:val="21"/>
                      <w:szCs w:val="21"/>
                      <w:highlight w:val="none"/>
                      <w:lang w:val="en-US" w:eastAsia="zh-CN"/>
                      <w14:textFill>
                        <w14:solidFill>
                          <w14:schemeClr w14:val="tx1"/>
                        </w14:solidFill>
                      </w14:textFill>
                    </w:rPr>
                    <w:t>口</w:t>
                  </w:r>
                  <w:r>
                    <w:rPr>
                      <w:rFonts w:hint="default" w:ascii="Times New Roman" w:hAnsi="Times New Roman" w:eastAsia="宋体" w:cs="Times New Roman"/>
                      <w:b w:val="0"/>
                      <w:bCs w:val="0"/>
                      <w:color w:val="000000" w:themeColor="text1"/>
                      <w:kern w:val="0"/>
                      <w:sz w:val="21"/>
                      <w:szCs w:val="21"/>
                      <w:highlight w:val="none"/>
                      <w:lang w:val="en-US" w:eastAsia="zh-CN" w:bidi="ar"/>
                      <w14:textFill>
                        <w14:solidFill>
                          <w14:schemeClr w14:val="tx1"/>
                        </w14:solidFill>
                      </w14:textFill>
                    </w:rPr>
                    <w:t>排放；</w:t>
                  </w:r>
                </w:p>
              </w:tc>
              <w:tc>
                <w:tcPr>
                  <w:tcW w:w="592" w:type="pct"/>
                  <w:noWrap w:val="0"/>
                  <w:vAlign w:val="center"/>
                </w:tcPr>
                <w:p w14:paraId="78983308">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10</w:t>
                  </w:r>
                </w:p>
              </w:tc>
            </w:tr>
            <w:tr w14:paraId="505CF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374" w:type="pct"/>
                  <w:vMerge w:val="continue"/>
                  <w:noWrap w:val="0"/>
                  <w:vAlign w:val="center"/>
                </w:tcPr>
                <w:p w14:paraId="0B58E0D1">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p>
              </w:tc>
              <w:tc>
                <w:tcPr>
                  <w:tcW w:w="403" w:type="pct"/>
                  <w:vMerge w:val="continue"/>
                  <w:noWrap w:val="0"/>
                  <w:vAlign w:val="center"/>
                </w:tcPr>
                <w:p w14:paraId="7FEF4320">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p>
              </w:tc>
              <w:tc>
                <w:tcPr>
                  <w:tcW w:w="679" w:type="pct"/>
                  <w:noWrap w:val="0"/>
                  <w:vAlign w:val="center"/>
                </w:tcPr>
                <w:p w14:paraId="7FA42F3C">
                  <w:pPr>
                    <w:adjustRightInd w:val="0"/>
                    <w:snapToGrid w:val="0"/>
                    <w:spacing w:line="240" w:lineRule="auto"/>
                    <w:jc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窑尾提升机卸料粉尘</w:t>
                  </w:r>
                </w:p>
              </w:tc>
              <w:tc>
                <w:tcPr>
                  <w:tcW w:w="2949" w:type="pct"/>
                  <w:noWrap w:val="0"/>
                  <w:vAlign w:val="center"/>
                </w:tcPr>
                <w:p w14:paraId="7281AB8A">
                  <w:pPr>
                    <w:adjustRightInd w:val="0"/>
                    <w:snapToGrid w:val="0"/>
                    <w:spacing w:line="240" w:lineRule="auto"/>
                    <w:jc w:val="both"/>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窑尾提升机卸料粉尘</w:t>
                  </w:r>
                  <w:r>
                    <w:rPr>
                      <w:rFonts w:hint="default" w:ascii="Times New Roman" w:hAnsi="Times New Roman" w:eastAsia="宋体" w:cs="Times New Roman"/>
                      <w:b w:val="0"/>
                      <w:bCs w:val="0"/>
                      <w:color w:val="000000" w:themeColor="text1"/>
                      <w:kern w:val="0"/>
                      <w:sz w:val="21"/>
                      <w:szCs w:val="21"/>
                      <w:highlight w:val="none"/>
                      <w:lang w:val="en-US" w:eastAsia="zh-CN" w:bidi="ar"/>
                      <w14:textFill>
                        <w14:solidFill>
                          <w14:schemeClr w14:val="tx1"/>
                        </w14:solidFill>
                      </w14:textFill>
                    </w:rPr>
                    <w:t>通过“封闭设备+收集+</w:t>
                  </w:r>
                  <w:r>
                    <w:rPr>
                      <w:rFonts w:hint="eastAsia" w:cs="Times New Roman"/>
                      <w:b w:val="0"/>
                      <w:bCs w:val="0"/>
                      <w:color w:val="000000" w:themeColor="text1"/>
                      <w:kern w:val="0"/>
                      <w:sz w:val="21"/>
                      <w:szCs w:val="21"/>
                      <w:highlight w:val="none"/>
                      <w:lang w:val="en-US" w:eastAsia="zh-CN" w:bidi="ar"/>
                      <w14:textFill>
                        <w14:solidFill>
                          <w14:schemeClr w14:val="tx1"/>
                        </w14:solidFill>
                      </w14:textFill>
                    </w:rPr>
                    <w:t>布袋除尘器（覆膜袋式）</w:t>
                  </w:r>
                  <w:r>
                    <w:rPr>
                      <w:rFonts w:hint="default" w:ascii="Times New Roman" w:hAnsi="Times New Roman" w:cs="Times New Roman"/>
                      <w:b w:val="0"/>
                      <w:bCs w:val="0"/>
                      <w:color w:val="000000" w:themeColor="text1"/>
                      <w:sz w:val="21"/>
                      <w:szCs w:val="21"/>
                      <w:highlight w:val="none"/>
                      <w14:textFill>
                        <w14:solidFill>
                          <w14:schemeClr w14:val="tx1"/>
                        </w14:solidFill>
                      </w14:textFill>
                    </w:rPr>
                    <w:t>（除尘效率99%）</w:t>
                  </w:r>
                  <w:r>
                    <w:rPr>
                      <w:rFonts w:hint="default" w:ascii="Times New Roman" w:hAnsi="Times New Roman" w:eastAsia="宋体" w:cs="Times New Roman"/>
                      <w:b w:val="0"/>
                      <w:bCs w:val="0"/>
                      <w:color w:val="000000" w:themeColor="text1"/>
                      <w:kern w:val="0"/>
                      <w:sz w:val="21"/>
                      <w:szCs w:val="21"/>
                      <w:highlight w:val="none"/>
                      <w:lang w:val="en-US" w:eastAsia="zh-CN" w:bidi="ar"/>
                      <w14:textFill>
                        <w14:solidFill>
                          <w14:schemeClr w14:val="tx1"/>
                        </w14:solidFill>
                      </w14:textFill>
                    </w:rPr>
                    <w:t>”处理后经1根</w:t>
                  </w:r>
                  <w:r>
                    <w:rPr>
                      <w:rFonts w:hint="eastAsia" w:cs="Times New Roman"/>
                      <w:b w:val="0"/>
                      <w:bCs w:val="0"/>
                      <w:color w:val="000000" w:themeColor="text1"/>
                      <w:kern w:val="0"/>
                      <w:sz w:val="21"/>
                      <w:szCs w:val="21"/>
                      <w:highlight w:val="none"/>
                      <w:lang w:val="en-US" w:eastAsia="zh-CN" w:bidi="ar"/>
                      <w14:textFill>
                        <w14:solidFill>
                          <w14:schemeClr w14:val="tx1"/>
                        </w14:solidFill>
                      </w14:textFill>
                    </w:rPr>
                    <w:t>9</w:t>
                  </w:r>
                  <w:r>
                    <w:rPr>
                      <w:rFonts w:hint="default" w:ascii="Times New Roman" w:hAnsi="Times New Roman" w:eastAsia="宋体" w:cs="Times New Roman"/>
                      <w:b w:val="0"/>
                      <w:bCs w:val="0"/>
                      <w:color w:val="000000" w:themeColor="text1"/>
                      <w:kern w:val="0"/>
                      <w:sz w:val="21"/>
                      <w:szCs w:val="21"/>
                      <w:highlight w:val="none"/>
                      <w:lang w:val="en-US" w:eastAsia="zh-CN" w:bidi="ar"/>
                      <w14:textFill>
                        <w14:solidFill>
                          <w14:schemeClr w14:val="tx1"/>
                        </w14:solidFill>
                      </w14:textFill>
                    </w:rPr>
                    <w:t>0m高（DA00</w:t>
                  </w:r>
                  <w:r>
                    <w:rPr>
                      <w:rFonts w:hint="default" w:ascii="Times New Roman" w:hAnsi="Times New Roman" w:cs="Times New Roman"/>
                      <w:b w:val="0"/>
                      <w:bCs w:val="0"/>
                      <w:color w:val="000000" w:themeColor="text1"/>
                      <w:kern w:val="0"/>
                      <w:sz w:val="21"/>
                      <w:szCs w:val="21"/>
                      <w:highlight w:val="none"/>
                      <w:lang w:val="en-US" w:eastAsia="zh-CN" w:bidi="ar"/>
                      <w14:textFill>
                        <w14:solidFill>
                          <w14:schemeClr w14:val="tx1"/>
                        </w14:solidFill>
                      </w14:textFill>
                    </w:rPr>
                    <w:t>5</w:t>
                  </w:r>
                  <w:r>
                    <w:rPr>
                      <w:rFonts w:hint="default" w:ascii="Times New Roman" w:hAnsi="Times New Roman" w:eastAsia="宋体" w:cs="Times New Roman"/>
                      <w:b w:val="0"/>
                      <w:bCs w:val="0"/>
                      <w:color w:val="000000" w:themeColor="text1"/>
                      <w:kern w:val="0"/>
                      <w:sz w:val="21"/>
                      <w:szCs w:val="21"/>
                      <w:highlight w:val="none"/>
                      <w:lang w:val="en-US" w:eastAsia="zh-CN" w:bidi="ar"/>
                      <w14:textFill>
                        <w14:solidFill>
                          <w14:schemeClr w14:val="tx1"/>
                        </w14:solidFill>
                      </w14:textFill>
                    </w:rPr>
                    <w:t>）</w:t>
                  </w:r>
                  <w:r>
                    <w:rPr>
                      <w:rFonts w:hint="eastAsia" w:cs="Times New Roman"/>
                      <w:b w:val="0"/>
                      <w:bCs w:val="0"/>
                      <w:color w:val="000000" w:themeColor="text1"/>
                      <w:kern w:val="0"/>
                      <w:sz w:val="21"/>
                      <w:szCs w:val="21"/>
                      <w:highlight w:val="none"/>
                      <w:lang w:val="en-US" w:eastAsia="zh-CN" w:bidi="ar"/>
                      <w14:textFill>
                        <w14:solidFill>
                          <w14:schemeClr w14:val="tx1"/>
                        </w14:solidFill>
                      </w14:textFill>
                    </w:rPr>
                    <w:t>排气</w:t>
                  </w:r>
                  <w:r>
                    <w:rPr>
                      <w:rFonts w:hint="eastAsia" w:cs="Times New Roman"/>
                      <w:b w:val="0"/>
                      <w:bCs w:val="0"/>
                      <w:color w:val="000000" w:themeColor="text1"/>
                      <w:sz w:val="21"/>
                      <w:szCs w:val="21"/>
                      <w:highlight w:val="none"/>
                      <w:lang w:val="en-US" w:eastAsia="zh-CN"/>
                      <w14:textFill>
                        <w14:solidFill>
                          <w14:schemeClr w14:val="tx1"/>
                        </w14:solidFill>
                      </w14:textFill>
                    </w:rPr>
                    <w:t>口</w:t>
                  </w:r>
                  <w:r>
                    <w:rPr>
                      <w:rFonts w:hint="default" w:ascii="Times New Roman" w:hAnsi="Times New Roman" w:eastAsia="宋体" w:cs="Times New Roman"/>
                      <w:b w:val="0"/>
                      <w:bCs w:val="0"/>
                      <w:color w:val="000000" w:themeColor="text1"/>
                      <w:kern w:val="0"/>
                      <w:sz w:val="21"/>
                      <w:szCs w:val="21"/>
                      <w:highlight w:val="none"/>
                      <w:lang w:val="en-US" w:eastAsia="zh-CN" w:bidi="ar"/>
                      <w14:textFill>
                        <w14:solidFill>
                          <w14:schemeClr w14:val="tx1"/>
                        </w14:solidFill>
                      </w14:textFill>
                    </w:rPr>
                    <w:t>排放；</w:t>
                  </w:r>
                </w:p>
              </w:tc>
              <w:tc>
                <w:tcPr>
                  <w:tcW w:w="592" w:type="pct"/>
                  <w:noWrap w:val="0"/>
                  <w:vAlign w:val="center"/>
                </w:tcPr>
                <w:p w14:paraId="0BEB31DD">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10</w:t>
                  </w:r>
                </w:p>
              </w:tc>
            </w:tr>
            <w:tr w14:paraId="79EB4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374" w:type="pct"/>
                  <w:vMerge w:val="continue"/>
                  <w:noWrap w:val="0"/>
                  <w:vAlign w:val="center"/>
                </w:tcPr>
                <w:p w14:paraId="53801E34">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p>
              </w:tc>
              <w:tc>
                <w:tcPr>
                  <w:tcW w:w="403" w:type="pct"/>
                  <w:vMerge w:val="continue"/>
                  <w:noWrap w:val="0"/>
                  <w:vAlign w:val="center"/>
                </w:tcPr>
                <w:p w14:paraId="0F2ACA81">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p>
              </w:tc>
              <w:tc>
                <w:tcPr>
                  <w:tcW w:w="679" w:type="pct"/>
                  <w:noWrap w:val="0"/>
                  <w:vAlign w:val="center"/>
                </w:tcPr>
                <w:p w14:paraId="0C41C8A7">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回转窑及窑尾</w:t>
                  </w:r>
                  <w:r>
                    <w:rPr>
                      <w:rFonts w:hint="eastAsia" w:cs="Times New Roman"/>
                      <w:b w:val="0"/>
                      <w:bCs w:val="0"/>
                      <w:color w:val="000000" w:themeColor="text1"/>
                      <w:sz w:val="21"/>
                      <w:szCs w:val="21"/>
                      <w:highlight w:val="none"/>
                      <w:lang w:val="en-US" w:eastAsia="zh-CN"/>
                      <w14:textFill>
                        <w14:solidFill>
                          <w14:schemeClr w14:val="tx1"/>
                        </w14:solidFill>
                      </w14:textFill>
                    </w:rPr>
                    <w:t>焙烧</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烟气</w:t>
                  </w:r>
                </w:p>
              </w:tc>
              <w:tc>
                <w:tcPr>
                  <w:tcW w:w="2949" w:type="pct"/>
                  <w:noWrap w:val="0"/>
                  <w:vAlign w:val="center"/>
                </w:tcPr>
                <w:p w14:paraId="15F557F8">
                  <w:pPr>
                    <w:adjustRightInd w:val="0"/>
                    <w:snapToGrid w:val="0"/>
                    <w:spacing w:line="240" w:lineRule="auto"/>
                    <w:jc w:val="both"/>
                    <w:rPr>
                      <w:rFonts w:hint="default" w:ascii="Times New Roman" w:hAnsi="Times New Roman" w:cs="Times New Roman"/>
                      <w:b w:val="0"/>
                      <w:bCs w:val="0"/>
                      <w:color w:val="000000" w:themeColor="text1"/>
                      <w:sz w:val="21"/>
                      <w:szCs w:val="21"/>
                      <w:highlight w:val="none"/>
                      <w:lang w:val="en-US"/>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采用“</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分级燃烧+缺氧燃烧+烟气再循环（FGR）”组合</w:t>
                  </w:r>
                  <w:r>
                    <w:rPr>
                      <w:rFonts w:hint="eastAsia" w:cs="Times New Roman"/>
                      <w:color w:val="000000" w:themeColor="text1"/>
                      <w:sz w:val="21"/>
                      <w:szCs w:val="21"/>
                      <w:highlight w:val="none"/>
                      <w:lang w:val="en-US" w:eastAsia="zh-CN"/>
                      <w14:textFill>
                        <w14:solidFill>
                          <w14:schemeClr w14:val="tx1"/>
                        </w14:solidFill>
                      </w14:textFill>
                    </w:rPr>
                    <w:t>低氮燃烧后的</w:t>
                  </w:r>
                  <w:r>
                    <w:rPr>
                      <w:rFonts w:hint="eastAsia" w:cs="Times New Roman"/>
                      <w:b w:val="0"/>
                      <w:bCs w:val="0"/>
                      <w:color w:val="000000" w:themeColor="text1"/>
                      <w:spacing w:val="-1"/>
                      <w:sz w:val="21"/>
                      <w:szCs w:val="21"/>
                      <w:highlight w:val="none"/>
                      <w:lang w:val="en-US" w:eastAsia="zh-CN"/>
                      <w14:textFill>
                        <w14:solidFill>
                          <w14:schemeClr w14:val="tx1"/>
                        </w14:solidFill>
                      </w14:textFill>
                    </w:rPr>
                    <w:t>烟气</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经余热</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锅炉</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+脱硝装置（</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SNCR</w:t>
                  </w:r>
                  <w:r>
                    <w:rPr>
                      <w:rFonts w:hint="default" w:ascii="Times New Roman" w:hAnsi="Times New Roman" w:eastAsia="宋体" w:cs="Times New Roman"/>
                      <w:b w:val="0"/>
                      <w:bCs w:val="0"/>
                      <w:color w:val="000000" w:themeColor="text1"/>
                      <w:kern w:val="0"/>
                      <w:sz w:val="21"/>
                      <w:szCs w:val="21"/>
                      <w:highlight w:val="none"/>
                      <w:lang w:val="en-US" w:eastAsia="zh-CN" w:bidi="ar"/>
                      <w14:textFill>
                        <w14:solidFill>
                          <w14:schemeClr w14:val="tx1"/>
                        </w14:solidFill>
                      </w14:textFill>
                    </w:rPr>
                    <w:t>，</w:t>
                  </w:r>
                  <w:r>
                    <w:rPr>
                      <w:rFonts w:hint="eastAsia" w:cs="Times New Roman"/>
                      <w:b w:val="0"/>
                      <w:bCs w:val="0"/>
                      <w:color w:val="000000" w:themeColor="text1"/>
                      <w:kern w:val="0"/>
                      <w:sz w:val="21"/>
                      <w:szCs w:val="21"/>
                      <w:highlight w:val="none"/>
                      <w:lang w:val="en-US" w:eastAsia="zh-CN" w:bidi="ar"/>
                      <w14:textFill>
                        <w14:solidFill>
                          <w14:schemeClr w14:val="tx1"/>
                        </w14:solidFill>
                      </w14:textFill>
                    </w:rPr>
                    <w:t>综合</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脱硝效率</w:t>
                  </w:r>
                  <w:r>
                    <w:rPr>
                      <w:rFonts w:hint="eastAsia" w:cs="Times New Roman"/>
                      <w:b w:val="0"/>
                      <w:bCs w:val="0"/>
                      <w:color w:val="000000" w:themeColor="text1"/>
                      <w:sz w:val="21"/>
                      <w:szCs w:val="21"/>
                      <w:highlight w:val="none"/>
                      <w:lang w:val="en-US" w:eastAsia="zh-CN"/>
                      <w14:textFill>
                        <w14:solidFill>
                          <w14:schemeClr w14:val="tx1"/>
                        </w14:solidFill>
                      </w14:textFill>
                    </w:rPr>
                    <w:t>50</w:t>
                  </w:r>
                  <w:r>
                    <w:rPr>
                      <w:rFonts w:hint="default" w:ascii="Times New Roman" w:hAnsi="Times New Roman" w:eastAsia="宋体" w:cs="Times New Roman"/>
                      <w:b w:val="0"/>
                      <w:bCs w:val="0"/>
                      <w:color w:val="000000" w:themeColor="text1"/>
                      <w:kern w:val="0"/>
                      <w:sz w:val="21"/>
                      <w:szCs w:val="21"/>
                      <w:highlight w:val="none"/>
                      <w:lang w:val="en-US" w:eastAsia="zh-CN" w:bidi="ar"/>
                      <w14:textFill>
                        <w14:solidFill>
                          <w14:schemeClr w14:val="tx1"/>
                        </w14:solidFill>
                      </w14:textFill>
                    </w:rPr>
                    <w:t>%以上</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w:t>
                  </w:r>
                  <w:r>
                    <w:rPr>
                      <w:rFonts w:hint="eastAsia" w:cs="Times New Roman"/>
                      <w:b w:val="0"/>
                      <w:bCs w:val="0"/>
                      <w:color w:val="000000" w:themeColor="text1"/>
                      <w:sz w:val="21"/>
                      <w:szCs w:val="21"/>
                      <w:highlight w:val="none"/>
                      <w:lang w:val="en-US" w:eastAsia="zh-CN"/>
                      <w14:textFill>
                        <w14:solidFill>
                          <w14:schemeClr w14:val="tx1"/>
                        </w14:solidFill>
                      </w14:textFill>
                    </w:rPr>
                    <w:t>布袋除尘器（覆膜袋式）</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除尘</w:t>
                  </w:r>
                  <w:r>
                    <w:rPr>
                      <w:rFonts w:hint="default" w:ascii="Times New Roman" w:hAnsi="Times New Roman" w:cs="Times New Roman"/>
                      <w:b w:val="0"/>
                      <w:bCs w:val="0"/>
                      <w:color w:val="000000" w:themeColor="text1"/>
                      <w:sz w:val="21"/>
                      <w:szCs w:val="21"/>
                      <w:highlight w:val="none"/>
                      <w14:textFill>
                        <w14:solidFill>
                          <w14:schemeClr w14:val="tx1"/>
                        </w14:solidFill>
                      </w14:textFill>
                    </w:rPr>
                    <w:t>（除尘效率99%）</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+石灰石-石膏法装置</w:t>
                  </w:r>
                  <w:r>
                    <w:rPr>
                      <w:rFonts w:hint="default" w:ascii="Times New Roman" w:hAnsi="Times New Roman" w:cs="Times New Roman"/>
                      <w:b w:val="0"/>
                      <w:bCs w:val="0"/>
                      <w:color w:val="000000" w:themeColor="text1"/>
                      <w:sz w:val="21"/>
                      <w:szCs w:val="21"/>
                      <w:highlight w:val="none"/>
                      <w14:textFill>
                        <w14:solidFill>
                          <w14:schemeClr w14:val="tx1"/>
                        </w14:solidFill>
                      </w14:textFill>
                    </w:rPr>
                    <w:t>（</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脱硫</w:t>
                  </w:r>
                  <w:r>
                    <w:rPr>
                      <w:rFonts w:hint="default" w:ascii="Times New Roman" w:hAnsi="Times New Roman" w:cs="Times New Roman"/>
                      <w:b w:val="0"/>
                      <w:bCs w:val="0"/>
                      <w:color w:val="000000" w:themeColor="text1"/>
                      <w:sz w:val="21"/>
                      <w:szCs w:val="21"/>
                      <w:highlight w:val="none"/>
                      <w14:textFill>
                        <w14:solidFill>
                          <w14:schemeClr w14:val="tx1"/>
                        </w14:solidFill>
                      </w14:textFill>
                    </w:rPr>
                    <w:t>效率</w:t>
                  </w:r>
                  <w:r>
                    <w:rPr>
                      <w:rFonts w:hint="eastAsia" w:cs="Times New Roman"/>
                      <w:b w:val="0"/>
                      <w:bCs w:val="0"/>
                      <w:color w:val="000000" w:themeColor="text1"/>
                      <w:sz w:val="21"/>
                      <w:szCs w:val="21"/>
                      <w:highlight w:val="none"/>
                      <w:lang w:val="en-US" w:eastAsia="zh-CN"/>
                      <w14:textFill>
                        <w14:solidFill>
                          <w14:schemeClr w14:val="tx1"/>
                        </w14:solidFill>
                      </w14:textFill>
                    </w:rPr>
                    <w:t>90</w:t>
                  </w:r>
                  <w:r>
                    <w:rPr>
                      <w:rFonts w:hint="default" w:ascii="Times New Roman" w:hAnsi="Times New Roman" w:cs="Times New Roman"/>
                      <w:b w:val="0"/>
                      <w:bCs w:val="0"/>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val="0"/>
                      <w:color w:val="000000" w:themeColor="text1"/>
                      <w:kern w:val="0"/>
                      <w:sz w:val="21"/>
                      <w:szCs w:val="21"/>
                      <w:highlight w:val="none"/>
                      <w:lang w:val="en-US" w:eastAsia="zh-CN" w:bidi="ar"/>
                      <w14:textFill>
                        <w14:solidFill>
                          <w14:schemeClr w14:val="tx1"/>
                        </w14:solidFill>
                      </w14:textFill>
                    </w:rPr>
                    <w:t>以上</w:t>
                  </w:r>
                  <w:r>
                    <w:rPr>
                      <w:rFonts w:hint="default" w:ascii="Times New Roman" w:hAnsi="Times New Roman" w:cs="Times New Roman"/>
                      <w:b w:val="0"/>
                      <w:bCs w:val="0"/>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脱硫后通过</w:t>
                  </w:r>
                  <w:r>
                    <w:rPr>
                      <w:rFonts w:hint="eastAsia" w:cs="Times New Roman"/>
                      <w:b w:val="0"/>
                      <w:bCs w:val="0"/>
                      <w:color w:val="000000" w:themeColor="text1"/>
                      <w:sz w:val="21"/>
                      <w:szCs w:val="21"/>
                      <w:highlight w:val="none"/>
                      <w:lang w:val="en-US" w:eastAsia="zh-CN"/>
                      <w14:textFill>
                        <w14:solidFill>
                          <w14:schemeClr w14:val="tx1"/>
                        </w14:solidFill>
                      </w14:textFill>
                    </w:rPr>
                    <w:t>42m</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高</w:t>
                  </w:r>
                  <w:r>
                    <w:rPr>
                      <w:rFonts w:hint="eastAsia" w:cs="Times New Roman"/>
                      <w:b w:val="0"/>
                      <w:bCs w:val="0"/>
                      <w:color w:val="000000" w:themeColor="text1"/>
                      <w:sz w:val="21"/>
                      <w:szCs w:val="21"/>
                      <w:highlight w:val="none"/>
                      <w:lang w:val="en-US" w:eastAsia="zh-CN"/>
                      <w14:textFill>
                        <w14:solidFill>
                          <w14:schemeClr w14:val="tx1"/>
                        </w14:solidFill>
                      </w14:textFill>
                    </w:rPr>
                    <w:t>排气口</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（DA006）达标排放。</w:t>
                  </w:r>
                </w:p>
              </w:tc>
              <w:tc>
                <w:tcPr>
                  <w:tcW w:w="592" w:type="pct"/>
                  <w:noWrap w:val="0"/>
                  <w:vAlign w:val="center"/>
                </w:tcPr>
                <w:p w14:paraId="1A30A4B3">
                  <w:pPr>
                    <w:adjustRightInd w:val="0"/>
                    <w:snapToGrid w:val="0"/>
                    <w:spacing w:line="240" w:lineRule="auto"/>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400</w:t>
                  </w:r>
                </w:p>
              </w:tc>
            </w:tr>
            <w:tr w14:paraId="4F182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374" w:type="pct"/>
                  <w:vMerge w:val="continue"/>
                  <w:noWrap w:val="0"/>
                  <w:vAlign w:val="center"/>
                </w:tcPr>
                <w:p w14:paraId="4B6FCFE3">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p>
              </w:tc>
              <w:tc>
                <w:tcPr>
                  <w:tcW w:w="403" w:type="pct"/>
                  <w:vMerge w:val="continue"/>
                  <w:noWrap w:val="0"/>
                  <w:vAlign w:val="center"/>
                </w:tcPr>
                <w:p w14:paraId="62AEFB45">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p>
              </w:tc>
              <w:tc>
                <w:tcPr>
                  <w:tcW w:w="679" w:type="pct"/>
                  <w:noWrap w:val="0"/>
                  <w:vAlign w:val="center"/>
                </w:tcPr>
                <w:p w14:paraId="7770D9EB">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分选（打散机）废气</w:t>
                  </w:r>
                </w:p>
              </w:tc>
              <w:tc>
                <w:tcPr>
                  <w:tcW w:w="2949" w:type="pct"/>
                  <w:noWrap w:val="0"/>
                  <w:vAlign w:val="center"/>
                </w:tcPr>
                <w:p w14:paraId="0164AB06">
                  <w:pPr>
                    <w:adjustRightInd w:val="0"/>
                    <w:snapToGrid w:val="0"/>
                    <w:spacing w:line="240" w:lineRule="auto"/>
                    <w:jc w:val="both"/>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通过密闭管道收集后由一台</w:t>
                  </w:r>
                  <w:r>
                    <w:rPr>
                      <w:rFonts w:hint="eastAsia" w:cs="Times New Roman"/>
                      <w:b w:val="0"/>
                      <w:bCs w:val="0"/>
                      <w:color w:val="000000" w:themeColor="text1"/>
                      <w:sz w:val="21"/>
                      <w:szCs w:val="21"/>
                      <w:highlight w:val="none"/>
                      <w:lang w:eastAsia="zh-CN"/>
                      <w14:textFill>
                        <w14:solidFill>
                          <w14:schemeClr w14:val="tx1"/>
                        </w14:solidFill>
                      </w14:textFill>
                    </w:rPr>
                    <w:t>布袋除尘器（覆膜袋式）</w:t>
                  </w:r>
                  <w:r>
                    <w:rPr>
                      <w:rFonts w:hint="default" w:ascii="Times New Roman" w:hAnsi="Times New Roman" w:cs="Times New Roman"/>
                      <w:b w:val="0"/>
                      <w:bCs w:val="0"/>
                      <w:color w:val="000000" w:themeColor="text1"/>
                      <w:sz w:val="21"/>
                      <w:szCs w:val="21"/>
                      <w:highlight w:val="none"/>
                      <w14:textFill>
                        <w14:solidFill>
                          <w14:schemeClr w14:val="tx1"/>
                        </w14:solidFill>
                      </w14:textFill>
                    </w:rPr>
                    <w:t>（除尘效率99%）除尘后通过</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25</w:t>
                  </w:r>
                  <w:r>
                    <w:rPr>
                      <w:rFonts w:hint="default" w:ascii="Times New Roman" w:hAnsi="Times New Roman" w:cs="Times New Roman"/>
                      <w:b w:val="0"/>
                      <w:bCs w:val="0"/>
                      <w:color w:val="000000" w:themeColor="text1"/>
                      <w:sz w:val="21"/>
                      <w:szCs w:val="21"/>
                      <w:highlight w:val="none"/>
                      <w14:textFill>
                        <w14:solidFill>
                          <w14:schemeClr w14:val="tx1"/>
                        </w14:solidFill>
                      </w14:textFill>
                    </w:rPr>
                    <w:t>m高</w:t>
                  </w:r>
                  <w:r>
                    <w:rPr>
                      <w:rFonts w:hint="eastAsia" w:cs="Times New Roman"/>
                      <w:b w:val="0"/>
                      <w:bCs w:val="0"/>
                      <w:color w:val="000000" w:themeColor="text1"/>
                      <w:sz w:val="21"/>
                      <w:szCs w:val="21"/>
                      <w:highlight w:val="none"/>
                      <w:lang w:eastAsia="zh-CN"/>
                      <w14:textFill>
                        <w14:solidFill>
                          <w14:schemeClr w14:val="tx1"/>
                        </w14:solidFill>
                      </w14:textFill>
                    </w:rPr>
                    <w:t>排气</w:t>
                  </w:r>
                  <w:r>
                    <w:rPr>
                      <w:rFonts w:hint="eastAsia" w:cs="Times New Roman"/>
                      <w:b w:val="0"/>
                      <w:bCs w:val="0"/>
                      <w:color w:val="000000" w:themeColor="text1"/>
                      <w:sz w:val="21"/>
                      <w:szCs w:val="21"/>
                      <w:highlight w:val="none"/>
                      <w:lang w:val="en-US" w:eastAsia="zh-CN"/>
                      <w14:textFill>
                        <w14:solidFill>
                          <w14:schemeClr w14:val="tx1"/>
                        </w14:solidFill>
                      </w14:textFill>
                    </w:rPr>
                    <w:t>口</w:t>
                  </w:r>
                  <w:r>
                    <w:rPr>
                      <w:rFonts w:hint="default" w:ascii="Times New Roman" w:hAnsi="Times New Roman" w:cs="Times New Roman"/>
                      <w:b w:val="0"/>
                      <w:bCs w:val="0"/>
                      <w:color w:val="000000" w:themeColor="text1"/>
                      <w:sz w:val="21"/>
                      <w:szCs w:val="21"/>
                      <w:highlight w:val="none"/>
                      <w14:textFill>
                        <w14:solidFill>
                          <w14:schemeClr w14:val="tx1"/>
                        </w14:solidFill>
                      </w14:textFill>
                    </w:rPr>
                    <w:t>（</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DA007</w:t>
                  </w:r>
                  <w:r>
                    <w:rPr>
                      <w:rFonts w:hint="default" w:ascii="Times New Roman" w:hAnsi="Times New Roman" w:cs="Times New Roman"/>
                      <w:b w:val="0"/>
                      <w:bCs w:val="0"/>
                      <w:color w:val="000000" w:themeColor="text1"/>
                      <w:sz w:val="21"/>
                      <w:szCs w:val="21"/>
                      <w:highlight w:val="none"/>
                      <w14:textFill>
                        <w14:solidFill>
                          <w14:schemeClr w14:val="tx1"/>
                        </w14:solidFill>
                      </w14:textFill>
                    </w:rPr>
                    <w:t>）排放。</w:t>
                  </w:r>
                </w:p>
              </w:tc>
              <w:tc>
                <w:tcPr>
                  <w:tcW w:w="592" w:type="pct"/>
                  <w:noWrap w:val="0"/>
                  <w:vAlign w:val="center"/>
                </w:tcPr>
                <w:p w14:paraId="16426A4E">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10</w:t>
                  </w:r>
                </w:p>
              </w:tc>
            </w:tr>
            <w:tr w14:paraId="2EDC3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374" w:type="pct"/>
                  <w:vMerge w:val="continue"/>
                  <w:noWrap w:val="0"/>
                  <w:vAlign w:val="center"/>
                </w:tcPr>
                <w:p w14:paraId="14A08FD4">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p>
              </w:tc>
              <w:tc>
                <w:tcPr>
                  <w:tcW w:w="403" w:type="pct"/>
                  <w:vMerge w:val="continue"/>
                  <w:noWrap w:val="0"/>
                  <w:vAlign w:val="center"/>
                </w:tcPr>
                <w:p w14:paraId="09CD7573">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p>
              </w:tc>
              <w:tc>
                <w:tcPr>
                  <w:tcW w:w="679" w:type="pct"/>
                  <w:noWrap w:val="0"/>
                  <w:vAlign w:val="center"/>
                </w:tcPr>
                <w:p w14:paraId="411C055D">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分选（粉磨）废气</w:t>
                  </w:r>
                </w:p>
              </w:tc>
              <w:tc>
                <w:tcPr>
                  <w:tcW w:w="2949" w:type="pct"/>
                  <w:noWrap w:val="0"/>
                  <w:vAlign w:val="center"/>
                </w:tcPr>
                <w:p w14:paraId="7A5787FD">
                  <w:pPr>
                    <w:adjustRightInd w:val="0"/>
                    <w:snapToGrid w:val="0"/>
                    <w:spacing w:line="240" w:lineRule="auto"/>
                    <w:jc w:val="both"/>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通过密闭管道收集后由一台</w:t>
                  </w:r>
                  <w:r>
                    <w:rPr>
                      <w:rFonts w:hint="eastAsia" w:cs="Times New Roman"/>
                      <w:b w:val="0"/>
                      <w:bCs w:val="0"/>
                      <w:color w:val="000000" w:themeColor="text1"/>
                      <w:sz w:val="21"/>
                      <w:szCs w:val="21"/>
                      <w:highlight w:val="none"/>
                      <w:lang w:eastAsia="zh-CN"/>
                      <w14:textFill>
                        <w14:solidFill>
                          <w14:schemeClr w14:val="tx1"/>
                        </w14:solidFill>
                      </w14:textFill>
                    </w:rPr>
                    <w:t>布袋除尘器（覆膜袋式）</w:t>
                  </w:r>
                  <w:r>
                    <w:rPr>
                      <w:rFonts w:hint="default" w:ascii="Times New Roman" w:hAnsi="Times New Roman" w:cs="Times New Roman"/>
                      <w:b w:val="0"/>
                      <w:bCs w:val="0"/>
                      <w:color w:val="000000" w:themeColor="text1"/>
                      <w:sz w:val="21"/>
                      <w:szCs w:val="21"/>
                      <w:highlight w:val="none"/>
                      <w14:textFill>
                        <w14:solidFill>
                          <w14:schemeClr w14:val="tx1"/>
                        </w14:solidFill>
                      </w14:textFill>
                    </w:rPr>
                    <w:t>（除尘效率99%）除尘后通过</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25</w:t>
                  </w:r>
                  <w:r>
                    <w:rPr>
                      <w:rFonts w:hint="default" w:ascii="Times New Roman" w:hAnsi="Times New Roman" w:cs="Times New Roman"/>
                      <w:b w:val="0"/>
                      <w:bCs w:val="0"/>
                      <w:color w:val="000000" w:themeColor="text1"/>
                      <w:sz w:val="21"/>
                      <w:szCs w:val="21"/>
                      <w:highlight w:val="none"/>
                      <w14:textFill>
                        <w14:solidFill>
                          <w14:schemeClr w14:val="tx1"/>
                        </w14:solidFill>
                      </w14:textFill>
                    </w:rPr>
                    <w:t>m高</w:t>
                  </w:r>
                  <w:r>
                    <w:rPr>
                      <w:rFonts w:hint="eastAsia" w:cs="Times New Roman"/>
                      <w:b w:val="0"/>
                      <w:bCs w:val="0"/>
                      <w:color w:val="000000" w:themeColor="text1"/>
                      <w:sz w:val="21"/>
                      <w:szCs w:val="21"/>
                      <w:highlight w:val="none"/>
                      <w:lang w:eastAsia="zh-CN"/>
                      <w14:textFill>
                        <w14:solidFill>
                          <w14:schemeClr w14:val="tx1"/>
                        </w14:solidFill>
                      </w14:textFill>
                    </w:rPr>
                    <w:t>排气</w:t>
                  </w:r>
                  <w:r>
                    <w:rPr>
                      <w:rFonts w:hint="eastAsia" w:cs="Times New Roman"/>
                      <w:b w:val="0"/>
                      <w:bCs w:val="0"/>
                      <w:color w:val="000000" w:themeColor="text1"/>
                      <w:sz w:val="21"/>
                      <w:szCs w:val="21"/>
                      <w:highlight w:val="none"/>
                      <w:lang w:val="en-US" w:eastAsia="zh-CN"/>
                      <w14:textFill>
                        <w14:solidFill>
                          <w14:schemeClr w14:val="tx1"/>
                        </w14:solidFill>
                      </w14:textFill>
                    </w:rPr>
                    <w:t>口</w:t>
                  </w:r>
                  <w:r>
                    <w:rPr>
                      <w:rFonts w:hint="default" w:ascii="Times New Roman" w:hAnsi="Times New Roman" w:cs="Times New Roman"/>
                      <w:b w:val="0"/>
                      <w:bCs w:val="0"/>
                      <w:color w:val="000000" w:themeColor="text1"/>
                      <w:sz w:val="21"/>
                      <w:szCs w:val="21"/>
                      <w:highlight w:val="none"/>
                      <w14:textFill>
                        <w14:solidFill>
                          <w14:schemeClr w14:val="tx1"/>
                        </w14:solidFill>
                      </w14:textFill>
                    </w:rPr>
                    <w:t>（</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DA008</w:t>
                  </w:r>
                  <w:r>
                    <w:rPr>
                      <w:rFonts w:hint="default" w:ascii="Times New Roman" w:hAnsi="Times New Roman" w:cs="Times New Roman"/>
                      <w:b w:val="0"/>
                      <w:bCs w:val="0"/>
                      <w:color w:val="000000" w:themeColor="text1"/>
                      <w:sz w:val="21"/>
                      <w:szCs w:val="21"/>
                      <w:highlight w:val="none"/>
                      <w14:textFill>
                        <w14:solidFill>
                          <w14:schemeClr w14:val="tx1"/>
                        </w14:solidFill>
                      </w14:textFill>
                    </w:rPr>
                    <w:t>）排放。</w:t>
                  </w:r>
                </w:p>
              </w:tc>
              <w:tc>
                <w:tcPr>
                  <w:tcW w:w="592" w:type="pct"/>
                  <w:noWrap w:val="0"/>
                  <w:vAlign w:val="center"/>
                </w:tcPr>
                <w:p w14:paraId="24EE0BEB">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10</w:t>
                  </w:r>
                </w:p>
              </w:tc>
            </w:tr>
            <w:tr w14:paraId="3B053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374" w:type="pct"/>
                  <w:vMerge w:val="continue"/>
                  <w:noWrap w:val="0"/>
                  <w:vAlign w:val="center"/>
                </w:tcPr>
                <w:p w14:paraId="6493537E">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p>
              </w:tc>
              <w:tc>
                <w:tcPr>
                  <w:tcW w:w="403" w:type="pct"/>
                  <w:vMerge w:val="continue"/>
                  <w:noWrap w:val="0"/>
                  <w:vAlign w:val="center"/>
                </w:tcPr>
                <w:p w14:paraId="44B0F290">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p>
              </w:tc>
              <w:tc>
                <w:tcPr>
                  <w:tcW w:w="679" w:type="pct"/>
                  <w:noWrap w:val="0"/>
                  <w:vAlign w:val="center"/>
                </w:tcPr>
                <w:p w14:paraId="799BC742">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lang w:val="en-US" w:eastAsia="zh-CN" w:bidi="ar"/>
                      <w14:textFill>
                        <w14:solidFill>
                          <w14:schemeClr w14:val="tx1"/>
                        </w14:solidFill>
                      </w14:textFill>
                    </w:rPr>
                    <w:t>大包装及成品筒仓</w:t>
                  </w:r>
                </w:p>
                <w:p w14:paraId="35B455E4">
                  <w:pPr>
                    <w:adjustRightInd w:val="0"/>
                    <w:snapToGrid w:val="0"/>
                    <w:spacing w:line="240" w:lineRule="auto"/>
                    <w:jc w:val="center"/>
                    <w:rPr>
                      <w:rFonts w:hint="default" w:ascii="Times New Roman" w:hAnsi="Times New Roman"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废气</w:t>
                  </w:r>
                </w:p>
              </w:tc>
              <w:tc>
                <w:tcPr>
                  <w:tcW w:w="2949" w:type="pct"/>
                  <w:noWrap w:val="0"/>
                  <w:vAlign w:val="center"/>
                </w:tcPr>
                <w:p w14:paraId="353B9033">
                  <w:pPr>
                    <w:adjustRightInd w:val="0"/>
                    <w:snapToGrid w:val="0"/>
                    <w:spacing w:line="240" w:lineRule="auto"/>
                    <w:jc w:val="both"/>
                    <w:rPr>
                      <w:rFonts w:hint="default" w:ascii="Times New Roman" w:hAnsi="Times New Roman"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lang w:val="en-US" w:eastAsia="zh-CN" w:bidi="ar"/>
                      <w14:textFill>
                        <w14:solidFill>
                          <w14:schemeClr w14:val="tx1"/>
                        </w14:solidFill>
                      </w14:textFill>
                    </w:rPr>
                    <w:t>大包装及成品筒仓采用“封闭设备+高浓度气箱收集+</w:t>
                  </w:r>
                  <w:r>
                    <w:rPr>
                      <w:rFonts w:hint="eastAsia" w:cs="Times New Roman"/>
                      <w:b w:val="0"/>
                      <w:bCs w:val="0"/>
                      <w:color w:val="000000" w:themeColor="text1"/>
                      <w:kern w:val="0"/>
                      <w:sz w:val="21"/>
                      <w:szCs w:val="21"/>
                      <w:highlight w:val="none"/>
                      <w:lang w:val="en-US" w:eastAsia="zh-CN" w:bidi="ar"/>
                      <w14:textFill>
                        <w14:solidFill>
                          <w14:schemeClr w14:val="tx1"/>
                        </w14:solidFill>
                      </w14:textFill>
                    </w:rPr>
                    <w:t>布袋除尘器（覆膜袋式）</w:t>
                  </w:r>
                  <w:r>
                    <w:rPr>
                      <w:rFonts w:hint="default" w:ascii="Times New Roman" w:hAnsi="Times New Roman" w:cs="Times New Roman"/>
                      <w:b w:val="0"/>
                      <w:bCs w:val="0"/>
                      <w:color w:val="000000" w:themeColor="text1"/>
                      <w:sz w:val="21"/>
                      <w:szCs w:val="21"/>
                      <w:highlight w:val="none"/>
                      <w14:textFill>
                        <w14:solidFill>
                          <w14:schemeClr w14:val="tx1"/>
                        </w14:solidFill>
                      </w14:textFill>
                    </w:rPr>
                    <w:t>（除尘效率99%）</w:t>
                  </w:r>
                  <w:r>
                    <w:rPr>
                      <w:rFonts w:hint="default" w:ascii="Times New Roman" w:hAnsi="Times New Roman" w:eastAsia="宋体" w:cs="Times New Roman"/>
                      <w:b w:val="0"/>
                      <w:bCs w:val="0"/>
                      <w:color w:val="000000" w:themeColor="text1"/>
                      <w:kern w:val="0"/>
                      <w:sz w:val="21"/>
                      <w:szCs w:val="21"/>
                      <w:highlight w:val="none"/>
                      <w:lang w:val="en-US" w:eastAsia="zh-CN" w:bidi="ar"/>
                      <w14:textFill>
                        <w14:solidFill>
                          <w14:schemeClr w14:val="tx1"/>
                        </w14:solidFill>
                      </w14:textFill>
                    </w:rPr>
                    <w:t>”处理后经</w:t>
                  </w:r>
                  <w:r>
                    <w:rPr>
                      <w:rFonts w:hint="eastAsia" w:cs="Times New Roman"/>
                      <w:b w:val="0"/>
                      <w:bCs w:val="0"/>
                      <w:color w:val="000000" w:themeColor="text1"/>
                      <w:kern w:val="0"/>
                      <w:sz w:val="21"/>
                      <w:szCs w:val="21"/>
                      <w:highlight w:val="none"/>
                      <w:lang w:val="en-US" w:eastAsia="zh-CN" w:bidi="ar"/>
                      <w14:textFill>
                        <w14:solidFill>
                          <w14:schemeClr w14:val="tx1"/>
                        </w14:solidFill>
                      </w14:textFill>
                    </w:rPr>
                    <w:t>50</w:t>
                  </w:r>
                  <w:r>
                    <w:rPr>
                      <w:rFonts w:hint="default" w:ascii="Times New Roman" w:hAnsi="Times New Roman" w:eastAsia="宋体" w:cs="Times New Roman"/>
                      <w:b w:val="0"/>
                      <w:bCs w:val="0"/>
                      <w:color w:val="000000" w:themeColor="text1"/>
                      <w:kern w:val="0"/>
                      <w:sz w:val="21"/>
                      <w:szCs w:val="21"/>
                      <w:highlight w:val="none"/>
                      <w:lang w:val="en-US" w:eastAsia="zh-CN" w:bidi="ar"/>
                      <w14:textFill>
                        <w14:solidFill>
                          <w14:schemeClr w14:val="tx1"/>
                        </w14:solidFill>
                      </w14:textFill>
                    </w:rPr>
                    <w:t>m高</w:t>
                  </w:r>
                  <w:r>
                    <w:rPr>
                      <w:rFonts w:hint="eastAsia" w:cs="Times New Roman"/>
                      <w:b w:val="0"/>
                      <w:bCs w:val="0"/>
                      <w:color w:val="000000" w:themeColor="text1"/>
                      <w:kern w:val="0"/>
                      <w:sz w:val="21"/>
                      <w:szCs w:val="21"/>
                      <w:highlight w:val="none"/>
                      <w:lang w:val="en-US" w:eastAsia="zh-CN" w:bidi="ar"/>
                      <w14:textFill>
                        <w14:solidFill>
                          <w14:schemeClr w14:val="tx1"/>
                        </w14:solidFill>
                      </w14:textFill>
                    </w:rPr>
                    <w:t>排气</w:t>
                  </w:r>
                  <w:r>
                    <w:rPr>
                      <w:rFonts w:hint="eastAsia" w:cs="Times New Roman"/>
                      <w:b w:val="0"/>
                      <w:bCs w:val="0"/>
                      <w:color w:val="000000" w:themeColor="text1"/>
                      <w:sz w:val="21"/>
                      <w:szCs w:val="21"/>
                      <w:highlight w:val="none"/>
                      <w:lang w:val="en-US" w:eastAsia="zh-CN"/>
                      <w14:textFill>
                        <w14:solidFill>
                          <w14:schemeClr w14:val="tx1"/>
                        </w14:solidFill>
                      </w14:textFill>
                    </w:rPr>
                    <w:t>口</w:t>
                  </w:r>
                  <w:r>
                    <w:rPr>
                      <w:rFonts w:hint="default" w:ascii="Times New Roman" w:hAnsi="Times New Roman" w:eastAsia="宋体" w:cs="Times New Roman"/>
                      <w:b w:val="0"/>
                      <w:bCs w:val="0"/>
                      <w:color w:val="000000" w:themeColor="text1"/>
                      <w:kern w:val="0"/>
                      <w:sz w:val="21"/>
                      <w:szCs w:val="21"/>
                      <w:highlight w:val="none"/>
                      <w:lang w:val="en-US" w:eastAsia="zh-CN" w:bidi="ar"/>
                      <w14:textFill>
                        <w14:solidFill>
                          <w14:schemeClr w14:val="tx1"/>
                        </w14:solidFill>
                      </w14:textFill>
                    </w:rPr>
                    <w:t>（DA00</w:t>
                  </w:r>
                  <w:r>
                    <w:rPr>
                      <w:rFonts w:hint="default" w:ascii="Times New Roman" w:hAnsi="Times New Roman" w:cs="Times New Roman"/>
                      <w:b w:val="0"/>
                      <w:bCs w:val="0"/>
                      <w:color w:val="000000" w:themeColor="text1"/>
                      <w:kern w:val="0"/>
                      <w:sz w:val="21"/>
                      <w:szCs w:val="21"/>
                      <w:highlight w:val="none"/>
                      <w:lang w:val="en-US" w:eastAsia="zh-CN" w:bidi="ar"/>
                      <w14:textFill>
                        <w14:solidFill>
                          <w14:schemeClr w14:val="tx1"/>
                        </w14:solidFill>
                      </w14:textFill>
                    </w:rPr>
                    <w:t>9</w:t>
                  </w:r>
                  <w:r>
                    <w:rPr>
                      <w:rFonts w:hint="default" w:ascii="Times New Roman" w:hAnsi="Times New Roman" w:eastAsia="宋体" w:cs="Times New Roman"/>
                      <w:b w:val="0"/>
                      <w:bCs w:val="0"/>
                      <w:color w:val="000000" w:themeColor="text1"/>
                      <w:kern w:val="0"/>
                      <w:sz w:val="21"/>
                      <w:szCs w:val="21"/>
                      <w:highlight w:val="none"/>
                      <w:lang w:val="en-US" w:eastAsia="zh-CN" w:bidi="ar"/>
                      <w14:textFill>
                        <w14:solidFill>
                          <w14:schemeClr w14:val="tx1"/>
                        </w14:solidFill>
                      </w14:textFill>
                    </w:rPr>
                    <w:t>、DA0</w:t>
                  </w:r>
                  <w:r>
                    <w:rPr>
                      <w:rFonts w:hint="default" w:ascii="Times New Roman" w:hAnsi="Times New Roman" w:cs="Times New Roman"/>
                      <w:b w:val="0"/>
                      <w:bCs w:val="0"/>
                      <w:color w:val="000000" w:themeColor="text1"/>
                      <w:kern w:val="0"/>
                      <w:sz w:val="21"/>
                      <w:szCs w:val="21"/>
                      <w:highlight w:val="none"/>
                      <w:lang w:val="en-US" w:eastAsia="zh-CN" w:bidi="ar"/>
                      <w14:textFill>
                        <w14:solidFill>
                          <w14:schemeClr w14:val="tx1"/>
                        </w14:solidFill>
                      </w14:textFill>
                    </w:rPr>
                    <w:t>10</w:t>
                  </w:r>
                  <w:r>
                    <w:rPr>
                      <w:rFonts w:hint="default" w:ascii="Times New Roman" w:hAnsi="Times New Roman" w:eastAsia="宋体" w:cs="Times New Roman"/>
                      <w:b w:val="0"/>
                      <w:bCs w:val="0"/>
                      <w:color w:val="000000" w:themeColor="text1"/>
                      <w:kern w:val="0"/>
                      <w:sz w:val="21"/>
                      <w:szCs w:val="21"/>
                      <w:highlight w:val="none"/>
                      <w:lang w:val="en-US" w:eastAsia="zh-CN" w:bidi="ar"/>
                      <w14:textFill>
                        <w14:solidFill>
                          <w14:schemeClr w14:val="tx1"/>
                        </w14:solidFill>
                      </w14:textFill>
                    </w:rPr>
                    <w:t>）排放</w:t>
                  </w:r>
                </w:p>
              </w:tc>
              <w:tc>
                <w:tcPr>
                  <w:tcW w:w="592" w:type="pct"/>
                  <w:noWrap w:val="0"/>
                  <w:vAlign w:val="center"/>
                </w:tcPr>
                <w:p w14:paraId="0776EB50">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20</w:t>
                  </w:r>
                </w:p>
              </w:tc>
            </w:tr>
            <w:tr w14:paraId="371AF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374" w:type="pct"/>
                  <w:vMerge w:val="continue"/>
                  <w:noWrap w:val="0"/>
                  <w:vAlign w:val="center"/>
                </w:tcPr>
                <w:p w14:paraId="5ACA72D8">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p>
              </w:tc>
              <w:tc>
                <w:tcPr>
                  <w:tcW w:w="403" w:type="pct"/>
                  <w:vMerge w:val="continue"/>
                  <w:noWrap w:val="0"/>
                  <w:vAlign w:val="center"/>
                </w:tcPr>
                <w:p w14:paraId="642FC0B2">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p>
              </w:tc>
              <w:tc>
                <w:tcPr>
                  <w:tcW w:w="679" w:type="pct"/>
                  <w:noWrap w:val="0"/>
                  <w:vAlign w:val="center"/>
                </w:tcPr>
                <w:p w14:paraId="2449AE3D">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lang w:val="en-US" w:eastAsia="zh-CN" w:bidi="ar"/>
                      <w14:textFill>
                        <w14:solidFill>
                          <w14:schemeClr w14:val="tx1"/>
                        </w14:solidFill>
                      </w14:textFill>
                    </w:rPr>
                    <w:t>大包装</w:t>
                  </w:r>
                </w:p>
                <w:p w14:paraId="156FAEFC">
                  <w:pPr>
                    <w:adjustRightInd w:val="0"/>
                    <w:snapToGrid w:val="0"/>
                    <w:spacing w:line="240" w:lineRule="auto"/>
                    <w:jc w:val="center"/>
                    <w:rPr>
                      <w:rFonts w:hint="default" w:ascii="Times New Roman" w:hAnsi="Times New Roman" w:eastAsia="宋体" w:cs="Times New Roman"/>
                      <w:b w:val="0"/>
                      <w:bCs w:val="0"/>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废气</w:t>
                  </w:r>
                </w:p>
              </w:tc>
              <w:tc>
                <w:tcPr>
                  <w:tcW w:w="2949" w:type="pct"/>
                  <w:noWrap w:val="0"/>
                  <w:vAlign w:val="center"/>
                </w:tcPr>
                <w:p w14:paraId="53EDB7F1">
                  <w:pPr>
                    <w:adjustRightInd w:val="0"/>
                    <w:snapToGrid w:val="0"/>
                    <w:spacing w:line="240" w:lineRule="auto"/>
                    <w:jc w:val="both"/>
                    <w:rPr>
                      <w:rFonts w:hint="default" w:ascii="Times New Roman" w:hAnsi="Times New Roman" w:eastAsia="宋体" w:cs="Times New Roman"/>
                      <w:b w:val="0"/>
                      <w:bCs w:val="0"/>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lang w:val="en-US" w:eastAsia="zh-CN" w:bidi="ar"/>
                      <w14:textFill>
                        <w14:solidFill>
                          <w14:schemeClr w14:val="tx1"/>
                        </w14:solidFill>
                      </w14:textFill>
                    </w:rPr>
                    <w:t>8条大包装生产线产生的粉仓采用“集气罩收集+</w:t>
                  </w:r>
                  <w:r>
                    <w:rPr>
                      <w:rFonts w:hint="eastAsia" w:cs="Times New Roman"/>
                      <w:b w:val="0"/>
                      <w:bCs w:val="0"/>
                      <w:color w:val="000000" w:themeColor="text1"/>
                      <w:kern w:val="0"/>
                      <w:sz w:val="21"/>
                      <w:szCs w:val="21"/>
                      <w:highlight w:val="none"/>
                      <w:lang w:val="en-US" w:eastAsia="zh-CN" w:bidi="ar"/>
                      <w14:textFill>
                        <w14:solidFill>
                          <w14:schemeClr w14:val="tx1"/>
                        </w14:solidFill>
                      </w14:textFill>
                    </w:rPr>
                    <w:t>布袋除尘器（覆膜袋式）</w:t>
                  </w:r>
                  <w:r>
                    <w:rPr>
                      <w:rFonts w:hint="default" w:ascii="Times New Roman" w:hAnsi="Times New Roman" w:cs="Times New Roman"/>
                      <w:b w:val="0"/>
                      <w:bCs w:val="0"/>
                      <w:color w:val="000000" w:themeColor="text1"/>
                      <w:sz w:val="21"/>
                      <w:szCs w:val="21"/>
                      <w:highlight w:val="none"/>
                      <w14:textFill>
                        <w14:solidFill>
                          <w14:schemeClr w14:val="tx1"/>
                        </w14:solidFill>
                      </w14:textFill>
                    </w:rPr>
                    <w:t>（除尘效率99%）</w:t>
                  </w:r>
                  <w:r>
                    <w:rPr>
                      <w:rFonts w:hint="default" w:ascii="Times New Roman" w:hAnsi="Times New Roman" w:eastAsia="宋体" w:cs="Times New Roman"/>
                      <w:b w:val="0"/>
                      <w:bCs w:val="0"/>
                      <w:color w:val="000000" w:themeColor="text1"/>
                      <w:kern w:val="0"/>
                      <w:sz w:val="21"/>
                      <w:szCs w:val="21"/>
                      <w:highlight w:val="none"/>
                      <w:lang w:val="en-US" w:eastAsia="zh-CN" w:bidi="ar"/>
                      <w14:textFill>
                        <w14:solidFill>
                          <w14:schemeClr w14:val="tx1"/>
                        </w14:solidFill>
                      </w14:textFill>
                    </w:rPr>
                    <w:t>”处理后经</w:t>
                  </w:r>
                  <w:r>
                    <w:rPr>
                      <w:rFonts w:hint="eastAsia" w:cs="Times New Roman"/>
                      <w:b w:val="0"/>
                      <w:bCs w:val="0"/>
                      <w:color w:val="000000" w:themeColor="text1"/>
                      <w:kern w:val="0"/>
                      <w:sz w:val="21"/>
                      <w:szCs w:val="21"/>
                      <w:highlight w:val="none"/>
                      <w:lang w:val="en-US" w:eastAsia="zh-CN" w:bidi="ar"/>
                      <w14:textFill>
                        <w14:solidFill>
                          <w14:schemeClr w14:val="tx1"/>
                        </w14:solidFill>
                      </w14:textFill>
                    </w:rPr>
                    <w:t>3</w:t>
                  </w:r>
                  <w:r>
                    <w:rPr>
                      <w:rFonts w:hint="default" w:ascii="Times New Roman" w:hAnsi="Times New Roman" w:eastAsia="宋体" w:cs="Times New Roman"/>
                      <w:b w:val="0"/>
                      <w:bCs w:val="0"/>
                      <w:color w:val="000000" w:themeColor="text1"/>
                      <w:kern w:val="0"/>
                      <w:sz w:val="21"/>
                      <w:szCs w:val="21"/>
                      <w:highlight w:val="none"/>
                      <w:lang w:val="en-US" w:eastAsia="zh-CN" w:bidi="ar"/>
                      <w14:textFill>
                        <w14:solidFill>
                          <w14:schemeClr w14:val="tx1"/>
                        </w14:solidFill>
                      </w14:textFill>
                    </w:rPr>
                    <w:t>0m高</w:t>
                  </w:r>
                  <w:r>
                    <w:rPr>
                      <w:rFonts w:hint="eastAsia" w:cs="Times New Roman"/>
                      <w:b w:val="0"/>
                      <w:bCs w:val="0"/>
                      <w:color w:val="000000" w:themeColor="text1"/>
                      <w:kern w:val="0"/>
                      <w:sz w:val="21"/>
                      <w:szCs w:val="21"/>
                      <w:highlight w:val="none"/>
                      <w:lang w:val="en-US" w:eastAsia="zh-CN" w:bidi="ar"/>
                      <w14:textFill>
                        <w14:solidFill>
                          <w14:schemeClr w14:val="tx1"/>
                        </w14:solidFill>
                      </w14:textFill>
                    </w:rPr>
                    <w:t>排气</w:t>
                  </w:r>
                  <w:r>
                    <w:rPr>
                      <w:rFonts w:hint="eastAsia" w:cs="Times New Roman"/>
                      <w:b w:val="0"/>
                      <w:bCs w:val="0"/>
                      <w:color w:val="000000" w:themeColor="text1"/>
                      <w:sz w:val="21"/>
                      <w:szCs w:val="21"/>
                      <w:highlight w:val="none"/>
                      <w:lang w:val="en-US" w:eastAsia="zh-CN"/>
                      <w14:textFill>
                        <w14:solidFill>
                          <w14:schemeClr w14:val="tx1"/>
                        </w14:solidFill>
                      </w14:textFill>
                    </w:rPr>
                    <w:t>口</w:t>
                  </w:r>
                  <w:r>
                    <w:rPr>
                      <w:rFonts w:hint="default" w:ascii="Times New Roman" w:hAnsi="Times New Roman" w:eastAsia="宋体" w:cs="Times New Roman"/>
                      <w:b w:val="0"/>
                      <w:bCs w:val="0"/>
                      <w:color w:val="000000" w:themeColor="text1"/>
                      <w:kern w:val="0"/>
                      <w:sz w:val="21"/>
                      <w:szCs w:val="21"/>
                      <w:highlight w:val="none"/>
                      <w:lang w:val="en-US" w:eastAsia="zh-CN" w:bidi="ar"/>
                      <w14:textFill>
                        <w14:solidFill>
                          <w14:schemeClr w14:val="tx1"/>
                        </w14:solidFill>
                      </w14:textFill>
                    </w:rPr>
                    <w:t>（DA01</w:t>
                  </w:r>
                  <w:r>
                    <w:rPr>
                      <w:rFonts w:hint="default" w:ascii="Times New Roman" w:hAnsi="Times New Roman" w:cs="Times New Roman"/>
                      <w:b w:val="0"/>
                      <w:bCs w:val="0"/>
                      <w:color w:val="000000" w:themeColor="text1"/>
                      <w:kern w:val="0"/>
                      <w:sz w:val="21"/>
                      <w:szCs w:val="21"/>
                      <w:highlight w:val="none"/>
                      <w:lang w:val="en-US" w:eastAsia="zh-CN" w:bidi="ar"/>
                      <w14:textFill>
                        <w14:solidFill>
                          <w14:schemeClr w14:val="tx1"/>
                        </w14:solidFill>
                      </w14:textFill>
                    </w:rPr>
                    <w:t>1</w:t>
                  </w:r>
                  <w:r>
                    <w:rPr>
                      <w:rFonts w:hint="default" w:ascii="Times New Roman" w:hAnsi="Times New Roman" w:eastAsia="宋体" w:cs="Times New Roman"/>
                      <w:b w:val="0"/>
                      <w:bCs w:val="0"/>
                      <w:color w:val="000000" w:themeColor="text1"/>
                      <w:kern w:val="0"/>
                      <w:sz w:val="21"/>
                      <w:szCs w:val="21"/>
                      <w:highlight w:val="none"/>
                      <w:lang w:val="en-US" w:eastAsia="zh-CN" w:bidi="ar"/>
                      <w14:textFill>
                        <w14:solidFill>
                          <w14:schemeClr w14:val="tx1"/>
                        </w14:solidFill>
                      </w14:textFill>
                    </w:rPr>
                    <w:t>）排放</w:t>
                  </w:r>
                </w:p>
              </w:tc>
              <w:tc>
                <w:tcPr>
                  <w:tcW w:w="592" w:type="pct"/>
                  <w:noWrap w:val="0"/>
                  <w:vAlign w:val="center"/>
                </w:tcPr>
                <w:p w14:paraId="7FF804B0">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10</w:t>
                  </w:r>
                </w:p>
              </w:tc>
            </w:tr>
            <w:tr w14:paraId="66743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374" w:type="pct"/>
                  <w:vMerge w:val="continue"/>
                  <w:noWrap w:val="0"/>
                  <w:vAlign w:val="center"/>
                </w:tcPr>
                <w:p w14:paraId="574EFE0C">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p>
              </w:tc>
              <w:tc>
                <w:tcPr>
                  <w:tcW w:w="403" w:type="pct"/>
                  <w:vMerge w:val="continue"/>
                  <w:noWrap w:val="0"/>
                  <w:vAlign w:val="center"/>
                </w:tcPr>
                <w:p w14:paraId="16DE9922">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p>
              </w:tc>
              <w:tc>
                <w:tcPr>
                  <w:tcW w:w="679" w:type="pct"/>
                  <w:noWrap w:val="0"/>
                  <w:vAlign w:val="center"/>
                </w:tcPr>
                <w:p w14:paraId="578E1DF0">
                  <w:pPr>
                    <w:adjustRightInd w:val="0"/>
                    <w:snapToGrid w:val="0"/>
                    <w:spacing w:line="240" w:lineRule="auto"/>
                    <w:jc w:val="center"/>
                    <w:rPr>
                      <w:rFonts w:hint="default" w:ascii="Times New Roman" w:hAnsi="Times New Roman" w:eastAsia="宋体" w:cs="Times New Roman"/>
                      <w:b w:val="0"/>
                      <w:bCs w:val="0"/>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lang w:val="en-US" w:eastAsia="zh-CN" w:bidi="ar"/>
                      <w14:textFill>
                        <w14:solidFill>
                          <w14:schemeClr w14:val="tx1"/>
                        </w14:solidFill>
                      </w14:textFill>
                    </w:rPr>
                    <w:t>成品筒仓产生废气</w:t>
                  </w:r>
                </w:p>
              </w:tc>
              <w:tc>
                <w:tcPr>
                  <w:tcW w:w="2949" w:type="pct"/>
                  <w:noWrap w:val="0"/>
                  <w:vAlign w:val="center"/>
                </w:tcPr>
                <w:p w14:paraId="56C020AA">
                  <w:pPr>
                    <w:adjustRightInd w:val="0"/>
                    <w:snapToGrid w:val="0"/>
                    <w:spacing w:line="240" w:lineRule="auto"/>
                    <w:jc w:val="both"/>
                    <w:rPr>
                      <w:rFonts w:hint="default" w:ascii="Times New Roman" w:hAnsi="Times New Roman" w:eastAsia="宋体" w:cs="Times New Roman"/>
                      <w:b w:val="0"/>
                      <w:bCs w:val="0"/>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lang w:val="en-US" w:eastAsia="zh-CN" w:bidi="ar"/>
                      <w14:textFill>
                        <w14:solidFill>
                          <w14:schemeClr w14:val="tx1"/>
                        </w14:solidFill>
                      </w14:textFill>
                    </w:rPr>
                    <w:t>1个成品筒仓通过“封闭设备+收集+</w:t>
                  </w:r>
                  <w:r>
                    <w:rPr>
                      <w:rFonts w:hint="eastAsia" w:cs="Times New Roman"/>
                      <w:b w:val="0"/>
                      <w:bCs w:val="0"/>
                      <w:color w:val="000000" w:themeColor="text1"/>
                      <w:kern w:val="0"/>
                      <w:sz w:val="21"/>
                      <w:szCs w:val="21"/>
                      <w:highlight w:val="none"/>
                      <w:lang w:val="en-US" w:eastAsia="zh-CN" w:bidi="ar"/>
                      <w14:textFill>
                        <w14:solidFill>
                          <w14:schemeClr w14:val="tx1"/>
                        </w14:solidFill>
                      </w14:textFill>
                    </w:rPr>
                    <w:t>布袋除尘器（覆膜袋式）</w:t>
                  </w:r>
                  <w:r>
                    <w:rPr>
                      <w:rFonts w:hint="default" w:ascii="Times New Roman" w:hAnsi="Times New Roman" w:cs="Times New Roman"/>
                      <w:b w:val="0"/>
                      <w:bCs w:val="0"/>
                      <w:color w:val="000000" w:themeColor="text1"/>
                      <w:sz w:val="21"/>
                      <w:szCs w:val="21"/>
                      <w:highlight w:val="none"/>
                      <w14:textFill>
                        <w14:solidFill>
                          <w14:schemeClr w14:val="tx1"/>
                        </w14:solidFill>
                      </w14:textFill>
                    </w:rPr>
                    <w:t>（除尘效率99%）</w:t>
                  </w:r>
                  <w:r>
                    <w:rPr>
                      <w:rFonts w:hint="default" w:ascii="Times New Roman" w:hAnsi="Times New Roman" w:eastAsia="宋体" w:cs="Times New Roman"/>
                      <w:b w:val="0"/>
                      <w:bCs w:val="0"/>
                      <w:color w:val="000000" w:themeColor="text1"/>
                      <w:kern w:val="0"/>
                      <w:sz w:val="21"/>
                      <w:szCs w:val="21"/>
                      <w:highlight w:val="none"/>
                      <w:lang w:val="en-US" w:eastAsia="zh-CN" w:bidi="ar"/>
                      <w14:textFill>
                        <w14:solidFill>
                          <w14:schemeClr w14:val="tx1"/>
                        </w14:solidFill>
                      </w14:textFill>
                    </w:rPr>
                    <w:t>”处理后经1根</w:t>
                  </w:r>
                  <w:r>
                    <w:rPr>
                      <w:rFonts w:hint="eastAsia" w:cs="Times New Roman"/>
                      <w:b w:val="0"/>
                      <w:bCs w:val="0"/>
                      <w:color w:val="000000" w:themeColor="text1"/>
                      <w:kern w:val="0"/>
                      <w:sz w:val="21"/>
                      <w:szCs w:val="21"/>
                      <w:highlight w:val="none"/>
                      <w:lang w:val="en-US" w:eastAsia="zh-CN" w:bidi="ar"/>
                      <w14:textFill>
                        <w14:solidFill>
                          <w14:schemeClr w14:val="tx1"/>
                        </w14:solidFill>
                      </w14:textFill>
                    </w:rPr>
                    <w:t>3</w:t>
                  </w:r>
                  <w:r>
                    <w:rPr>
                      <w:rFonts w:hint="default" w:ascii="Times New Roman" w:hAnsi="Times New Roman" w:eastAsia="宋体" w:cs="Times New Roman"/>
                      <w:b w:val="0"/>
                      <w:bCs w:val="0"/>
                      <w:color w:val="000000" w:themeColor="text1"/>
                      <w:kern w:val="0"/>
                      <w:sz w:val="21"/>
                      <w:szCs w:val="21"/>
                      <w:highlight w:val="none"/>
                      <w:lang w:val="en-US" w:eastAsia="zh-CN" w:bidi="ar"/>
                      <w14:textFill>
                        <w14:solidFill>
                          <w14:schemeClr w14:val="tx1"/>
                        </w14:solidFill>
                      </w14:textFill>
                    </w:rPr>
                    <w:t>0m高（DA01</w:t>
                  </w:r>
                  <w:r>
                    <w:rPr>
                      <w:rFonts w:hint="default" w:ascii="Times New Roman" w:hAnsi="Times New Roman" w:cs="Times New Roman"/>
                      <w:b w:val="0"/>
                      <w:bCs w:val="0"/>
                      <w:color w:val="000000" w:themeColor="text1"/>
                      <w:kern w:val="0"/>
                      <w:sz w:val="21"/>
                      <w:szCs w:val="21"/>
                      <w:highlight w:val="none"/>
                      <w:lang w:val="en-US" w:eastAsia="zh-CN" w:bidi="ar"/>
                      <w14:textFill>
                        <w14:solidFill>
                          <w14:schemeClr w14:val="tx1"/>
                        </w14:solidFill>
                      </w14:textFill>
                    </w:rPr>
                    <w:t>2</w:t>
                  </w:r>
                  <w:r>
                    <w:rPr>
                      <w:rFonts w:hint="default" w:ascii="Times New Roman" w:hAnsi="Times New Roman" w:eastAsia="宋体" w:cs="Times New Roman"/>
                      <w:b w:val="0"/>
                      <w:bCs w:val="0"/>
                      <w:color w:val="000000" w:themeColor="text1"/>
                      <w:kern w:val="0"/>
                      <w:sz w:val="21"/>
                      <w:szCs w:val="21"/>
                      <w:highlight w:val="none"/>
                      <w:lang w:val="en-US" w:eastAsia="zh-CN" w:bidi="ar"/>
                      <w14:textFill>
                        <w14:solidFill>
                          <w14:schemeClr w14:val="tx1"/>
                        </w14:solidFill>
                      </w14:textFill>
                    </w:rPr>
                    <w:t>）</w:t>
                  </w:r>
                  <w:r>
                    <w:rPr>
                      <w:rFonts w:hint="eastAsia" w:cs="Times New Roman"/>
                      <w:b w:val="0"/>
                      <w:bCs w:val="0"/>
                      <w:color w:val="000000" w:themeColor="text1"/>
                      <w:kern w:val="0"/>
                      <w:sz w:val="21"/>
                      <w:szCs w:val="21"/>
                      <w:highlight w:val="none"/>
                      <w:lang w:val="en-US" w:eastAsia="zh-CN" w:bidi="ar"/>
                      <w14:textFill>
                        <w14:solidFill>
                          <w14:schemeClr w14:val="tx1"/>
                        </w14:solidFill>
                      </w14:textFill>
                    </w:rPr>
                    <w:t>排气</w:t>
                  </w:r>
                  <w:r>
                    <w:rPr>
                      <w:rFonts w:hint="eastAsia" w:cs="Times New Roman"/>
                      <w:b w:val="0"/>
                      <w:bCs w:val="0"/>
                      <w:color w:val="000000" w:themeColor="text1"/>
                      <w:sz w:val="21"/>
                      <w:szCs w:val="21"/>
                      <w:highlight w:val="none"/>
                      <w:lang w:val="en-US" w:eastAsia="zh-CN"/>
                      <w14:textFill>
                        <w14:solidFill>
                          <w14:schemeClr w14:val="tx1"/>
                        </w14:solidFill>
                      </w14:textFill>
                    </w:rPr>
                    <w:t>口</w:t>
                  </w:r>
                  <w:r>
                    <w:rPr>
                      <w:rFonts w:hint="default" w:ascii="Times New Roman" w:hAnsi="Times New Roman" w:eastAsia="宋体" w:cs="Times New Roman"/>
                      <w:b w:val="0"/>
                      <w:bCs w:val="0"/>
                      <w:color w:val="000000" w:themeColor="text1"/>
                      <w:kern w:val="0"/>
                      <w:sz w:val="21"/>
                      <w:szCs w:val="21"/>
                      <w:highlight w:val="none"/>
                      <w:lang w:val="en-US" w:eastAsia="zh-CN" w:bidi="ar"/>
                      <w14:textFill>
                        <w14:solidFill>
                          <w14:schemeClr w14:val="tx1"/>
                        </w14:solidFill>
                      </w14:textFill>
                    </w:rPr>
                    <w:t>排放；</w:t>
                  </w:r>
                </w:p>
              </w:tc>
              <w:tc>
                <w:tcPr>
                  <w:tcW w:w="592" w:type="pct"/>
                  <w:noWrap w:val="0"/>
                  <w:vAlign w:val="center"/>
                </w:tcPr>
                <w:p w14:paraId="3906D5BD">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10</w:t>
                  </w:r>
                </w:p>
              </w:tc>
            </w:tr>
            <w:tr w14:paraId="16D01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374" w:type="pct"/>
                  <w:vMerge w:val="continue"/>
                  <w:noWrap w:val="0"/>
                  <w:vAlign w:val="center"/>
                </w:tcPr>
                <w:p w14:paraId="3D4CF2E0">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p>
              </w:tc>
              <w:tc>
                <w:tcPr>
                  <w:tcW w:w="403" w:type="pct"/>
                  <w:vMerge w:val="continue"/>
                  <w:noWrap w:val="0"/>
                  <w:vAlign w:val="center"/>
                </w:tcPr>
                <w:p w14:paraId="7C5C6A4D">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p>
              </w:tc>
              <w:tc>
                <w:tcPr>
                  <w:tcW w:w="679" w:type="pct"/>
                  <w:noWrap w:val="0"/>
                  <w:vAlign w:val="center"/>
                </w:tcPr>
                <w:p w14:paraId="6E62F26D">
                  <w:pPr>
                    <w:adjustRightInd w:val="0"/>
                    <w:snapToGrid w:val="0"/>
                    <w:spacing w:line="240" w:lineRule="auto"/>
                    <w:jc w:val="center"/>
                    <w:rPr>
                      <w:rFonts w:hint="default" w:ascii="Times New Roman" w:hAnsi="Times New Roman"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lang w:val="en-US" w:eastAsia="zh-CN" w:bidi="ar"/>
                      <w14:textFill>
                        <w14:solidFill>
                          <w14:schemeClr w14:val="tx1"/>
                        </w14:solidFill>
                      </w14:textFill>
                    </w:rPr>
                    <w:t>小包装及成品筒仓产生废气</w:t>
                  </w:r>
                </w:p>
              </w:tc>
              <w:tc>
                <w:tcPr>
                  <w:tcW w:w="2949" w:type="pct"/>
                  <w:noWrap w:val="0"/>
                  <w:vAlign w:val="center"/>
                </w:tcPr>
                <w:p w14:paraId="2C0C7BAF">
                  <w:pPr>
                    <w:adjustRightInd w:val="0"/>
                    <w:snapToGrid w:val="0"/>
                    <w:spacing w:line="240" w:lineRule="auto"/>
                    <w:jc w:val="both"/>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1条包装生产线通过“集气罩收集+</w:t>
                  </w:r>
                  <w:r>
                    <w:rPr>
                      <w:rFonts w:hint="eastAsia" w:cs="Times New Roman"/>
                      <w:b w:val="0"/>
                      <w:bCs w:val="0"/>
                      <w:color w:val="000000" w:themeColor="text1"/>
                      <w:sz w:val="21"/>
                      <w:szCs w:val="21"/>
                      <w:highlight w:val="none"/>
                      <w:lang w:val="en-US" w:eastAsia="zh-CN"/>
                      <w14:textFill>
                        <w14:solidFill>
                          <w14:schemeClr w14:val="tx1"/>
                        </w14:solidFill>
                      </w14:textFill>
                    </w:rPr>
                    <w:t>布袋除尘器（覆膜袋式）</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（除尘效率99%）</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”处理后经1根</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2</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0m高（DA01</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w:t>
                  </w:r>
                  <w:r>
                    <w:rPr>
                      <w:rFonts w:hint="eastAsia" w:cs="Times New Roman"/>
                      <w:b w:val="0"/>
                      <w:bCs w:val="0"/>
                      <w:color w:val="000000" w:themeColor="text1"/>
                      <w:sz w:val="21"/>
                      <w:szCs w:val="21"/>
                      <w:highlight w:val="none"/>
                      <w:lang w:val="en-US" w:eastAsia="zh-CN"/>
                      <w14:textFill>
                        <w14:solidFill>
                          <w14:schemeClr w14:val="tx1"/>
                        </w14:solidFill>
                      </w14:textFill>
                    </w:rPr>
                    <w:t>排气口</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排放；</w:t>
                  </w:r>
                </w:p>
              </w:tc>
              <w:tc>
                <w:tcPr>
                  <w:tcW w:w="592" w:type="pct"/>
                  <w:noWrap w:val="0"/>
                  <w:vAlign w:val="center"/>
                </w:tcPr>
                <w:p w14:paraId="1575661E">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10</w:t>
                  </w:r>
                </w:p>
              </w:tc>
            </w:tr>
            <w:tr w14:paraId="4AA37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374" w:type="pct"/>
                  <w:vMerge w:val="continue"/>
                  <w:noWrap w:val="0"/>
                  <w:vAlign w:val="center"/>
                </w:tcPr>
                <w:p w14:paraId="34ACA18C">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p>
              </w:tc>
              <w:tc>
                <w:tcPr>
                  <w:tcW w:w="403" w:type="pct"/>
                  <w:vMerge w:val="continue"/>
                  <w:noWrap w:val="0"/>
                  <w:vAlign w:val="center"/>
                </w:tcPr>
                <w:p w14:paraId="693A68B7">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p>
              </w:tc>
              <w:tc>
                <w:tcPr>
                  <w:tcW w:w="679" w:type="pct"/>
                  <w:noWrap w:val="0"/>
                  <w:vAlign w:val="center"/>
                </w:tcPr>
                <w:p w14:paraId="4C2A895E">
                  <w:pPr>
                    <w:adjustRightInd w:val="0"/>
                    <w:snapToGrid w:val="0"/>
                    <w:spacing w:line="240" w:lineRule="auto"/>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黄料粉仓</w:t>
                  </w:r>
                </w:p>
              </w:tc>
              <w:tc>
                <w:tcPr>
                  <w:tcW w:w="2949" w:type="pct"/>
                  <w:noWrap w:val="0"/>
                  <w:vAlign w:val="center"/>
                </w:tcPr>
                <w:p w14:paraId="7FFB1D42">
                  <w:pPr>
                    <w:adjustRightInd w:val="0"/>
                    <w:snapToGrid w:val="0"/>
                    <w:spacing w:line="240" w:lineRule="auto"/>
                    <w:jc w:val="both"/>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2个</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黄料粉</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仓均各配置一台仓顶除尘器（除尘效率99%），通过各自高于</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黄料粉</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仓（</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黄料粉</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仓高20m）顶1m的</w:t>
                  </w:r>
                  <w:r>
                    <w:rPr>
                      <w:rFonts w:hint="eastAsia" w:cs="Times New Roman"/>
                      <w:b w:val="0"/>
                      <w:bCs w:val="0"/>
                      <w:color w:val="000000" w:themeColor="text1"/>
                      <w:sz w:val="21"/>
                      <w:szCs w:val="21"/>
                      <w:highlight w:val="none"/>
                      <w:lang w:eastAsia="zh-CN"/>
                      <w14:textFill>
                        <w14:solidFill>
                          <w14:schemeClr w14:val="tx1"/>
                        </w14:solidFill>
                      </w14:textFill>
                    </w:rPr>
                    <w:t>排气</w:t>
                  </w:r>
                  <w:r>
                    <w:rPr>
                      <w:rFonts w:hint="eastAsia" w:cs="Times New Roman"/>
                      <w:b w:val="0"/>
                      <w:bCs w:val="0"/>
                      <w:color w:val="000000" w:themeColor="text1"/>
                      <w:sz w:val="21"/>
                      <w:szCs w:val="21"/>
                      <w:highlight w:val="none"/>
                      <w:lang w:val="en-US" w:eastAsia="zh-CN"/>
                      <w14:textFill>
                        <w14:solidFill>
                          <w14:schemeClr w14:val="tx1"/>
                        </w14:solidFill>
                      </w14:textFill>
                    </w:rPr>
                    <w:t>口</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DA01</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4</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）排放。</w:t>
                  </w:r>
                </w:p>
              </w:tc>
              <w:tc>
                <w:tcPr>
                  <w:tcW w:w="592" w:type="pct"/>
                  <w:noWrap w:val="0"/>
                  <w:vAlign w:val="center"/>
                </w:tcPr>
                <w:p w14:paraId="63D0C3FF">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10</w:t>
                  </w:r>
                </w:p>
              </w:tc>
            </w:tr>
            <w:tr w14:paraId="790CE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374" w:type="pct"/>
                  <w:vMerge w:val="continue"/>
                  <w:noWrap w:val="0"/>
                  <w:vAlign w:val="center"/>
                </w:tcPr>
                <w:p w14:paraId="571A37C9">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p>
              </w:tc>
              <w:tc>
                <w:tcPr>
                  <w:tcW w:w="403" w:type="pct"/>
                  <w:vMerge w:val="continue"/>
                  <w:noWrap w:val="0"/>
                  <w:vAlign w:val="center"/>
                </w:tcPr>
                <w:p w14:paraId="55756494">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p>
              </w:tc>
              <w:tc>
                <w:tcPr>
                  <w:tcW w:w="679" w:type="pct"/>
                  <w:noWrap w:val="0"/>
                  <w:vAlign w:val="center"/>
                </w:tcPr>
                <w:p w14:paraId="40E186F5">
                  <w:pPr>
                    <w:adjustRightInd w:val="0"/>
                    <w:snapToGrid w:val="0"/>
                    <w:spacing w:line="240" w:lineRule="auto"/>
                    <w:jc w:val="cente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石灰石</w:t>
                  </w:r>
                </w:p>
                <w:p w14:paraId="78FE5E97">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粉仓</w:t>
                  </w:r>
                </w:p>
              </w:tc>
              <w:tc>
                <w:tcPr>
                  <w:tcW w:w="2949" w:type="pct"/>
                  <w:noWrap w:val="0"/>
                  <w:vAlign w:val="center"/>
                </w:tcPr>
                <w:p w14:paraId="61B2955C">
                  <w:pPr>
                    <w:adjustRightInd w:val="0"/>
                    <w:snapToGrid w:val="0"/>
                    <w:spacing w:line="240" w:lineRule="auto"/>
                    <w:jc w:val="both"/>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脱硫剂石灰石粉仓废气</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通过“封闭设备+</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布袋除尘器（覆膜袋式）</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”处理后经1根</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18</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m高（DA01</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5</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w:t>
                  </w:r>
                  <w:r>
                    <w:rPr>
                      <w:rFonts w:hint="eastAsia" w:cs="Times New Roman"/>
                      <w:b w:val="0"/>
                      <w:bCs w:val="0"/>
                      <w:color w:val="000000" w:themeColor="text1"/>
                      <w:sz w:val="21"/>
                      <w:szCs w:val="21"/>
                      <w:highlight w:val="none"/>
                      <w:lang w:val="en-US" w:eastAsia="zh-CN"/>
                      <w14:textFill>
                        <w14:solidFill>
                          <w14:schemeClr w14:val="tx1"/>
                        </w14:solidFill>
                      </w14:textFill>
                    </w:rPr>
                    <w:t>排气口</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排放；</w:t>
                  </w:r>
                </w:p>
              </w:tc>
              <w:tc>
                <w:tcPr>
                  <w:tcW w:w="592" w:type="pct"/>
                  <w:noWrap w:val="0"/>
                  <w:vAlign w:val="center"/>
                </w:tcPr>
                <w:p w14:paraId="21C3955B">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10</w:t>
                  </w:r>
                </w:p>
              </w:tc>
            </w:tr>
            <w:tr w14:paraId="6048D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374" w:type="pct"/>
                  <w:vMerge w:val="continue"/>
                  <w:noWrap w:val="0"/>
                  <w:vAlign w:val="center"/>
                </w:tcPr>
                <w:p w14:paraId="3C1C1E5A">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p>
              </w:tc>
              <w:tc>
                <w:tcPr>
                  <w:tcW w:w="403" w:type="pct"/>
                  <w:vMerge w:val="continue"/>
                  <w:noWrap w:val="0"/>
                  <w:vAlign w:val="center"/>
                </w:tcPr>
                <w:p w14:paraId="3E1856E2">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p>
              </w:tc>
              <w:tc>
                <w:tcPr>
                  <w:tcW w:w="679" w:type="pct"/>
                  <w:noWrap w:val="0"/>
                  <w:vAlign w:val="center"/>
                </w:tcPr>
                <w:p w14:paraId="1301E13F">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成品堆棚</w:t>
                  </w:r>
                </w:p>
                <w:p w14:paraId="73BF7928">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粉尘</w:t>
                  </w:r>
                </w:p>
              </w:tc>
              <w:tc>
                <w:tcPr>
                  <w:tcW w:w="2949" w:type="pct"/>
                  <w:noWrap w:val="0"/>
                  <w:vAlign w:val="center"/>
                </w:tcPr>
                <w:p w14:paraId="3FB0E095">
                  <w:pPr>
                    <w:adjustRightInd w:val="0"/>
                    <w:snapToGrid w:val="0"/>
                    <w:spacing w:line="240" w:lineRule="auto"/>
                    <w:jc w:val="left"/>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全封闭</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成品堆棚，内设置5个成品仓，9条包装生产线</w:t>
                  </w:r>
                  <w:r>
                    <w:rPr>
                      <w:rFonts w:hint="default" w:ascii="Times New Roman" w:hAnsi="Times New Roman" w:cs="Times New Roman"/>
                      <w:b w:val="0"/>
                      <w:bCs w:val="0"/>
                      <w:color w:val="000000" w:themeColor="text1"/>
                      <w:sz w:val="21"/>
                      <w:szCs w:val="21"/>
                      <w:highlight w:val="none"/>
                      <w14:textFill>
                        <w14:solidFill>
                          <w14:schemeClr w14:val="tx1"/>
                        </w14:solidFill>
                      </w14:textFill>
                    </w:rPr>
                    <w:t>。</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包装袋选用覆膜包装袋。</w:t>
                  </w:r>
                </w:p>
              </w:tc>
              <w:tc>
                <w:tcPr>
                  <w:tcW w:w="592" w:type="pct"/>
                  <w:noWrap w:val="0"/>
                  <w:vAlign w:val="center"/>
                </w:tcPr>
                <w:p w14:paraId="29F39284">
                  <w:pPr>
                    <w:adjustRightInd w:val="0"/>
                    <w:snapToGrid w:val="0"/>
                    <w:spacing w:line="240" w:lineRule="auto"/>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9</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w:t>
                  </w:r>
                </w:p>
              </w:tc>
            </w:tr>
            <w:tr w14:paraId="5B20D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374" w:type="pct"/>
                  <w:noWrap w:val="0"/>
                  <w:vAlign w:val="center"/>
                </w:tcPr>
                <w:p w14:paraId="5E0FAE79">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2</w:t>
                  </w:r>
                </w:p>
              </w:tc>
              <w:tc>
                <w:tcPr>
                  <w:tcW w:w="403" w:type="pct"/>
                  <w:noWrap w:val="0"/>
                  <w:vAlign w:val="center"/>
                </w:tcPr>
                <w:p w14:paraId="3DC5E363">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噪声</w:t>
                  </w:r>
                </w:p>
              </w:tc>
              <w:tc>
                <w:tcPr>
                  <w:tcW w:w="679" w:type="pct"/>
                  <w:noWrap w:val="0"/>
                  <w:vAlign w:val="center"/>
                </w:tcPr>
                <w:p w14:paraId="06A87525">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搅拌机等</w:t>
                  </w:r>
                </w:p>
              </w:tc>
              <w:tc>
                <w:tcPr>
                  <w:tcW w:w="2949" w:type="pct"/>
                  <w:noWrap w:val="0"/>
                  <w:vAlign w:val="center"/>
                </w:tcPr>
                <w:p w14:paraId="2AEAC670">
                  <w:pPr>
                    <w:adjustRightInd w:val="0"/>
                    <w:snapToGrid w:val="0"/>
                    <w:spacing w:line="240" w:lineRule="auto"/>
                    <w:jc w:val="left"/>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减震、隔音等。</w:t>
                  </w:r>
                </w:p>
              </w:tc>
              <w:tc>
                <w:tcPr>
                  <w:tcW w:w="592" w:type="pct"/>
                  <w:noWrap w:val="0"/>
                  <w:vAlign w:val="center"/>
                </w:tcPr>
                <w:p w14:paraId="533AE0BA">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5</w:t>
                  </w:r>
                </w:p>
              </w:tc>
            </w:tr>
            <w:tr w14:paraId="07863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374" w:type="pct"/>
                  <w:vMerge w:val="restart"/>
                  <w:noWrap w:val="0"/>
                  <w:vAlign w:val="center"/>
                </w:tcPr>
                <w:p w14:paraId="1CB149D4">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3</w:t>
                  </w:r>
                </w:p>
              </w:tc>
              <w:tc>
                <w:tcPr>
                  <w:tcW w:w="403" w:type="pct"/>
                  <w:vMerge w:val="restart"/>
                  <w:noWrap w:val="0"/>
                  <w:vAlign w:val="center"/>
                </w:tcPr>
                <w:p w14:paraId="1F4F92DB">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废水</w:t>
                  </w:r>
                </w:p>
              </w:tc>
              <w:tc>
                <w:tcPr>
                  <w:tcW w:w="679" w:type="pct"/>
                  <w:noWrap w:val="0"/>
                  <w:vAlign w:val="center"/>
                </w:tcPr>
                <w:p w14:paraId="0B201BFD">
                  <w:pPr>
                    <w:adjustRightInd w:val="0"/>
                    <w:snapToGrid w:val="0"/>
                    <w:spacing w:line="240" w:lineRule="auto"/>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生活废水</w:t>
                  </w:r>
                </w:p>
              </w:tc>
              <w:tc>
                <w:tcPr>
                  <w:tcW w:w="2949" w:type="pct"/>
                  <w:noWrap w:val="0"/>
                  <w:vAlign w:val="center"/>
                </w:tcPr>
                <w:p w14:paraId="37267A0B">
                  <w:pPr>
                    <w:adjustRightInd w:val="0"/>
                    <w:snapToGrid w:val="0"/>
                    <w:spacing w:line="240" w:lineRule="auto"/>
                    <w:jc w:val="both"/>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防渗</w:t>
                  </w:r>
                  <w:r>
                    <w:rPr>
                      <w:rFonts w:hint="default" w:ascii="Times New Roman" w:hAnsi="Times New Roman" w:cs="Times New Roman"/>
                      <w:b w:val="0"/>
                      <w:bCs w:val="0"/>
                      <w:color w:val="000000" w:themeColor="text1"/>
                      <w:sz w:val="21"/>
                      <w:szCs w:val="21"/>
                      <w:highlight w:val="none"/>
                      <w14:textFill>
                        <w14:solidFill>
                          <w14:schemeClr w14:val="tx1"/>
                        </w14:solidFill>
                      </w14:textFill>
                    </w:rPr>
                    <w:t>化粪池收集后</w:t>
                  </w:r>
                  <w:r>
                    <w:rPr>
                      <w:rFonts w:hint="default" w:ascii="Times New Roman" w:hAnsi="Times New Roman" w:cs="Times New Roman"/>
                      <w:b w:val="0"/>
                      <w:bCs w:val="0"/>
                      <w:color w:val="000000" w:themeColor="text1"/>
                      <w:sz w:val="21"/>
                      <w:szCs w:val="21"/>
                      <w:highlight w:val="none"/>
                      <w:lang w:eastAsia="zh-CN"/>
                      <w14:textFill>
                        <w14:solidFill>
                          <w14:schemeClr w14:val="tx1"/>
                        </w14:solidFill>
                      </w14:textFill>
                    </w:rPr>
                    <w:t>通过</w:t>
                  </w:r>
                  <w:r>
                    <w:rPr>
                      <w:rFonts w:hint="eastAsia" w:cs="Times New Roman"/>
                      <w:b w:val="0"/>
                      <w:bCs w:val="0"/>
                      <w:color w:val="000000" w:themeColor="text1"/>
                      <w:sz w:val="21"/>
                      <w:szCs w:val="21"/>
                      <w:highlight w:val="none"/>
                      <w:lang w:val="en-US" w:eastAsia="zh-CN"/>
                      <w14:textFill>
                        <w14:solidFill>
                          <w14:schemeClr w14:val="tx1"/>
                        </w14:solidFill>
                      </w14:textFill>
                    </w:rPr>
                    <w:t>罐车拉运至</w:t>
                  </w:r>
                  <w:r>
                    <w:rPr>
                      <w:rFonts w:hint="default" w:ascii="Times New Roman" w:hAnsi="Times New Roman" w:cs="Times New Roman"/>
                      <w:b w:val="0"/>
                      <w:bCs w:val="0"/>
                      <w:color w:val="000000" w:themeColor="text1"/>
                      <w:sz w:val="21"/>
                      <w:szCs w:val="21"/>
                      <w:highlight w:val="none"/>
                      <w14:textFill>
                        <w14:solidFill>
                          <w14:schemeClr w14:val="tx1"/>
                        </w14:solidFill>
                      </w14:textFill>
                    </w:rPr>
                    <w:t>园区污水处理厂。</w:t>
                  </w:r>
                </w:p>
              </w:tc>
              <w:tc>
                <w:tcPr>
                  <w:tcW w:w="592" w:type="pct"/>
                  <w:vMerge w:val="restart"/>
                  <w:noWrap w:val="0"/>
                  <w:vAlign w:val="center"/>
                </w:tcPr>
                <w:p w14:paraId="5B628DC1">
                  <w:pPr>
                    <w:adjustRightInd w:val="0"/>
                    <w:snapToGrid w:val="0"/>
                    <w:spacing w:line="240" w:lineRule="auto"/>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20</w:t>
                  </w:r>
                </w:p>
              </w:tc>
            </w:tr>
            <w:tr w14:paraId="3263B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374" w:type="pct"/>
                  <w:vMerge w:val="continue"/>
                  <w:noWrap w:val="0"/>
                  <w:vAlign w:val="center"/>
                </w:tcPr>
                <w:p w14:paraId="01529548">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p>
              </w:tc>
              <w:tc>
                <w:tcPr>
                  <w:tcW w:w="403" w:type="pct"/>
                  <w:vMerge w:val="continue"/>
                  <w:noWrap w:val="0"/>
                  <w:vAlign w:val="center"/>
                </w:tcPr>
                <w:p w14:paraId="65DB9C5C">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p>
              </w:tc>
              <w:tc>
                <w:tcPr>
                  <w:tcW w:w="679" w:type="pct"/>
                  <w:noWrap w:val="0"/>
                  <w:vAlign w:val="center"/>
                </w:tcPr>
                <w:p w14:paraId="1E426671">
                  <w:pPr>
                    <w:adjustRightInd w:val="0"/>
                    <w:snapToGrid w:val="0"/>
                    <w:spacing w:line="240" w:lineRule="auto"/>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软水排水</w:t>
                  </w:r>
                </w:p>
              </w:tc>
              <w:tc>
                <w:tcPr>
                  <w:tcW w:w="2949" w:type="pct"/>
                  <w:noWrap w:val="0"/>
                  <w:vAlign w:val="center"/>
                </w:tcPr>
                <w:p w14:paraId="03F08D47">
                  <w:pPr>
                    <w:adjustRightInd w:val="0"/>
                    <w:snapToGrid w:val="0"/>
                    <w:spacing w:line="240" w:lineRule="auto"/>
                    <w:jc w:val="left"/>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罐车拉运至园区生产废水处理厂处理</w:t>
                  </w:r>
                </w:p>
              </w:tc>
              <w:tc>
                <w:tcPr>
                  <w:tcW w:w="592" w:type="pct"/>
                  <w:vMerge w:val="continue"/>
                  <w:noWrap w:val="0"/>
                  <w:vAlign w:val="center"/>
                </w:tcPr>
                <w:p w14:paraId="3BD62793">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p>
              </w:tc>
            </w:tr>
            <w:tr w14:paraId="7D681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374" w:type="pct"/>
                  <w:vMerge w:val="continue"/>
                  <w:noWrap w:val="0"/>
                  <w:vAlign w:val="center"/>
                </w:tcPr>
                <w:p w14:paraId="7A504A19">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p>
              </w:tc>
              <w:tc>
                <w:tcPr>
                  <w:tcW w:w="403" w:type="pct"/>
                  <w:vMerge w:val="continue"/>
                  <w:noWrap w:val="0"/>
                  <w:vAlign w:val="center"/>
                </w:tcPr>
                <w:p w14:paraId="02D9D651">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p>
              </w:tc>
              <w:tc>
                <w:tcPr>
                  <w:tcW w:w="679" w:type="pct"/>
                  <w:noWrap w:val="0"/>
                  <w:vAlign w:val="center"/>
                </w:tcPr>
                <w:p w14:paraId="1918FD07">
                  <w:pPr>
                    <w:adjustRightInd w:val="0"/>
                    <w:snapToGrid w:val="0"/>
                    <w:spacing w:line="240" w:lineRule="auto"/>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锅炉排水</w:t>
                  </w:r>
                </w:p>
              </w:tc>
              <w:tc>
                <w:tcPr>
                  <w:tcW w:w="2949" w:type="pct"/>
                  <w:noWrap w:val="0"/>
                  <w:vAlign w:val="center"/>
                </w:tcPr>
                <w:p w14:paraId="3511DBEB">
                  <w:pPr>
                    <w:adjustRightInd w:val="0"/>
                    <w:snapToGrid w:val="0"/>
                    <w:spacing w:line="240" w:lineRule="auto"/>
                    <w:jc w:val="left"/>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罐车拉运至园区生产废水处理厂处理</w:t>
                  </w:r>
                </w:p>
              </w:tc>
              <w:tc>
                <w:tcPr>
                  <w:tcW w:w="592" w:type="pct"/>
                  <w:vMerge w:val="continue"/>
                  <w:noWrap w:val="0"/>
                  <w:vAlign w:val="center"/>
                </w:tcPr>
                <w:p w14:paraId="0F3D4A5E">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p>
              </w:tc>
            </w:tr>
            <w:tr w14:paraId="431A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374" w:type="pct"/>
                  <w:vMerge w:val="continue"/>
                  <w:noWrap w:val="0"/>
                  <w:vAlign w:val="center"/>
                </w:tcPr>
                <w:p w14:paraId="2D07E732">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p>
              </w:tc>
              <w:tc>
                <w:tcPr>
                  <w:tcW w:w="403" w:type="pct"/>
                  <w:vMerge w:val="continue"/>
                  <w:noWrap w:val="0"/>
                  <w:vAlign w:val="center"/>
                </w:tcPr>
                <w:p w14:paraId="5A5F1239">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p>
              </w:tc>
              <w:tc>
                <w:tcPr>
                  <w:tcW w:w="679" w:type="pct"/>
                  <w:noWrap w:val="0"/>
                  <w:vAlign w:val="center"/>
                </w:tcPr>
                <w:p w14:paraId="5A445199">
                  <w:pPr>
                    <w:adjustRightInd w:val="0"/>
                    <w:snapToGrid w:val="0"/>
                    <w:spacing w:line="240" w:lineRule="auto"/>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脱硫废水</w:t>
                  </w:r>
                </w:p>
              </w:tc>
              <w:tc>
                <w:tcPr>
                  <w:tcW w:w="2949" w:type="pct"/>
                  <w:noWrap w:val="0"/>
                  <w:vAlign w:val="center"/>
                </w:tcPr>
                <w:p w14:paraId="5C4F81E8">
                  <w:pPr>
                    <w:adjustRightInd w:val="0"/>
                    <w:snapToGrid w:val="0"/>
                    <w:spacing w:line="240" w:lineRule="auto"/>
                    <w:jc w:val="both"/>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lang w:val="en-US" w:eastAsia="zh-CN" w:bidi="ar"/>
                      <w14:textFill>
                        <w14:solidFill>
                          <w14:schemeClr w14:val="tx1"/>
                        </w14:solidFill>
                      </w14:textFill>
                    </w:rPr>
                    <w:t>脱硫废水经三联箱装置处理</w:t>
                  </w:r>
                  <w:r>
                    <w:rPr>
                      <w:rFonts w:hint="eastAsia" w:cs="Times New Roman"/>
                      <w:b w:val="0"/>
                      <w:bCs w:val="0"/>
                      <w:color w:val="000000" w:themeColor="text1"/>
                      <w:kern w:val="0"/>
                      <w:sz w:val="21"/>
                      <w:szCs w:val="21"/>
                      <w:highlight w:val="none"/>
                      <w:lang w:val="en-US" w:eastAsia="zh-CN" w:bidi="ar"/>
                      <w14:textFill>
                        <w14:solidFill>
                          <w14:schemeClr w14:val="tx1"/>
                        </w14:solidFill>
                      </w14:textFill>
                    </w:rPr>
                    <w:t>后回用</w:t>
                  </w:r>
                </w:p>
              </w:tc>
              <w:tc>
                <w:tcPr>
                  <w:tcW w:w="592" w:type="pct"/>
                  <w:vMerge w:val="continue"/>
                  <w:noWrap w:val="0"/>
                  <w:vAlign w:val="center"/>
                </w:tcPr>
                <w:p w14:paraId="1C8571E5">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p>
              </w:tc>
            </w:tr>
            <w:tr w14:paraId="176E4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374" w:type="pct"/>
                  <w:vMerge w:val="restart"/>
                  <w:noWrap w:val="0"/>
                  <w:vAlign w:val="center"/>
                </w:tcPr>
                <w:p w14:paraId="646A42F3">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4</w:t>
                  </w:r>
                </w:p>
              </w:tc>
              <w:tc>
                <w:tcPr>
                  <w:tcW w:w="403" w:type="pct"/>
                  <w:vMerge w:val="restart"/>
                  <w:noWrap w:val="0"/>
                  <w:vAlign w:val="center"/>
                </w:tcPr>
                <w:p w14:paraId="32227A27">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固废</w:t>
                  </w:r>
                </w:p>
              </w:tc>
              <w:tc>
                <w:tcPr>
                  <w:tcW w:w="679" w:type="pct"/>
                  <w:noWrap w:val="0"/>
                  <w:vAlign w:val="center"/>
                </w:tcPr>
                <w:p w14:paraId="2D756DB0">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生活垃圾</w:t>
                  </w:r>
                </w:p>
              </w:tc>
              <w:tc>
                <w:tcPr>
                  <w:tcW w:w="2949" w:type="pct"/>
                  <w:noWrap w:val="0"/>
                  <w:vAlign w:val="center"/>
                </w:tcPr>
                <w:p w14:paraId="332F2F5B">
                  <w:pPr>
                    <w:adjustRightInd w:val="0"/>
                    <w:snapToGrid w:val="0"/>
                    <w:spacing w:line="240" w:lineRule="auto"/>
                    <w:jc w:val="left"/>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集中收集后委托环卫部门处理。</w:t>
                  </w:r>
                </w:p>
              </w:tc>
              <w:tc>
                <w:tcPr>
                  <w:tcW w:w="592" w:type="pct"/>
                  <w:noWrap w:val="0"/>
                  <w:vAlign w:val="center"/>
                </w:tcPr>
                <w:p w14:paraId="6C3E0A23">
                  <w:pPr>
                    <w:adjustRightInd w:val="0"/>
                    <w:snapToGrid w:val="0"/>
                    <w:spacing w:line="240" w:lineRule="auto"/>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0.5</w:t>
                  </w:r>
                </w:p>
              </w:tc>
            </w:tr>
            <w:tr w14:paraId="3DBD2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374" w:type="pct"/>
                  <w:vMerge w:val="continue"/>
                  <w:noWrap w:val="0"/>
                  <w:vAlign w:val="center"/>
                </w:tcPr>
                <w:p w14:paraId="39626E35">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p>
              </w:tc>
              <w:tc>
                <w:tcPr>
                  <w:tcW w:w="403" w:type="pct"/>
                  <w:vMerge w:val="continue"/>
                  <w:noWrap w:val="0"/>
                  <w:vAlign w:val="center"/>
                </w:tcPr>
                <w:p w14:paraId="6120A619">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p>
              </w:tc>
              <w:tc>
                <w:tcPr>
                  <w:tcW w:w="679" w:type="pct"/>
                  <w:noWrap w:val="0"/>
                  <w:vAlign w:val="center"/>
                </w:tcPr>
                <w:p w14:paraId="79D79CE7">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废滤材</w:t>
                  </w:r>
                </w:p>
              </w:tc>
              <w:tc>
                <w:tcPr>
                  <w:tcW w:w="2949" w:type="pct"/>
                  <w:noWrap w:val="0"/>
                  <w:vAlign w:val="center"/>
                </w:tcPr>
                <w:p w14:paraId="2F8A3C34">
                  <w:pPr>
                    <w:adjustRightInd w:val="0"/>
                    <w:snapToGrid w:val="0"/>
                    <w:spacing w:line="240" w:lineRule="auto"/>
                    <w:jc w:val="left"/>
                    <w:rPr>
                      <w:rFonts w:hint="default" w:ascii="Times New Roman" w:hAnsi="Times New Roman" w:cs="Times New Roman"/>
                      <w:b w:val="0"/>
                      <w:bCs w:val="0"/>
                      <w:color w:val="000000" w:themeColor="text1"/>
                      <w:kern w:val="0"/>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kern w:val="0"/>
                      <w:sz w:val="21"/>
                      <w:szCs w:val="21"/>
                      <w:highlight w:val="none"/>
                      <w:lang w:val="en-US" w:eastAsia="zh-CN"/>
                      <w14:textFill>
                        <w14:solidFill>
                          <w14:schemeClr w14:val="tx1"/>
                        </w14:solidFill>
                      </w14:textFill>
                    </w:rPr>
                    <w:t>软水制废弃滤材一般固废库暂存新建</w:t>
                  </w:r>
                  <w:r>
                    <w:rPr>
                      <w:rFonts w:hint="default" w:ascii="Times New Roman" w:hAnsi="Times New Roman" w:cs="Times New Roman"/>
                      <w:color w:val="000000" w:themeColor="text1"/>
                      <w:kern w:val="0"/>
                      <w:sz w:val="21"/>
                      <w:szCs w:val="21"/>
                      <w:highlight w:val="none"/>
                      <w:lang w:val="en-US" w:eastAsia="zh-CN"/>
                      <w14:textFill>
                        <w14:solidFill>
                          <w14:schemeClr w14:val="tx1"/>
                        </w14:solidFill>
                      </w14:textFill>
                    </w:rPr>
                    <w:t>50m</w:t>
                  </w:r>
                  <w:r>
                    <w:rPr>
                      <w:rFonts w:hint="default" w:ascii="Times New Roman" w:hAnsi="Times New Roman" w:cs="Times New Roman"/>
                      <w:color w:val="000000" w:themeColor="text1"/>
                      <w:kern w:val="0"/>
                      <w:sz w:val="21"/>
                      <w:szCs w:val="21"/>
                      <w:highlight w:val="none"/>
                      <w:vertAlign w:val="superscript"/>
                      <w:lang w:val="en-US" w:eastAsia="zh-CN"/>
                      <w14:textFill>
                        <w14:solidFill>
                          <w14:schemeClr w14:val="tx1"/>
                        </w14:solidFill>
                      </w14:textFill>
                    </w:rPr>
                    <w:t>2</w:t>
                  </w:r>
                  <w:r>
                    <w:rPr>
                      <w:rFonts w:hint="default" w:ascii="Times New Roman" w:hAnsi="Times New Roman" w:cs="Times New Roman"/>
                      <w:color w:val="000000" w:themeColor="text1"/>
                      <w:kern w:val="0"/>
                      <w:sz w:val="21"/>
                      <w:szCs w:val="21"/>
                      <w:highlight w:val="none"/>
                      <w:lang w:val="en-US" w:eastAsia="zh-CN"/>
                      <w14:textFill>
                        <w14:solidFill>
                          <w14:schemeClr w14:val="tx1"/>
                        </w14:solidFill>
                      </w14:textFill>
                    </w:rPr>
                    <w:t>的</w:t>
                  </w:r>
                  <w:r>
                    <w:rPr>
                      <w:rFonts w:hint="default" w:ascii="Times New Roman" w:hAnsi="Times New Roman" w:cs="Times New Roman"/>
                      <w:b w:val="0"/>
                      <w:bCs w:val="0"/>
                      <w:color w:val="000000" w:themeColor="text1"/>
                      <w:kern w:val="0"/>
                      <w:sz w:val="21"/>
                      <w:szCs w:val="21"/>
                      <w:highlight w:val="none"/>
                      <w:lang w:val="en-US" w:eastAsia="zh-CN"/>
                      <w14:textFill>
                        <w14:solidFill>
                          <w14:schemeClr w14:val="tx1"/>
                        </w14:solidFill>
                      </w14:textFill>
                    </w:rPr>
                    <w:t>，定期送综合利用</w:t>
                  </w:r>
                </w:p>
              </w:tc>
              <w:tc>
                <w:tcPr>
                  <w:tcW w:w="592" w:type="pct"/>
                  <w:noWrap w:val="0"/>
                  <w:vAlign w:val="center"/>
                </w:tcPr>
                <w:p w14:paraId="075F8923">
                  <w:pPr>
                    <w:adjustRightInd w:val="0"/>
                    <w:snapToGrid w:val="0"/>
                    <w:spacing w:line="240" w:lineRule="auto"/>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0.5</w:t>
                  </w:r>
                </w:p>
              </w:tc>
            </w:tr>
            <w:tr w14:paraId="5D6F0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 w:hRule="atLeast"/>
                <w:jc w:val="center"/>
              </w:trPr>
              <w:tc>
                <w:tcPr>
                  <w:tcW w:w="374" w:type="pct"/>
                  <w:vMerge w:val="continue"/>
                  <w:noWrap w:val="0"/>
                  <w:vAlign w:val="center"/>
                </w:tcPr>
                <w:p w14:paraId="57648802">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p>
              </w:tc>
              <w:tc>
                <w:tcPr>
                  <w:tcW w:w="403" w:type="pct"/>
                  <w:vMerge w:val="continue"/>
                  <w:noWrap w:val="0"/>
                  <w:vAlign w:val="center"/>
                </w:tcPr>
                <w:p w14:paraId="78AB74BC">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p>
              </w:tc>
              <w:tc>
                <w:tcPr>
                  <w:tcW w:w="679" w:type="pct"/>
                  <w:noWrap w:val="0"/>
                  <w:vAlign w:val="center"/>
                </w:tcPr>
                <w:p w14:paraId="0D569C34">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废滤芯</w:t>
                  </w:r>
                </w:p>
              </w:tc>
              <w:tc>
                <w:tcPr>
                  <w:tcW w:w="2949" w:type="pct"/>
                  <w:noWrap w:val="0"/>
                  <w:vAlign w:val="center"/>
                </w:tcPr>
                <w:p w14:paraId="251B3AA7">
                  <w:pPr>
                    <w:adjustRightInd w:val="0"/>
                    <w:snapToGrid w:val="0"/>
                    <w:spacing w:line="240" w:lineRule="auto"/>
                    <w:jc w:val="left"/>
                    <w:rPr>
                      <w:rFonts w:hint="default" w:ascii="Times New Roman" w:hAnsi="Times New Roman" w:cs="Times New Roman"/>
                      <w:b w:val="0"/>
                      <w:bCs w:val="0"/>
                      <w:color w:val="000000" w:themeColor="text1"/>
                      <w:kern w:val="0"/>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kern w:val="0"/>
                      <w:sz w:val="21"/>
                      <w:szCs w:val="21"/>
                      <w:highlight w:val="none"/>
                      <w:lang w:val="en-US" w:eastAsia="zh-CN"/>
                      <w14:textFill>
                        <w14:solidFill>
                          <w14:schemeClr w14:val="tx1"/>
                        </w14:solidFill>
                      </w14:textFill>
                    </w:rPr>
                    <w:t>空压站废滤芯一般固废库暂存新建</w:t>
                  </w:r>
                  <w:r>
                    <w:rPr>
                      <w:rFonts w:hint="default" w:ascii="Times New Roman" w:hAnsi="Times New Roman" w:cs="Times New Roman"/>
                      <w:color w:val="000000" w:themeColor="text1"/>
                      <w:kern w:val="0"/>
                      <w:sz w:val="21"/>
                      <w:szCs w:val="21"/>
                      <w:highlight w:val="none"/>
                      <w:lang w:val="en-US" w:eastAsia="zh-CN"/>
                      <w14:textFill>
                        <w14:solidFill>
                          <w14:schemeClr w14:val="tx1"/>
                        </w14:solidFill>
                      </w14:textFill>
                    </w:rPr>
                    <w:t>50m</w:t>
                  </w:r>
                  <w:r>
                    <w:rPr>
                      <w:rFonts w:hint="default" w:ascii="Times New Roman" w:hAnsi="Times New Roman" w:cs="Times New Roman"/>
                      <w:color w:val="000000" w:themeColor="text1"/>
                      <w:kern w:val="0"/>
                      <w:sz w:val="21"/>
                      <w:szCs w:val="21"/>
                      <w:highlight w:val="none"/>
                      <w:vertAlign w:val="superscript"/>
                      <w:lang w:val="en-US" w:eastAsia="zh-CN"/>
                      <w14:textFill>
                        <w14:solidFill>
                          <w14:schemeClr w14:val="tx1"/>
                        </w14:solidFill>
                      </w14:textFill>
                    </w:rPr>
                    <w:t>2</w:t>
                  </w:r>
                  <w:r>
                    <w:rPr>
                      <w:rFonts w:hint="default" w:ascii="Times New Roman" w:hAnsi="Times New Roman" w:cs="Times New Roman"/>
                      <w:b w:val="0"/>
                      <w:bCs w:val="0"/>
                      <w:color w:val="000000" w:themeColor="text1"/>
                      <w:kern w:val="0"/>
                      <w:sz w:val="21"/>
                      <w:szCs w:val="21"/>
                      <w:highlight w:val="none"/>
                      <w:lang w:val="en-US" w:eastAsia="zh-CN"/>
                      <w14:textFill>
                        <w14:solidFill>
                          <w14:schemeClr w14:val="tx1"/>
                        </w14:solidFill>
                      </w14:textFill>
                    </w:rPr>
                    <w:t>，定期送综合利用</w:t>
                  </w:r>
                </w:p>
              </w:tc>
              <w:tc>
                <w:tcPr>
                  <w:tcW w:w="592" w:type="pct"/>
                  <w:noWrap w:val="0"/>
                  <w:vAlign w:val="center"/>
                </w:tcPr>
                <w:p w14:paraId="67C1D475">
                  <w:pPr>
                    <w:adjustRightInd w:val="0"/>
                    <w:snapToGrid w:val="0"/>
                    <w:spacing w:line="240" w:lineRule="auto"/>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0.5</w:t>
                  </w:r>
                </w:p>
              </w:tc>
            </w:tr>
            <w:tr w14:paraId="35790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374" w:type="pct"/>
                  <w:vMerge w:val="continue"/>
                  <w:noWrap w:val="0"/>
                  <w:vAlign w:val="center"/>
                </w:tcPr>
                <w:p w14:paraId="5BF5D8F2">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p>
              </w:tc>
              <w:tc>
                <w:tcPr>
                  <w:tcW w:w="403" w:type="pct"/>
                  <w:vMerge w:val="continue"/>
                  <w:noWrap w:val="0"/>
                  <w:vAlign w:val="center"/>
                </w:tcPr>
                <w:p w14:paraId="4418DC8F">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p>
              </w:tc>
              <w:tc>
                <w:tcPr>
                  <w:tcW w:w="679" w:type="pct"/>
                  <w:noWrap w:val="0"/>
                  <w:vAlign w:val="center"/>
                </w:tcPr>
                <w:p w14:paraId="1B9F597B">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lang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eastAsia="zh-CN"/>
                      <w14:textFill>
                        <w14:solidFill>
                          <w14:schemeClr w14:val="tx1"/>
                        </w14:solidFill>
                      </w14:textFill>
                    </w:rPr>
                    <w:t>除尘器</w:t>
                  </w:r>
                </w:p>
                <w:p w14:paraId="14A56B7A">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lang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eastAsia="zh-CN"/>
                      <w14:textFill>
                        <w14:solidFill>
                          <w14:schemeClr w14:val="tx1"/>
                        </w14:solidFill>
                      </w14:textFill>
                    </w:rPr>
                    <w:t>回收尘</w:t>
                  </w:r>
                </w:p>
              </w:tc>
              <w:tc>
                <w:tcPr>
                  <w:tcW w:w="2949" w:type="pct"/>
                  <w:noWrap w:val="0"/>
                  <w:vAlign w:val="center"/>
                </w:tcPr>
                <w:p w14:paraId="13F0FFB7">
                  <w:pPr>
                    <w:adjustRightInd w:val="0"/>
                    <w:snapToGrid w:val="0"/>
                    <w:spacing w:line="240" w:lineRule="auto"/>
                    <w:jc w:val="left"/>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kern w:val="0"/>
                      <w:sz w:val="21"/>
                      <w:szCs w:val="21"/>
                      <w:highlight w:val="none"/>
                      <w:lang w:val="en-US" w:eastAsia="zh-CN"/>
                      <w14:textFill>
                        <w14:solidFill>
                          <w14:schemeClr w14:val="tx1"/>
                        </w14:solidFill>
                      </w14:textFill>
                    </w:rPr>
                    <w:t>定期外售综合利用，</w:t>
                  </w:r>
                  <w:r>
                    <w:rPr>
                      <w:rFonts w:hint="default" w:ascii="Times New Roman" w:hAnsi="Times New Roman" w:cs="Times New Roman"/>
                      <w:b w:val="0"/>
                      <w:bCs w:val="0"/>
                      <w:color w:val="000000" w:themeColor="text1"/>
                      <w:kern w:val="0"/>
                      <w:sz w:val="21"/>
                      <w:szCs w:val="21"/>
                      <w:highlight w:val="none"/>
                      <w:lang w:eastAsia="zh-CN"/>
                      <w14:textFill>
                        <w14:solidFill>
                          <w14:schemeClr w14:val="tx1"/>
                        </w14:solidFill>
                      </w14:textFill>
                    </w:rPr>
                    <w:t>不外排</w:t>
                  </w:r>
                  <w:r>
                    <w:rPr>
                      <w:rFonts w:hint="default" w:ascii="Times New Roman" w:hAnsi="Times New Roman" w:cs="Times New Roman"/>
                      <w:b w:val="0"/>
                      <w:bCs w:val="0"/>
                      <w:color w:val="000000" w:themeColor="text1"/>
                      <w:sz w:val="21"/>
                      <w:szCs w:val="21"/>
                      <w:highlight w:val="none"/>
                      <w14:textFill>
                        <w14:solidFill>
                          <w14:schemeClr w14:val="tx1"/>
                        </w14:solidFill>
                      </w14:textFill>
                    </w:rPr>
                    <w:t>。</w:t>
                  </w:r>
                </w:p>
              </w:tc>
              <w:tc>
                <w:tcPr>
                  <w:tcW w:w="592" w:type="pct"/>
                  <w:noWrap w:val="0"/>
                  <w:vAlign w:val="center"/>
                </w:tcPr>
                <w:p w14:paraId="2CC95B5C">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w:t>
                  </w:r>
                </w:p>
              </w:tc>
            </w:tr>
            <w:tr w14:paraId="7990B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374" w:type="pct"/>
                  <w:vMerge w:val="continue"/>
                  <w:noWrap w:val="0"/>
                  <w:vAlign w:val="center"/>
                </w:tcPr>
                <w:p w14:paraId="7FB9AB3A">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p>
              </w:tc>
              <w:tc>
                <w:tcPr>
                  <w:tcW w:w="403" w:type="pct"/>
                  <w:vMerge w:val="continue"/>
                  <w:noWrap w:val="0"/>
                  <w:vAlign w:val="center"/>
                </w:tcPr>
                <w:p w14:paraId="6C11BC2B">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p>
              </w:tc>
              <w:tc>
                <w:tcPr>
                  <w:tcW w:w="679" w:type="pct"/>
                  <w:noWrap w:val="0"/>
                  <w:vAlign w:val="center"/>
                </w:tcPr>
                <w:p w14:paraId="65922C7F">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lang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eastAsia="zh-CN"/>
                      <w14:textFill>
                        <w14:solidFill>
                          <w14:schemeClr w14:val="tx1"/>
                        </w14:solidFill>
                      </w14:textFill>
                    </w:rPr>
                    <w:t>不合格品（</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黄料</w:t>
                  </w:r>
                  <w:r>
                    <w:rPr>
                      <w:rFonts w:hint="default" w:ascii="Times New Roman" w:hAnsi="Times New Roman" w:cs="Times New Roman"/>
                      <w:b w:val="0"/>
                      <w:bCs w:val="0"/>
                      <w:color w:val="000000" w:themeColor="text1"/>
                      <w:sz w:val="21"/>
                      <w:szCs w:val="21"/>
                      <w:highlight w:val="none"/>
                      <w:lang w:eastAsia="zh-CN"/>
                      <w14:textFill>
                        <w14:solidFill>
                          <w14:schemeClr w14:val="tx1"/>
                        </w14:solidFill>
                      </w14:textFill>
                    </w:rPr>
                    <w:t>）</w:t>
                  </w:r>
                </w:p>
              </w:tc>
              <w:tc>
                <w:tcPr>
                  <w:tcW w:w="2949" w:type="pct"/>
                  <w:noWrap w:val="0"/>
                  <w:vAlign w:val="center"/>
                </w:tcPr>
                <w:p w14:paraId="2719B4F4">
                  <w:pPr>
                    <w:adjustRightInd w:val="0"/>
                    <w:snapToGrid w:val="0"/>
                    <w:spacing w:line="240" w:lineRule="auto"/>
                    <w:jc w:val="left"/>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kern w:val="0"/>
                      <w:sz w:val="21"/>
                      <w:szCs w:val="21"/>
                      <w:highlight w:val="none"/>
                      <w:lang w:val="en-US" w:eastAsia="zh-CN"/>
                      <w14:textFill>
                        <w14:solidFill>
                          <w14:schemeClr w14:val="tx1"/>
                        </w14:solidFill>
                      </w14:textFill>
                    </w:rPr>
                    <w:t>暂存2个筒仓，定期外售综合利用，</w:t>
                  </w:r>
                  <w:r>
                    <w:rPr>
                      <w:rFonts w:hint="default" w:ascii="Times New Roman" w:hAnsi="Times New Roman" w:cs="Times New Roman"/>
                      <w:b w:val="0"/>
                      <w:bCs w:val="0"/>
                      <w:color w:val="000000" w:themeColor="text1"/>
                      <w:kern w:val="0"/>
                      <w:sz w:val="21"/>
                      <w:szCs w:val="21"/>
                      <w:highlight w:val="none"/>
                      <w:lang w:eastAsia="zh-CN"/>
                      <w14:textFill>
                        <w14:solidFill>
                          <w14:schemeClr w14:val="tx1"/>
                        </w14:solidFill>
                      </w14:textFill>
                    </w:rPr>
                    <w:t>不外排</w:t>
                  </w:r>
                  <w:r>
                    <w:rPr>
                      <w:rFonts w:hint="default" w:ascii="Times New Roman" w:hAnsi="Times New Roman" w:cs="Times New Roman"/>
                      <w:b w:val="0"/>
                      <w:bCs w:val="0"/>
                      <w:color w:val="000000" w:themeColor="text1"/>
                      <w:sz w:val="21"/>
                      <w:szCs w:val="21"/>
                      <w:highlight w:val="none"/>
                      <w14:textFill>
                        <w14:solidFill>
                          <w14:schemeClr w14:val="tx1"/>
                        </w14:solidFill>
                      </w14:textFill>
                    </w:rPr>
                    <w:t>。</w:t>
                  </w:r>
                </w:p>
              </w:tc>
              <w:tc>
                <w:tcPr>
                  <w:tcW w:w="592" w:type="pct"/>
                  <w:noWrap w:val="0"/>
                  <w:vAlign w:val="center"/>
                </w:tcPr>
                <w:p w14:paraId="710B0221">
                  <w:pPr>
                    <w:adjustRightInd w:val="0"/>
                    <w:snapToGrid w:val="0"/>
                    <w:spacing w:line="240" w:lineRule="auto"/>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w:t>
                  </w:r>
                </w:p>
              </w:tc>
            </w:tr>
            <w:tr w14:paraId="753F3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374" w:type="pct"/>
                  <w:vMerge w:val="continue"/>
                  <w:noWrap w:val="0"/>
                  <w:vAlign w:val="center"/>
                </w:tcPr>
                <w:p w14:paraId="2E61C2A3">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p>
              </w:tc>
              <w:tc>
                <w:tcPr>
                  <w:tcW w:w="403" w:type="pct"/>
                  <w:vMerge w:val="continue"/>
                  <w:noWrap w:val="0"/>
                  <w:vAlign w:val="center"/>
                </w:tcPr>
                <w:p w14:paraId="31BEA977">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p>
              </w:tc>
              <w:tc>
                <w:tcPr>
                  <w:tcW w:w="679" w:type="pct"/>
                  <w:noWrap w:val="0"/>
                  <w:vAlign w:val="center"/>
                </w:tcPr>
                <w:p w14:paraId="12CFBC48">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脱硫废水处理污泥</w:t>
                  </w:r>
                </w:p>
              </w:tc>
              <w:tc>
                <w:tcPr>
                  <w:tcW w:w="2949" w:type="pct"/>
                  <w:noWrap w:val="0"/>
                  <w:vAlign w:val="center"/>
                </w:tcPr>
                <w:p w14:paraId="21A72943">
                  <w:pPr>
                    <w:adjustRightInd w:val="0"/>
                    <w:snapToGrid w:val="0"/>
                    <w:spacing w:line="240" w:lineRule="auto"/>
                    <w:jc w:val="left"/>
                    <w:rPr>
                      <w:rFonts w:hint="default" w:ascii="Times New Roman" w:hAnsi="Times New Roman" w:cs="Times New Roman"/>
                      <w:b w:val="0"/>
                      <w:bCs w:val="0"/>
                      <w:color w:val="000000" w:themeColor="text1"/>
                      <w:kern w:val="0"/>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pacing w:val="1"/>
                      <w:sz w:val="21"/>
                      <w:szCs w:val="21"/>
                      <w:highlight w:val="none"/>
                      <w:lang w:val="en-US" w:eastAsia="zh-CN"/>
                      <w14:textFill>
                        <w14:solidFill>
                          <w14:schemeClr w14:val="tx1"/>
                        </w14:solidFill>
                      </w14:textFill>
                    </w:rPr>
                    <w:t>暂存</w:t>
                  </w:r>
                  <w:r>
                    <w:rPr>
                      <w:rFonts w:hint="default" w:ascii="Times New Roman" w:hAnsi="Times New Roman" w:cs="Times New Roman"/>
                      <w:b w:val="0"/>
                      <w:bCs w:val="0"/>
                      <w:color w:val="000000" w:themeColor="text1"/>
                      <w:kern w:val="0"/>
                      <w:sz w:val="21"/>
                      <w:szCs w:val="21"/>
                      <w:highlight w:val="none"/>
                      <w:lang w:val="en-US" w:eastAsia="zh-CN"/>
                      <w14:textFill>
                        <w14:solidFill>
                          <w14:schemeClr w14:val="tx1"/>
                        </w14:solidFill>
                      </w14:textFill>
                    </w:rPr>
                    <w:t>新建</w:t>
                  </w:r>
                  <w:r>
                    <w:rPr>
                      <w:rFonts w:hint="default" w:ascii="Times New Roman" w:hAnsi="Times New Roman" w:cs="Times New Roman"/>
                      <w:color w:val="000000" w:themeColor="text1"/>
                      <w:kern w:val="0"/>
                      <w:sz w:val="21"/>
                      <w:szCs w:val="21"/>
                      <w:highlight w:val="none"/>
                      <w:lang w:val="en-US" w:eastAsia="zh-CN"/>
                      <w14:textFill>
                        <w14:solidFill>
                          <w14:schemeClr w14:val="tx1"/>
                        </w14:solidFill>
                      </w14:textFill>
                    </w:rPr>
                    <w:t>30m</w:t>
                  </w:r>
                  <w:r>
                    <w:rPr>
                      <w:rFonts w:hint="default" w:ascii="Times New Roman" w:hAnsi="Times New Roman" w:cs="Times New Roman"/>
                      <w:color w:val="000000" w:themeColor="text1"/>
                      <w:kern w:val="0"/>
                      <w:sz w:val="21"/>
                      <w:szCs w:val="21"/>
                      <w:highlight w:val="none"/>
                      <w:vertAlign w:val="superscript"/>
                      <w:lang w:val="en-US" w:eastAsia="zh-CN"/>
                      <w14:textFill>
                        <w14:solidFill>
                          <w14:schemeClr w14:val="tx1"/>
                        </w14:solidFill>
                      </w14:textFill>
                    </w:rPr>
                    <w:t>2</w:t>
                  </w:r>
                  <w:r>
                    <w:rPr>
                      <w:rFonts w:hint="default" w:ascii="Times New Roman" w:hAnsi="Times New Roman" w:cs="Times New Roman"/>
                      <w:color w:val="000000" w:themeColor="text1"/>
                      <w:kern w:val="0"/>
                      <w:sz w:val="21"/>
                      <w:szCs w:val="21"/>
                      <w:highlight w:val="none"/>
                      <w:lang w:val="en-US" w:eastAsia="zh-CN"/>
                      <w14:textFill>
                        <w14:solidFill>
                          <w14:schemeClr w14:val="tx1"/>
                        </w14:solidFill>
                      </w14:textFill>
                    </w:rPr>
                    <w:t>的</w:t>
                  </w:r>
                  <w:r>
                    <w:rPr>
                      <w:rFonts w:hint="default" w:ascii="Times New Roman" w:hAnsi="Times New Roman" w:cs="Times New Roman"/>
                      <w:color w:val="000000" w:themeColor="text1"/>
                      <w:spacing w:val="1"/>
                      <w:sz w:val="21"/>
                      <w:szCs w:val="21"/>
                      <w:highlight w:val="none"/>
                      <w:lang w:val="en-US" w:eastAsia="zh-CN"/>
                      <w14:textFill>
                        <w14:solidFill>
                          <w14:schemeClr w14:val="tx1"/>
                        </w14:solidFill>
                      </w14:textFill>
                    </w:rPr>
                    <w:t>危废库，</w:t>
                  </w:r>
                  <w:r>
                    <w:rPr>
                      <w:rFonts w:hint="default" w:ascii="Times New Roman" w:hAnsi="Times New Roman" w:cs="Times New Roman"/>
                      <w:b w:val="0"/>
                      <w:bCs w:val="0"/>
                      <w:color w:val="000000" w:themeColor="text1"/>
                      <w:kern w:val="0"/>
                      <w:sz w:val="21"/>
                      <w:szCs w:val="21"/>
                      <w:highlight w:val="none"/>
                      <w:lang w:val="en-US" w:eastAsia="zh-CN"/>
                      <w14:textFill>
                        <w14:solidFill>
                          <w14:schemeClr w14:val="tx1"/>
                        </w14:solidFill>
                      </w14:textFill>
                    </w:rPr>
                    <w:t>定期送有资质的处置，</w:t>
                  </w:r>
                  <w:r>
                    <w:rPr>
                      <w:rFonts w:hint="default" w:ascii="Times New Roman" w:hAnsi="Times New Roman" w:cs="Times New Roman"/>
                      <w:b w:val="0"/>
                      <w:bCs w:val="0"/>
                      <w:color w:val="000000" w:themeColor="text1"/>
                      <w:kern w:val="0"/>
                      <w:sz w:val="21"/>
                      <w:szCs w:val="21"/>
                      <w:highlight w:val="none"/>
                      <w:lang w:eastAsia="zh-CN"/>
                      <w14:textFill>
                        <w14:solidFill>
                          <w14:schemeClr w14:val="tx1"/>
                        </w14:solidFill>
                      </w14:textFill>
                    </w:rPr>
                    <w:t>不外排</w:t>
                  </w:r>
                  <w:r>
                    <w:rPr>
                      <w:rFonts w:hint="default" w:ascii="Times New Roman" w:hAnsi="Times New Roman" w:cs="Times New Roman"/>
                      <w:b w:val="0"/>
                      <w:bCs w:val="0"/>
                      <w:color w:val="000000" w:themeColor="text1"/>
                      <w:sz w:val="21"/>
                      <w:szCs w:val="21"/>
                      <w:highlight w:val="none"/>
                      <w14:textFill>
                        <w14:solidFill>
                          <w14:schemeClr w14:val="tx1"/>
                        </w14:solidFill>
                      </w14:textFill>
                    </w:rPr>
                    <w:t>。</w:t>
                  </w:r>
                </w:p>
              </w:tc>
              <w:tc>
                <w:tcPr>
                  <w:tcW w:w="592" w:type="pct"/>
                  <w:noWrap w:val="0"/>
                  <w:vAlign w:val="center"/>
                </w:tcPr>
                <w:p w14:paraId="0D0420A8">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1</w:t>
                  </w:r>
                </w:p>
              </w:tc>
            </w:tr>
            <w:tr w14:paraId="58711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374" w:type="pct"/>
                  <w:vMerge w:val="continue"/>
                  <w:noWrap w:val="0"/>
                  <w:vAlign w:val="center"/>
                </w:tcPr>
                <w:p w14:paraId="46152B46">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p>
              </w:tc>
              <w:tc>
                <w:tcPr>
                  <w:tcW w:w="403" w:type="pct"/>
                  <w:vMerge w:val="continue"/>
                  <w:noWrap w:val="0"/>
                  <w:vAlign w:val="center"/>
                </w:tcPr>
                <w:p w14:paraId="5C421C56">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p>
              </w:tc>
              <w:tc>
                <w:tcPr>
                  <w:tcW w:w="679" w:type="pct"/>
                  <w:noWrap w:val="0"/>
                  <w:vAlign w:val="center"/>
                </w:tcPr>
                <w:p w14:paraId="42C01D46">
                  <w:pPr>
                    <w:adjustRightInd w:val="0"/>
                    <w:snapToGrid w:val="0"/>
                    <w:spacing w:line="240" w:lineRule="auto"/>
                    <w:jc w:val="cente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脱硫石膏</w:t>
                  </w:r>
                </w:p>
              </w:tc>
              <w:tc>
                <w:tcPr>
                  <w:tcW w:w="2949" w:type="pct"/>
                  <w:noWrap w:val="0"/>
                  <w:vAlign w:val="center"/>
                </w:tcPr>
                <w:p w14:paraId="69951BDA">
                  <w:pPr>
                    <w:adjustRightInd w:val="0"/>
                    <w:snapToGrid w:val="0"/>
                    <w:spacing w:line="240" w:lineRule="auto"/>
                    <w:jc w:val="left"/>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pacing w:val="1"/>
                      <w:sz w:val="21"/>
                      <w:szCs w:val="21"/>
                      <w:highlight w:val="none"/>
                      <w:lang w:val="en-US" w:eastAsia="zh-CN"/>
                      <w14:textFill>
                        <w14:solidFill>
                          <w14:schemeClr w14:val="tx1"/>
                        </w14:solidFill>
                      </w14:textFill>
                    </w:rPr>
                    <w:t>暂存</w:t>
                  </w:r>
                  <w:r>
                    <w:rPr>
                      <w:rFonts w:hint="default" w:ascii="Times New Roman" w:hAnsi="Times New Roman" w:cs="Times New Roman"/>
                      <w:b w:val="0"/>
                      <w:bCs w:val="0"/>
                      <w:color w:val="000000" w:themeColor="text1"/>
                      <w:kern w:val="0"/>
                      <w:sz w:val="21"/>
                      <w:szCs w:val="21"/>
                      <w:highlight w:val="none"/>
                      <w:lang w:val="en-US" w:eastAsia="zh-CN"/>
                      <w14:textFill>
                        <w14:solidFill>
                          <w14:schemeClr w14:val="tx1"/>
                        </w14:solidFill>
                      </w14:textFill>
                    </w:rPr>
                    <w:t>新建</w:t>
                  </w:r>
                  <w:r>
                    <w:rPr>
                      <w:rFonts w:hint="default" w:ascii="Times New Roman" w:hAnsi="Times New Roman" w:cs="Times New Roman"/>
                      <w:color w:val="000000" w:themeColor="text1"/>
                      <w:kern w:val="0"/>
                      <w:sz w:val="21"/>
                      <w:szCs w:val="21"/>
                      <w:highlight w:val="none"/>
                      <w:lang w:val="en-US" w:eastAsia="zh-CN"/>
                      <w14:textFill>
                        <w14:solidFill>
                          <w14:schemeClr w14:val="tx1"/>
                        </w14:solidFill>
                      </w14:textFill>
                    </w:rPr>
                    <w:t>50m</w:t>
                  </w:r>
                  <w:r>
                    <w:rPr>
                      <w:rFonts w:hint="default" w:ascii="Times New Roman" w:hAnsi="Times New Roman" w:cs="Times New Roman"/>
                      <w:color w:val="000000" w:themeColor="text1"/>
                      <w:kern w:val="0"/>
                      <w:sz w:val="21"/>
                      <w:szCs w:val="21"/>
                      <w:highlight w:val="none"/>
                      <w:vertAlign w:val="superscript"/>
                      <w:lang w:val="en-US" w:eastAsia="zh-CN"/>
                      <w14:textFill>
                        <w14:solidFill>
                          <w14:schemeClr w14:val="tx1"/>
                        </w14:solidFill>
                      </w14:textFill>
                    </w:rPr>
                    <w:t>2</w:t>
                  </w:r>
                  <w:r>
                    <w:rPr>
                      <w:rFonts w:hint="default" w:ascii="Times New Roman" w:hAnsi="Times New Roman" w:cs="Times New Roman"/>
                      <w:color w:val="000000" w:themeColor="text1"/>
                      <w:kern w:val="0"/>
                      <w:sz w:val="21"/>
                      <w:szCs w:val="21"/>
                      <w:highlight w:val="none"/>
                      <w:lang w:val="en-US" w:eastAsia="zh-CN"/>
                      <w14:textFill>
                        <w14:solidFill>
                          <w14:schemeClr w14:val="tx1"/>
                        </w14:solidFill>
                      </w14:textFill>
                    </w:rPr>
                    <w:t>的</w:t>
                  </w:r>
                  <w:r>
                    <w:rPr>
                      <w:rFonts w:hint="default" w:ascii="Times New Roman" w:hAnsi="Times New Roman" w:cs="Times New Roman"/>
                      <w:b w:val="0"/>
                      <w:bCs w:val="0"/>
                      <w:color w:val="000000" w:themeColor="text1"/>
                      <w:kern w:val="0"/>
                      <w:sz w:val="21"/>
                      <w:szCs w:val="21"/>
                      <w:highlight w:val="none"/>
                      <w:lang w:val="en-US" w:eastAsia="zh-CN"/>
                      <w14:textFill>
                        <w14:solidFill>
                          <w14:schemeClr w14:val="tx1"/>
                        </w14:solidFill>
                      </w14:textFill>
                    </w:rPr>
                    <w:t>一般固废库暂存，定期外售</w:t>
                  </w:r>
                  <w:r>
                    <w:rPr>
                      <w:rFonts w:hint="default" w:ascii="Times New Roman" w:hAnsi="Times New Roman" w:cs="Times New Roman"/>
                      <w:b w:val="0"/>
                      <w:bCs w:val="0"/>
                      <w:color w:val="000000" w:themeColor="text1"/>
                      <w:kern w:val="0"/>
                      <w:sz w:val="21"/>
                      <w:szCs w:val="21"/>
                      <w:highlight w:val="none"/>
                      <w14:textFill>
                        <w14:solidFill>
                          <w14:schemeClr w14:val="tx1"/>
                        </w14:solidFill>
                      </w14:textFill>
                    </w:rPr>
                    <w:t>作为原材料</w:t>
                  </w:r>
                  <w:r>
                    <w:rPr>
                      <w:rFonts w:hint="default" w:ascii="Times New Roman" w:hAnsi="Times New Roman" w:cs="Times New Roman"/>
                      <w:b w:val="0"/>
                      <w:bCs w:val="0"/>
                      <w:color w:val="000000" w:themeColor="text1"/>
                      <w:kern w:val="0"/>
                      <w:sz w:val="21"/>
                      <w:szCs w:val="21"/>
                      <w:highlight w:val="none"/>
                      <w:lang w:val="en-US" w:eastAsia="zh-CN"/>
                      <w14:textFill>
                        <w14:solidFill>
                          <w14:schemeClr w14:val="tx1"/>
                        </w14:solidFill>
                      </w14:textFill>
                    </w:rPr>
                    <w:t>综合利用</w:t>
                  </w:r>
                  <w:r>
                    <w:rPr>
                      <w:rFonts w:hint="default" w:ascii="Times New Roman" w:hAnsi="Times New Roman" w:cs="Times New Roman"/>
                      <w:b w:val="0"/>
                      <w:bCs w:val="0"/>
                      <w:color w:val="000000" w:themeColor="text1"/>
                      <w:kern w:val="0"/>
                      <w:sz w:val="21"/>
                      <w:szCs w:val="21"/>
                      <w:highlight w:val="none"/>
                      <w:lang w:eastAsia="zh-CN"/>
                      <w14:textFill>
                        <w14:solidFill>
                          <w14:schemeClr w14:val="tx1"/>
                        </w14:solidFill>
                      </w14:textFill>
                    </w:rPr>
                    <w:t>，不外排</w:t>
                  </w:r>
                  <w:r>
                    <w:rPr>
                      <w:rFonts w:hint="default" w:ascii="Times New Roman" w:hAnsi="Times New Roman" w:cs="Times New Roman"/>
                      <w:b w:val="0"/>
                      <w:bCs w:val="0"/>
                      <w:color w:val="000000" w:themeColor="text1"/>
                      <w:sz w:val="21"/>
                      <w:szCs w:val="21"/>
                      <w:highlight w:val="none"/>
                      <w14:textFill>
                        <w14:solidFill>
                          <w14:schemeClr w14:val="tx1"/>
                        </w14:solidFill>
                      </w14:textFill>
                    </w:rPr>
                    <w:t>。</w:t>
                  </w:r>
                </w:p>
              </w:tc>
              <w:tc>
                <w:tcPr>
                  <w:tcW w:w="592" w:type="pct"/>
                  <w:noWrap w:val="0"/>
                  <w:vAlign w:val="center"/>
                </w:tcPr>
                <w:p w14:paraId="7273AC57">
                  <w:pPr>
                    <w:adjustRightInd w:val="0"/>
                    <w:snapToGrid w:val="0"/>
                    <w:spacing w:line="240" w:lineRule="auto"/>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w:t>
                  </w:r>
                </w:p>
              </w:tc>
            </w:tr>
            <w:tr w14:paraId="4939B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 w:hRule="atLeast"/>
                <w:jc w:val="center"/>
              </w:trPr>
              <w:tc>
                <w:tcPr>
                  <w:tcW w:w="374" w:type="pct"/>
                  <w:vMerge w:val="restart"/>
                  <w:noWrap w:val="0"/>
                  <w:vAlign w:val="center"/>
                </w:tcPr>
                <w:p w14:paraId="07F6BAD3">
                  <w:pPr>
                    <w:adjustRightInd w:val="0"/>
                    <w:snapToGrid w:val="0"/>
                    <w:spacing w:line="240" w:lineRule="auto"/>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5</w:t>
                  </w:r>
                </w:p>
              </w:tc>
              <w:tc>
                <w:tcPr>
                  <w:tcW w:w="403" w:type="pct"/>
                  <w:vMerge w:val="restart"/>
                  <w:noWrap w:val="0"/>
                  <w:vAlign w:val="center"/>
                </w:tcPr>
                <w:p w14:paraId="4FD0B61F">
                  <w:pPr>
                    <w:adjustRightInd w:val="0"/>
                    <w:snapToGrid w:val="0"/>
                    <w:spacing w:line="240" w:lineRule="auto"/>
                    <w:jc w:val="cente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eastAsia="zh-CN"/>
                      <w14:textFill>
                        <w14:solidFill>
                          <w14:schemeClr w14:val="tx1"/>
                        </w14:solidFill>
                      </w14:textFill>
                    </w:rPr>
                    <w:t>危废</w:t>
                  </w:r>
                </w:p>
              </w:tc>
              <w:tc>
                <w:tcPr>
                  <w:tcW w:w="679" w:type="pct"/>
                  <w:noWrap w:val="0"/>
                  <w:vAlign w:val="center"/>
                </w:tcPr>
                <w:p w14:paraId="7904C6D4">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eastAsia="zh-CN"/>
                      <w14:textFill>
                        <w14:solidFill>
                          <w14:schemeClr w14:val="tx1"/>
                        </w14:solidFill>
                      </w14:textFill>
                    </w:rPr>
                    <w:t>废机油</w:t>
                  </w:r>
                </w:p>
              </w:tc>
              <w:tc>
                <w:tcPr>
                  <w:tcW w:w="2949" w:type="pct"/>
                  <w:vMerge w:val="restart"/>
                  <w:noWrap w:val="0"/>
                  <w:vAlign w:val="center"/>
                </w:tcPr>
                <w:p w14:paraId="7B80C664">
                  <w:pPr>
                    <w:adjustRightInd w:val="0"/>
                    <w:snapToGrid w:val="0"/>
                    <w:spacing w:line="240" w:lineRule="auto"/>
                    <w:jc w:val="both"/>
                    <w:rPr>
                      <w:rFonts w:hint="default" w:ascii="Times New Roman" w:hAnsi="Times New Roman" w:cs="Times New Roman"/>
                      <w:b w:val="0"/>
                      <w:bCs w:val="0"/>
                      <w:color w:val="000000" w:themeColor="text1"/>
                      <w:sz w:val="21"/>
                      <w:szCs w:val="21"/>
                      <w:highlight w:val="none"/>
                      <w:lang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eastAsia="zh-CN"/>
                      <w14:textFill>
                        <w14:solidFill>
                          <w14:schemeClr w14:val="tx1"/>
                        </w14:solidFill>
                      </w14:textFill>
                    </w:rPr>
                    <w:t>收集后暂存于</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30m</w:t>
                  </w:r>
                  <w:r>
                    <w:rPr>
                      <w:rFonts w:hint="default" w:ascii="Times New Roman" w:hAnsi="Times New Roman" w:cs="Times New Roman"/>
                      <w:b w:val="0"/>
                      <w:bCs w:val="0"/>
                      <w:color w:val="000000" w:themeColor="text1"/>
                      <w:sz w:val="21"/>
                      <w:szCs w:val="21"/>
                      <w:highlight w:val="none"/>
                      <w:vertAlign w:val="superscript"/>
                      <w:lang w:val="en-US" w:eastAsia="zh-CN"/>
                      <w14:textFill>
                        <w14:solidFill>
                          <w14:schemeClr w14:val="tx1"/>
                        </w14:solidFill>
                      </w14:textFill>
                    </w:rPr>
                    <w:t>3</w:t>
                  </w:r>
                  <w:r>
                    <w:rPr>
                      <w:rFonts w:hint="default" w:ascii="Times New Roman" w:hAnsi="Times New Roman" w:cs="Times New Roman"/>
                      <w:b w:val="0"/>
                      <w:bCs w:val="0"/>
                      <w:color w:val="000000" w:themeColor="text1"/>
                      <w:sz w:val="21"/>
                      <w:szCs w:val="21"/>
                      <w:highlight w:val="none"/>
                      <w:lang w:eastAsia="zh-CN"/>
                      <w14:textFill>
                        <w14:solidFill>
                          <w14:schemeClr w14:val="tx1"/>
                        </w14:solidFill>
                      </w14:textFill>
                    </w:rPr>
                    <w:t>危废暂存间，定期委托有危废处理资质的单位处理。</w:t>
                  </w:r>
                </w:p>
              </w:tc>
              <w:tc>
                <w:tcPr>
                  <w:tcW w:w="592" w:type="pct"/>
                  <w:vMerge w:val="restart"/>
                  <w:noWrap w:val="0"/>
                  <w:vAlign w:val="center"/>
                </w:tcPr>
                <w:p w14:paraId="52E62B1F">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2</w:t>
                  </w:r>
                </w:p>
              </w:tc>
            </w:tr>
            <w:tr w14:paraId="25EBE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374" w:type="pct"/>
                  <w:vMerge w:val="continue"/>
                  <w:noWrap w:val="0"/>
                  <w:vAlign w:val="center"/>
                </w:tcPr>
                <w:p w14:paraId="2817EB66">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p>
              </w:tc>
              <w:tc>
                <w:tcPr>
                  <w:tcW w:w="403" w:type="pct"/>
                  <w:vMerge w:val="continue"/>
                  <w:noWrap w:val="0"/>
                  <w:vAlign w:val="center"/>
                </w:tcPr>
                <w:p w14:paraId="367B42E7">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lang w:eastAsia="zh-CN"/>
                      <w14:textFill>
                        <w14:solidFill>
                          <w14:schemeClr w14:val="tx1"/>
                        </w14:solidFill>
                      </w14:textFill>
                    </w:rPr>
                  </w:pPr>
                </w:p>
              </w:tc>
              <w:tc>
                <w:tcPr>
                  <w:tcW w:w="679" w:type="pct"/>
                  <w:noWrap w:val="0"/>
                  <w:vAlign w:val="center"/>
                </w:tcPr>
                <w:p w14:paraId="1550AB59">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废油桶</w:t>
                  </w:r>
                </w:p>
              </w:tc>
              <w:tc>
                <w:tcPr>
                  <w:tcW w:w="2949" w:type="pct"/>
                  <w:vMerge w:val="continue"/>
                  <w:noWrap w:val="0"/>
                  <w:vAlign w:val="center"/>
                </w:tcPr>
                <w:p w14:paraId="1CEF9934">
                  <w:pPr>
                    <w:adjustRightInd w:val="0"/>
                    <w:snapToGrid w:val="0"/>
                    <w:spacing w:line="240" w:lineRule="auto"/>
                    <w:ind w:firstLine="420" w:firstLineChars="200"/>
                    <w:jc w:val="both"/>
                    <w:rPr>
                      <w:rFonts w:hint="default" w:ascii="Times New Roman" w:hAnsi="Times New Roman" w:cs="Times New Roman"/>
                      <w:b w:val="0"/>
                      <w:bCs w:val="0"/>
                      <w:color w:val="000000" w:themeColor="text1"/>
                      <w:sz w:val="21"/>
                      <w:szCs w:val="21"/>
                      <w:highlight w:val="none"/>
                      <w:lang w:eastAsia="zh-CN"/>
                      <w14:textFill>
                        <w14:solidFill>
                          <w14:schemeClr w14:val="tx1"/>
                        </w14:solidFill>
                      </w14:textFill>
                    </w:rPr>
                  </w:pPr>
                </w:p>
              </w:tc>
              <w:tc>
                <w:tcPr>
                  <w:tcW w:w="592" w:type="pct"/>
                  <w:vMerge w:val="continue"/>
                  <w:noWrap w:val="0"/>
                  <w:vAlign w:val="center"/>
                </w:tcPr>
                <w:p w14:paraId="6D8C2D12">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p>
              </w:tc>
            </w:tr>
            <w:tr w14:paraId="3BED3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374" w:type="pct"/>
                  <w:noWrap w:val="0"/>
                  <w:vAlign w:val="center"/>
                </w:tcPr>
                <w:p w14:paraId="404BBBC4">
                  <w:pPr>
                    <w:adjustRightInd w:val="0"/>
                    <w:snapToGrid w:val="0"/>
                    <w:spacing w:line="240" w:lineRule="auto"/>
                    <w:jc w:val="cente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6</w:t>
                  </w:r>
                </w:p>
              </w:tc>
              <w:tc>
                <w:tcPr>
                  <w:tcW w:w="403" w:type="pct"/>
                  <w:noWrap w:val="0"/>
                  <w:vAlign w:val="center"/>
                </w:tcPr>
                <w:p w14:paraId="7A282C56">
                  <w:pPr>
                    <w:adjustRightInd w:val="0"/>
                    <w:snapToGrid w:val="0"/>
                    <w:spacing w:line="240" w:lineRule="auto"/>
                    <w:jc w:val="cente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防渗</w:t>
                  </w:r>
                </w:p>
              </w:tc>
              <w:tc>
                <w:tcPr>
                  <w:tcW w:w="3628" w:type="pct"/>
                  <w:gridSpan w:val="2"/>
                  <w:noWrap w:val="0"/>
                  <w:vAlign w:val="center"/>
                </w:tcPr>
                <w:p w14:paraId="3DFC3E1C">
                  <w:pPr>
                    <w:keepNext w:val="0"/>
                    <w:keepLines w:val="0"/>
                    <w:widowControl/>
                    <w:suppressLineNumbers w:val="0"/>
                    <w:spacing w:line="240" w:lineRule="auto"/>
                    <w:jc w:val="both"/>
                    <w:rPr>
                      <w:rFonts w:hint="eastAsia" w:ascii="Times New Roman" w:cs="Times New Roman"/>
                      <w:color w:val="000000" w:themeColor="text1"/>
                      <w:spacing w:val="1"/>
                      <w:sz w:val="21"/>
                      <w:szCs w:val="21"/>
                      <w:highlight w:val="none"/>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成品堆场、</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车间地面、厂区道路硬化</w:t>
                  </w: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w:t>
                  </w:r>
                  <w:r>
                    <w:rPr>
                      <w:rFonts w:hint="eastAsia" w:cs="Times New Roman"/>
                      <w:color w:val="000000" w:themeColor="text1"/>
                      <w:spacing w:val="1"/>
                      <w:sz w:val="21"/>
                      <w:szCs w:val="21"/>
                      <w:highlight w:val="none"/>
                      <w:lang w:val="en-US" w:eastAsia="zh-CN"/>
                      <w14:textFill>
                        <w14:solidFill>
                          <w14:schemeClr w14:val="tx1"/>
                        </w14:solidFill>
                      </w14:textFill>
                    </w:rPr>
                    <w:t>原料粉</w:t>
                  </w:r>
                  <w:r>
                    <w:rPr>
                      <w:rFonts w:hint="default" w:ascii="Times New Roman" w:hAnsi="Times New Roman" w:eastAsia="宋体" w:cs="Times New Roman"/>
                      <w:color w:val="000000" w:themeColor="text1"/>
                      <w:spacing w:val="1"/>
                      <w:sz w:val="21"/>
                      <w:szCs w:val="21"/>
                      <w:highlight w:val="none"/>
                      <w:lang w:val="en-US" w:eastAsia="zh-CN"/>
                      <w14:textFill>
                        <w14:solidFill>
                          <w14:schemeClr w14:val="tx1"/>
                        </w14:solidFill>
                      </w14:textFill>
                    </w:rPr>
                    <w:t>筒仓、机修车间</w:t>
                  </w:r>
                  <w:r>
                    <w:rPr>
                      <w:rFonts w:hint="default" w:ascii="Times New Roman" w:hAnsi="Times New Roman" w:eastAsia="宋体" w:cs="Times New Roman"/>
                      <w:color w:val="000000" w:themeColor="text1"/>
                      <w:spacing w:val="1"/>
                      <w:sz w:val="21"/>
                      <w:szCs w:val="21"/>
                      <w:highlight w:val="none"/>
                      <w14:textFill>
                        <w14:solidFill>
                          <w14:schemeClr w14:val="tx1"/>
                        </w14:solidFill>
                      </w14:textFill>
                    </w:rPr>
                    <w:t>、</w:t>
                  </w:r>
                  <w:r>
                    <w:rPr>
                      <w:rFonts w:hint="default" w:ascii="Times New Roman" w:hAnsi="Times New Roman" w:eastAsia="宋体" w:cs="Times New Roman"/>
                      <w:color w:val="000000" w:themeColor="text1"/>
                      <w:spacing w:val="1"/>
                      <w:sz w:val="21"/>
                      <w:szCs w:val="21"/>
                      <w:highlight w:val="none"/>
                      <w:lang w:val="en-US" w:eastAsia="zh-CN"/>
                      <w14:textFill>
                        <w14:solidFill>
                          <w14:schemeClr w14:val="tx1"/>
                        </w14:solidFill>
                      </w14:textFill>
                    </w:rPr>
                    <w:t>分选</w:t>
                  </w:r>
                  <w:r>
                    <w:rPr>
                      <w:rFonts w:hint="default" w:ascii="Times New Roman" w:hAnsi="Times New Roman" w:eastAsia="宋体" w:cs="Times New Roman"/>
                      <w:color w:val="000000" w:themeColor="text1"/>
                      <w:spacing w:val="1"/>
                      <w:sz w:val="21"/>
                      <w:szCs w:val="21"/>
                      <w:highlight w:val="none"/>
                      <w14:textFill>
                        <w14:solidFill>
                          <w14:schemeClr w14:val="tx1"/>
                        </w14:solidFill>
                      </w14:textFill>
                    </w:rPr>
                    <w:t>车间、</w:t>
                  </w:r>
                  <w:r>
                    <w:rPr>
                      <w:rFonts w:hint="default" w:ascii="Times New Roman" w:hAnsi="Times New Roman" w:eastAsia="宋体" w:cs="Times New Roman"/>
                      <w:color w:val="000000" w:themeColor="text1"/>
                      <w:spacing w:val="1"/>
                      <w:sz w:val="21"/>
                      <w:szCs w:val="21"/>
                      <w:highlight w:val="none"/>
                      <w:lang w:val="en-US" w:eastAsia="zh-CN"/>
                      <w14:textFill>
                        <w14:solidFill>
                          <w14:schemeClr w14:val="tx1"/>
                        </w14:solidFill>
                      </w14:textFill>
                    </w:rPr>
                    <w:t>悬浮炉和回转窑区</w:t>
                  </w:r>
                  <w:r>
                    <w:rPr>
                      <w:rFonts w:hint="default" w:ascii="Times New Roman" w:hAnsi="Times New Roman" w:eastAsia="宋体" w:cs="Times New Roman"/>
                      <w:color w:val="000000" w:themeColor="text1"/>
                      <w:spacing w:val="1"/>
                      <w:sz w:val="21"/>
                      <w:szCs w:val="21"/>
                      <w:highlight w:val="none"/>
                      <w14:textFill>
                        <w14:solidFill>
                          <w14:schemeClr w14:val="tx1"/>
                        </w14:solidFill>
                      </w14:textFill>
                    </w:rPr>
                    <w:t>、</w:t>
                  </w:r>
                  <w:r>
                    <w:rPr>
                      <w:rFonts w:hint="default" w:ascii="Times New Roman" w:hAnsi="Times New Roman" w:cs="Times New Roman"/>
                      <w:color w:val="000000" w:themeColor="text1"/>
                      <w:spacing w:val="1"/>
                      <w:sz w:val="21"/>
                      <w:szCs w:val="21"/>
                      <w:highlight w:val="none"/>
                      <w:lang w:val="en-US" w:eastAsia="zh-CN"/>
                      <w14:textFill>
                        <w14:solidFill>
                          <w14:schemeClr w14:val="tx1"/>
                        </w14:solidFill>
                      </w14:textFill>
                    </w:rPr>
                    <w:t>冷却系统区、</w:t>
                  </w:r>
                  <w:r>
                    <w:rPr>
                      <w:rFonts w:hint="default" w:ascii="Times New Roman" w:hAnsi="Times New Roman" w:eastAsia="宋体" w:cs="Times New Roman"/>
                      <w:color w:val="000000" w:themeColor="text1"/>
                      <w:spacing w:val="1"/>
                      <w:sz w:val="21"/>
                      <w:szCs w:val="21"/>
                      <w:highlight w:val="none"/>
                      <w:lang w:val="en-US" w:eastAsia="zh-CN"/>
                      <w14:textFill>
                        <w14:solidFill>
                          <w14:schemeClr w14:val="tx1"/>
                        </w14:solidFill>
                      </w14:textFill>
                    </w:rPr>
                    <w:t>成品</w:t>
                  </w:r>
                  <w:r>
                    <w:rPr>
                      <w:rFonts w:hint="default" w:ascii="Times New Roman" w:hAnsi="Times New Roman" w:eastAsia="宋体" w:cs="Times New Roman"/>
                      <w:color w:val="000000" w:themeColor="text1"/>
                      <w:spacing w:val="1"/>
                      <w:sz w:val="21"/>
                      <w:szCs w:val="21"/>
                      <w:highlight w:val="none"/>
                      <w14:textFill>
                        <w14:solidFill>
                          <w14:schemeClr w14:val="tx1"/>
                        </w14:solidFill>
                      </w14:textFill>
                    </w:rPr>
                    <w:t>堆棚、</w:t>
                  </w:r>
                  <w:r>
                    <w:rPr>
                      <w:rFonts w:hint="default" w:ascii="Times New Roman" w:hAnsi="Times New Roman" w:eastAsia="宋体" w:cs="Times New Roman"/>
                      <w:color w:val="000000" w:themeColor="text1"/>
                      <w:spacing w:val="1"/>
                      <w:sz w:val="21"/>
                      <w:szCs w:val="21"/>
                      <w:highlight w:val="none"/>
                      <w:lang w:val="en-US" w:eastAsia="zh-CN"/>
                      <w14:textFill>
                        <w14:solidFill>
                          <w14:schemeClr w14:val="tx1"/>
                        </w14:solidFill>
                      </w14:textFill>
                    </w:rPr>
                    <w:t>黄料筒仓</w:t>
                  </w:r>
                  <w:r>
                    <w:rPr>
                      <w:rFonts w:hint="default" w:ascii="Times New Roman" w:hAnsi="Times New Roman" w:eastAsia="宋体" w:cs="Times New Roman"/>
                      <w:color w:val="000000" w:themeColor="text1"/>
                      <w:spacing w:val="1"/>
                      <w:sz w:val="21"/>
                      <w:szCs w:val="21"/>
                      <w:highlight w:val="none"/>
                      <w14:textFill>
                        <w14:solidFill>
                          <w14:schemeClr w14:val="tx1"/>
                        </w14:solidFill>
                      </w14:textFill>
                    </w:rPr>
                    <w:t>等</w:t>
                  </w: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一般防渗</w:t>
                  </w:r>
                  <w:r>
                    <w:rPr>
                      <w:rFonts w:hint="eastAsia" w:ascii="Times New Roman" w:cs="Times New Roman"/>
                      <w:b w:val="0"/>
                      <w:bCs w:val="0"/>
                      <w:color w:val="000000" w:themeColor="text1"/>
                      <w:sz w:val="21"/>
                      <w:szCs w:val="21"/>
                      <w:highlight w:val="none"/>
                      <w:lang w:val="en-US" w:eastAsia="zh-CN"/>
                      <w14:textFill>
                        <w14:solidFill>
                          <w14:schemeClr w14:val="tx1"/>
                        </w14:solidFill>
                      </w14:textFill>
                    </w:rPr>
                    <w:t>区</w:t>
                  </w: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等效黏土防渗层Mb≥1.5m，K≤1×10</w:t>
                  </w:r>
                  <w:r>
                    <w:rPr>
                      <w:rFonts w:hint="default" w:ascii="Times New Roman" w:hAnsi="Times New Roman" w:eastAsia="宋体" w:cs="Times New Roman"/>
                      <w:b w:val="0"/>
                      <w:bCs w:val="0"/>
                      <w:color w:val="000000" w:themeColor="text1"/>
                      <w:sz w:val="21"/>
                      <w:szCs w:val="21"/>
                      <w:highlight w:val="none"/>
                      <w:vertAlign w:val="superscript"/>
                      <w14:textFill>
                        <w14:solidFill>
                          <w14:schemeClr w14:val="tx1"/>
                        </w14:solidFill>
                      </w14:textFill>
                    </w:rPr>
                    <w:t>-7</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cm/s</w:t>
                  </w: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1"/>
                      <w:sz w:val="21"/>
                      <w:szCs w:val="21"/>
                      <w:highlight w:val="none"/>
                      <w14:textFill>
                        <w14:solidFill>
                          <w14:schemeClr w14:val="tx1"/>
                        </w14:solidFill>
                      </w14:textFill>
                    </w:rPr>
                    <w:t>石灰石-石膏脱硫装置区、</w:t>
                  </w:r>
                  <w:r>
                    <w:rPr>
                      <w:rFonts w:hint="default"/>
                      <w:color w:val="000000" w:themeColor="text1"/>
                      <w:sz w:val="21"/>
                      <w:szCs w:val="21"/>
                      <w:highlight w:val="none"/>
                      <w14:textFill>
                        <w14:solidFill>
                          <w14:schemeClr w14:val="tx1"/>
                        </w14:solidFill>
                      </w14:textFill>
                    </w:rPr>
                    <w:t>三联箱装置</w:t>
                  </w:r>
                  <w:r>
                    <w:rPr>
                      <w:rFonts w:hint="eastAsia"/>
                      <w:color w:val="000000" w:themeColor="text1"/>
                      <w:sz w:val="21"/>
                      <w:szCs w:val="21"/>
                      <w:highlight w:val="none"/>
                      <w:lang w:eastAsia="zh-CN"/>
                      <w14:textFill>
                        <w14:solidFill>
                          <w14:schemeClr w14:val="tx1"/>
                        </w14:solidFill>
                      </w14:textFill>
                    </w:rPr>
                    <w:t>、</w:t>
                  </w:r>
                  <w:r>
                    <w:rPr>
                      <w:rFonts w:hint="default" w:ascii="Times New Roman" w:hAnsi="Times New Roman" w:cs="Times New Roman"/>
                      <w:bCs/>
                      <w:color w:val="000000" w:themeColor="text1"/>
                      <w:sz w:val="21"/>
                      <w:szCs w:val="21"/>
                      <w:highlight w:val="none"/>
                      <w14:textFill>
                        <w14:solidFill>
                          <w14:schemeClr w14:val="tx1"/>
                        </w14:solidFill>
                      </w14:textFill>
                    </w:rPr>
                    <w:t>氨水罐区</w:t>
                  </w:r>
                  <w:r>
                    <w:rPr>
                      <w:rFonts w:hint="eastAsia"/>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危废暂存间</w:t>
                  </w:r>
                  <w:r>
                    <w:rPr>
                      <w:rFonts w:hint="eastAsia" w:ascii="Times New Roman" w:cs="Times New Roman"/>
                      <w:b w:val="0"/>
                      <w:bCs w:val="0"/>
                      <w:color w:val="000000" w:themeColor="text1"/>
                      <w:sz w:val="21"/>
                      <w:szCs w:val="21"/>
                      <w:highlight w:val="none"/>
                      <w:lang w:val="en-US" w:eastAsia="zh-CN"/>
                      <w14:textFill>
                        <w14:solidFill>
                          <w14:schemeClr w14:val="tx1"/>
                        </w14:solidFill>
                      </w14:textFill>
                    </w:rPr>
                    <w:t>等为</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重点防渗</w:t>
                  </w:r>
                  <w:r>
                    <w:rPr>
                      <w:rFonts w:hint="eastAsia" w:ascii="Times New Roman" w:cs="Times New Roman"/>
                      <w:b w:val="0"/>
                      <w:bCs w:val="0"/>
                      <w:color w:val="000000" w:themeColor="text1"/>
                      <w:sz w:val="21"/>
                      <w:szCs w:val="21"/>
                      <w:highlight w:val="none"/>
                      <w:lang w:val="en-US" w:eastAsia="zh-CN"/>
                      <w14:textFill>
                        <w14:solidFill>
                          <w14:schemeClr w14:val="tx1"/>
                        </w14:solidFill>
                      </w14:textFill>
                    </w:rPr>
                    <w:t>区</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，等效黏土防渗层Mb≥6.0m，K≤1×10</w:t>
                  </w:r>
                  <w:r>
                    <w:rPr>
                      <w:rFonts w:hint="default" w:ascii="Times New Roman" w:hAnsi="Times New Roman" w:eastAsia="宋体" w:cs="Times New Roman"/>
                      <w:b w:val="0"/>
                      <w:bCs w:val="0"/>
                      <w:color w:val="000000" w:themeColor="text1"/>
                      <w:sz w:val="21"/>
                      <w:szCs w:val="21"/>
                      <w:highlight w:val="none"/>
                      <w:vertAlign w:val="superscript"/>
                      <w14:textFill>
                        <w14:solidFill>
                          <w14:schemeClr w14:val="tx1"/>
                        </w14:solidFill>
                      </w14:textFill>
                    </w:rPr>
                    <w:t>-7</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cm/s</w:t>
                  </w:r>
                  <w:r>
                    <w:rPr>
                      <w:rFonts w:hint="eastAsia" w:ascii="Times New Roman" w:cs="Times New Roman"/>
                      <w:b w:val="0"/>
                      <w:bCs w:val="0"/>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1"/>
                      <w:sz w:val="21"/>
                      <w:szCs w:val="21"/>
                      <w:highlight w:val="none"/>
                      <w14:textFill>
                        <w14:solidFill>
                          <w14:schemeClr w14:val="tx1"/>
                        </w14:solidFill>
                      </w14:textFill>
                    </w:rPr>
                    <w:t>或</w:t>
                  </w:r>
                  <w:r>
                    <w:rPr>
                      <w:rFonts w:hint="eastAsia" w:ascii="Times New Roman" w:cs="Times New Roman"/>
                      <w:color w:val="000000" w:themeColor="text1"/>
                      <w:spacing w:val="1"/>
                      <w:sz w:val="21"/>
                      <w:szCs w:val="21"/>
                      <w:highlight w:val="none"/>
                      <w:lang w:val="en-US" w:eastAsia="zh-CN"/>
                      <w14:textFill>
                        <w14:solidFill>
                          <w14:schemeClr w14:val="tx1"/>
                        </w14:solidFill>
                      </w14:textFill>
                    </w:rPr>
                    <w:t>GB18598执行；</w:t>
                  </w:r>
                  <w:r>
                    <w:rPr>
                      <w:rFonts w:hint="default" w:ascii="Times New Roman" w:hAnsi="Times New Roman" w:eastAsia="宋体" w:cs="Times New Roman"/>
                      <w:color w:val="000000" w:themeColor="text1"/>
                      <w:spacing w:val="1"/>
                      <w:sz w:val="21"/>
                      <w:szCs w:val="21"/>
                      <w:highlight w:val="none"/>
                      <w14:textFill>
                        <w14:solidFill>
                          <w14:schemeClr w14:val="tx1"/>
                        </w14:solidFill>
                      </w14:textFill>
                    </w:rPr>
                    <w:t>等效于M=2mm厚高密度聚乙烯防渗层，渗透系数不大于10</w:t>
                  </w:r>
                  <w:r>
                    <w:rPr>
                      <w:rFonts w:hint="default" w:ascii="Times New Roman" w:hAnsi="Times New Roman" w:eastAsia="宋体" w:cs="Times New Roman"/>
                      <w:color w:val="000000" w:themeColor="text1"/>
                      <w:spacing w:val="1"/>
                      <w:sz w:val="21"/>
                      <w:szCs w:val="21"/>
                      <w:highlight w:val="none"/>
                      <w:vertAlign w:val="superscript"/>
                      <w14:textFill>
                        <w14:solidFill>
                          <w14:schemeClr w14:val="tx1"/>
                        </w14:solidFill>
                      </w14:textFill>
                    </w:rPr>
                    <w:t>-1</w:t>
                  </w:r>
                  <w:r>
                    <w:rPr>
                      <w:rFonts w:hint="default" w:ascii="Times New Roman" w:hAnsi="Times New Roman" w:eastAsia="宋体" w:cs="Times New Roman"/>
                      <w:color w:val="000000" w:themeColor="text1"/>
                      <w:spacing w:val="1"/>
                      <w:sz w:val="21"/>
                      <w:szCs w:val="21"/>
                      <w:highlight w:val="none"/>
                      <w:vertAlign w:val="superscript"/>
                      <w:lang w:val="en-US" w:eastAsia="zh-CN"/>
                      <w14:textFill>
                        <w14:solidFill>
                          <w14:schemeClr w14:val="tx1"/>
                        </w14:solidFill>
                      </w14:textFill>
                    </w:rPr>
                    <w:t>0</w:t>
                  </w:r>
                  <w:r>
                    <w:rPr>
                      <w:rFonts w:hint="default" w:ascii="Times New Roman" w:hAnsi="Times New Roman" w:eastAsia="宋体" w:cs="Times New Roman"/>
                      <w:color w:val="000000" w:themeColor="text1"/>
                      <w:spacing w:val="1"/>
                      <w:sz w:val="21"/>
                      <w:szCs w:val="21"/>
                      <w:highlight w:val="none"/>
                      <w14:textFill>
                        <w14:solidFill>
                          <w14:schemeClr w14:val="tx1"/>
                        </w14:solidFill>
                      </w14:textFill>
                    </w:rPr>
                    <w:t>cm/s</w:t>
                  </w:r>
                  <w:r>
                    <w:rPr>
                      <w:rFonts w:hint="eastAsia" w:ascii="Times New Roman" w:cs="Times New Roman"/>
                      <w:color w:val="000000" w:themeColor="text1"/>
                      <w:spacing w:val="1"/>
                      <w:sz w:val="21"/>
                      <w:szCs w:val="21"/>
                      <w:highlight w:val="none"/>
                      <w:lang w:eastAsia="zh-CN"/>
                      <w14:textFill>
                        <w14:solidFill>
                          <w14:schemeClr w14:val="tx1"/>
                        </w14:solidFill>
                      </w14:textFill>
                    </w:rPr>
                    <w:t>；</w:t>
                  </w:r>
                </w:p>
                <w:p w14:paraId="64398414">
                  <w:pPr>
                    <w:adjustRightInd w:val="0"/>
                    <w:snapToGrid w:val="0"/>
                    <w:spacing w:line="240" w:lineRule="auto"/>
                    <w:jc w:val="both"/>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cs="Times New Roman"/>
                      <w:color w:val="000000" w:themeColor="text1"/>
                      <w:spacing w:val="1"/>
                      <w:sz w:val="21"/>
                      <w:szCs w:val="21"/>
                      <w:highlight w:val="none"/>
                      <w:lang w:val="en-US" w:eastAsia="zh-CN"/>
                      <w14:textFill>
                        <w14:solidFill>
                          <w14:schemeClr w14:val="tx1"/>
                        </w14:solidFill>
                      </w14:textFill>
                    </w:rPr>
                    <w:t>其中</w:t>
                  </w: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危废暂存间</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按照《危险废物贮存污染控制标准》（</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GB18597-2023</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）要求进行防渗，</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1</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、库房应按规范要求采取必要的防风、防晒、防雨、防漏、防渗、防腐以及其他环境污染防治措施；危废库房地面要求硬化、耐腐蚀、防渗漏，且表面无裂隙；</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2</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贮存设施地面与裙脚应采取表面防渗措施；表面防渗材料应与所接触的物料或污染物相容，可采用抗渗混凝土、高密度聚乙烯膜、钠基膨润土防水毯或其他防渗性能等效的材料。贮存的危险废物直接接触地面的，还应进行基础防渗，防渗层为至少</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1m</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厚黏土层（渗透系数不大于</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10</w:t>
                  </w:r>
                  <w:r>
                    <w:rPr>
                      <w:rFonts w:hint="eastAsia" w:cs="Times New Roman"/>
                      <w:color w:val="000000" w:themeColor="text1"/>
                      <w:kern w:val="0"/>
                      <w:sz w:val="21"/>
                      <w:szCs w:val="21"/>
                      <w:highlight w:val="none"/>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1"/>
                      <w:szCs w:val="21"/>
                      <w:highlight w:val="none"/>
                      <w:vertAlign w:val="superscript"/>
                      <w:lang w:val="en-US" w:eastAsia="zh-CN" w:bidi="ar"/>
                      <w14:textFill>
                        <w14:solidFill>
                          <w14:schemeClr w14:val="tx1"/>
                        </w14:solidFill>
                      </w14:textFill>
                    </w:rPr>
                    <w:t>7</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cm/s</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），或至少</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2mm</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厚高密度聚乙烯膜等人工防渗材料（渗透系数不大于</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10</w:t>
                  </w:r>
                  <w:r>
                    <w:rPr>
                      <w:rFonts w:hint="eastAsia" w:cs="Times New Roman"/>
                      <w:color w:val="000000" w:themeColor="text1"/>
                      <w:kern w:val="0"/>
                      <w:sz w:val="21"/>
                      <w:szCs w:val="21"/>
                      <w:highlight w:val="none"/>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1"/>
                      <w:szCs w:val="21"/>
                      <w:highlight w:val="none"/>
                      <w:vertAlign w:val="superscript"/>
                      <w:lang w:val="en-US" w:eastAsia="zh-CN" w:bidi="ar"/>
                      <w14:textFill>
                        <w14:solidFill>
                          <w14:schemeClr w14:val="tx1"/>
                        </w14:solidFill>
                      </w14:textFill>
                    </w:rPr>
                    <w:t>10</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cm/s</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），或其他防渗性能等效的材料。3、设置</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0.3m</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墙裙，四周设置导流槽，墙角设置集液池</w:t>
                  </w:r>
                  <w:r>
                    <w:rPr>
                      <w:rFonts w:hint="eastAsia" w:ascii="Times New Roman"/>
                      <w:color w:val="000000" w:themeColor="text1"/>
                      <w:sz w:val="21"/>
                      <w:szCs w:val="21"/>
                      <w:highlight w:val="none"/>
                      <w:lang w:eastAsia="zh-CN"/>
                      <w14:textFill>
                        <w14:solidFill>
                          <w14:schemeClr w14:val="tx1"/>
                        </w14:solidFill>
                      </w14:textFill>
                    </w:rPr>
                    <w:t>。</w:t>
                  </w:r>
                  <w:r>
                    <w:rPr>
                      <w:rFonts w:hint="eastAsia"/>
                      <w:color w:val="000000" w:themeColor="text1"/>
                      <w:sz w:val="21"/>
                      <w:szCs w:val="21"/>
                      <w:highlight w:val="none"/>
                      <w:lang w:val="en-US" w:eastAsia="zh-CN"/>
                      <w14:textFill>
                        <w14:solidFill>
                          <w14:schemeClr w14:val="tx1"/>
                        </w14:solidFill>
                      </w14:textFill>
                    </w:rPr>
                    <w:t>4、设置自流防渗</w:t>
                  </w:r>
                  <w:r>
                    <w:rPr>
                      <w:rFonts w:hint="eastAsia"/>
                      <w:color w:val="000000" w:themeColor="text1"/>
                      <w:sz w:val="21"/>
                      <w:szCs w:val="21"/>
                      <w:highlight w:val="none"/>
                      <w14:textFill>
                        <w14:solidFill>
                          <w14:schemeClr w14:val="tx1"/>
                        </w14:solidFill>
                      </w14:textFill>
                    </w:rPr>
                    <w:t>导流渠和</w:t>
                  </w:r>
                  <w:r>
                    <w:rPr>
                      <w:rFonts w:hint="eastAsia"/>
                      <w:color w:val="000000" w:themeColor="text1"/>
                      <w:sz w:val="21"/>
                      <w:szCs w:val="21"/>
                      <w:highlight w:val="none"/>
                      <w:lang w:val="en-US" w:eastAsia="zh-CN"/>
                      <w14:textFill>
                        <w14:solidFill>
                          <w14:schemeClr w14:val="tx1"/>
                        </w14:solidFill>
                      </w14:textFill>
                    </w:rPr>
                    <w:t>0.25m</w:t>
                  </w:r>
                  <w:r>
                    <w:rPr>
                      <w:rFonts w:hint="eastAsia"/>
                      <w:color w:val="000000" w:themeColor="text1"/>
                      <w:sz w:val="21"/>
                      <w:szCs w:val="21"/>
                      <w:highlight w:val="none"/>
                      <w:vertAlign w:val="superscript"/>
                      <w:lang w:val="en-US" w:eastAsia="zh-CN"/>
                      <w14:textFill>
                        <w14:solidFill>
                          <w14:schemeClr w14:val="tx1"/>
                        </w14:solidFill>
                      </w14:textFill>
                    </w:rPr>
                    <w:t>3</w:t>
                  </w:r>
                  <w:r>
                    <w:rPr>
                      <w:rFonts w:hint="eastAsia"/>
                      <w:color w:val="000000" w:themeColor="text1"/>
                      <w:sz w:val="21"/>
                      <w:szCs w:val="21"/>
                      <w:highlight w:val="none"/>
                      <w:lang w:val="en-US" w:eastAsia="zh-CN"/>
                      <w14:textFill>
                        <w14:solidFill>
                          <w14:schemeClr w14:val="tx1"/>
                        </w14:solidFill>
                      </w14:textFill>
                    </w:rPr>
                    <w:t>的防渗</w:t>
                  </w:r>
                  <w:r>
                    <w:rPr>
                      <w:rFonts w:hint="eastAsia"/>
                      <w:color w:val="000000" w:themeColor="text1"/>
                      <w:sz w:val="21"/>
                      <w:szCs w:val="21"/>
                      <w:highlight w:val="none"/>
                      <w14:textFill>
                        <w14:solidFill>
                          <w14:schemeClr w14:val="tx1"/>
                        </w14:solidFill>
                      </w14:textFill>
                    </w:rPr>
                    <w:t>集液池</w:t>
                  </w:r>
                  <w:r>
                    <w:rPr>
                      <w:rFonts w:hint="eastAsia"/>
                      <w:color w:val="000000" w:themeColor="text1"/>
                      <w:sz w:val="21"/>
                      <w:szCs w:val="21"/>
                      <w:highlight w:val="none"/>
                      <w:lang w:eastAsia="zh-CN"/>
                      <w14:textFill>
                        <w14:solidFill>
                          <w14:schemeClr w14:val="tx1"/>
                        </w14:solidFill>
                      </w14:textFill>
                    </w:rPr>
                    <w:t>，</w:t>
                  </w:r>
                  <w:r>
                    <w:rPr>
                      <w:rFonts w:hint="eastAsia"/>
                      <w:color w:val="000000" w:themeColor="text1"/>
                      <w:sz w:val="21"/>
                      <w:szCs w:val="21"/>
                      <w:highlight w:val="none"/>
                      <w:lang w:val="en-US" w:eastAsia="zh-CN"/>
                      <w14:textFill>
                        <w14:solidFill>
                          <w14:schemeClr w14:val="tx1"/>
                        </w14:solidFill>
                      </w14:textFill>
                    </w:rPr>
                    <w:t>同地面防渗要求</w:t>
                  </w:r>
                </w:p>
              </w:tc>
              <w:tc>
                <w:tcPr>
                  <w:tcW w:w="592" w:type="pct"/>
                  <w:noWrap w:val="0"/>
                  <w:vAlign w:val="center"/>
                </w:tcPr>
                <w:p w14:paraId="60585CE9">
                  <w:pPr>
                    <w:adjustRightInd w:val="0"/>
                    <w:snapToGrid w:val="0"/>
                    <w:spacing w:line="240" w:lineRule="auto"/>
                    <w:jc w:val="cente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5</w:t>
                  </w:r>
                </w:p>
              </w:tc>
            </w:tr>
            <w:tr w14:paraId="7B05A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74" w:type="pct"/>
                  <w:noWrap w:val="0"/>
                  <w:vAlign w:val="center"/>
                </w:tcPr>
                <w:p w14:paraId="0818E2DA">
                  <w:pPr>
                    <w:adjustRightInd w:val="0"/>
                    <w:snapToGrid w:val="0"/>
                    <w:spacing w:line="240" w:lineRule="auto"/>
                    <w:jc w:val="cente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7</w:t>
                  </w:r>
                </w:p>
              </w:tc>
              <w:tc>
                <w:tcPr>
                  <w:tcW w:w="403" w:type="pct"/>
                  <w:noWrap w:val="0"/>
                  <w:vAlign w:val="center"/>
                </w:tcPr>
                <w:p w14:paraId="093217FA">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绿化</w:t>
                  </w:r>
                </w:p>
              </w:tc>
              <w:tc>
                <w:tcPr>
                  <w:tcW w:w="3628" w:type="pct"/>
                  <w:gridSpan w:val="2"/>
                  <w:noWrap w:val="0"/>
                  <w:vAlign w:val="center"/>
                </w:tcPr>
                <w:p w14:paraId="1E014D56">
                  <w:pPr>
                    <w:adjustRightInd w:val="0"/>
                    <w:snapToGrid w:val="0"/>
                    <w:spacing w:line="240" w:lineRule="auto"/>
                    <w:jc w:val="left"/>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在厂区内适度绿化。</w:t>
                  </w:r>
                </w:p>
              </w:tc>
              <w:tc>
                <w:tcPr>
                  <w:tcW w:w="592" w:type="pct"/>
                  <w:noWrap w:val="0"/>
                  <w:vAlign w:val="center"/>
                </w:tcPr>
                <w:p w14:paraId="619BB54D">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1</w:t>
                  </w:r>
                </w:p>
              </w:tc>
            </w:tr>
            <w:tr w14:paraId="7911F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74" w:type="pct"/>
                  <w:noWrap w:val="0"/>
                  <w:vAlign w:val="center"/>
                </w:tcPr>
                <w:p w14:paraId="7553419B">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8</w:t>
                  </w:r>
                </w:p>
              </w:tc>
              <w:tc>
                <w:tcPr>
                  <w:tcW w:w="403" w:type="pct"/>
                  <w:noWrap w:val="0"/>
                  <w:vAlign w:val="center"/>
                </w:tcPr>
                <w:p w14:paraId="3AAA92FF">
                  <w:pPr>
                    <w:keepNext w:val="0"/>
                    <w:keepLines w:val="0"/>
                    <w:widowControl/>
                    <w:suppressLineNumbers w:val="0"/>
                    <w:spacing w:line="240" w:lineRule="auto"/>
                    <w:jc w:val="left"/>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排污口规范化整治</w:t>
                  </w:r>
                </w:p>
              </w:tc>
              <w:tc>
                <w:tcPr>
                  <w:tcW w:w="3628" w:type="pct"/>
                  <w:gridSpan w:val="2"/>
                  <w:noWrap w:val="0"/>
                  <w:vAlign w:val="center"/>
                </w:tcPr>
                <w:p w14:paraId="65C786BC">
                  <w:pPr>
                    <w:keepNext w:val="0"/>
                    <w:keepLines w:val="0"/>
                    <w:widowControl/>
                    <w:suppressLineNumbers w:val="0"/>
                    <w:spacing w:line="240" w:lineRule="auto"/>
                    <w:jc w:val="left"/>
                    <w:rPr>
                      <w:color w:val="000000" w:themeColor="text1"/>
                      <w:sz w:val="21"/>
                      <w:szCs w:val="21"/>
                      <w:highlight w:val="none"/>
                      <w14:textFill>
                        <w14:solidFill>
                          <w14:schemeClr w14:val="tx1"/>
                        </w14:solidFill>
                      </w14:textFill>
                    </w:rPr>
                  </w:pPr>
                  <w:r>
                    <w:rPr>
                      <w:rFonts w:hint="eastAsia" w:cs="Times New Roman"/>
                      <w:color w:val="000000" w:themeColor="text1"/>
                      <w:kern w:val="0"/>
                      <w:sz w:val="21"/>
                      <w:szCs w:val="21"/>
                      <w:highlight w:val="none"/>
                      <w:lang w:val="en-US" w:eastAsia="zh-CN" w:bidi="ar"/>
                      <w14:textFill>
                        <w14:solidFill>
                          <w14:schemeClr w14:val="tx1"/>
                        </w14:solidFill>
                      </w14:textFill>
                    </w:rPr>
                    <w:t>1.</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废气监测技术规范要求设置采样平台和预留采样孔，粘贴环境保护标志牌</w:t>
                  </w:r>
                </w:p>
                <w:p w14:paraId="02A57F0D">
                  <w:pPr>
                    <w:keepNext w:val="0"/>
                    <w:keepLines w:val="0"/>
                    <w:widowControl/>
                    <w:suppressLineNumbers w:val="0"/>
                    <w:spacing w:line="240" w:lineRule="auto"/>
                    <w:jc w:val="left"/>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eastAsia" w:cs="Times New Roman"/>
                      <w:color w:val="000000" w:themeColor="text1"/>
                      <w:kern w:val="0"/>
                      <w:sz w:val="21"/>
                      <w:szCs w:val="21"/>
                      <w:highlight w:val="none"/>
                      <w:lang w:val="en-US" w:eastAsia="zh-CN" w:bidi="ar"/>
                      <w14:textFill>
                        <w14:solidFill>
                          <w14:schemeClr w14:val="tx1"/>
                        </w14:solidFill>
                      </w14:textFill>
                    </w:rPr>
                    <w:t>2.</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排污口建档、安排专人管理等以及管理部门要求的其他内容</w:t>
                  </w:r>
                </w:p>
              </w:tc>
              <w:tc>
                <w:tcPr>
                  <w:tcW w:w="592" w:type="pct"/>
                  <w:noWrap w:val="0"/>
                  <w:vAlign w:val="center"/>
                </w:tcPr>
                <w:p w14:paraId="3FFB306C">
                  <w:pPr>
                    <w:adjustRightInd w:val="0"/>
                    <w:snapToGrid w:val="0"/>
                    <w:spacing w:line="240" w:lineRule="auto"/>
                    <w:jc w:val="cente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5</w:t>
                  </w:r>
                </w:p>
              </w:tc>
            </w:tr>
            <w:tr w14:paraId="5C375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374" w:type="pct"/>
                  <w:noWrap w:val="0"/>
                  <w:vAlign w:val="center"/>
                </w:tcPr>
                <w:p w14:paraId="7F969A52">
                  <w:pPr>
                    <w:adjustRightInd w:val="0"/>
                    <w:snapToGrid w:val="0"/>
                    <w:spacing w:line="240" w:lineRule="auto"/>
                    <w:jc w:val="cente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pPr>
                </w:p>
              </w:tc>
              <w:tc>
                <w:tcPr>
                  <w:tcW w:w="403" w:type="pct"/>
                  <w:noWrap w:val="0"/>
                  <w:vAlign w:val="center"/>
                </w:tcPr>
                <w:p w14:paraId="0C797E31">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总计</w:t>
                  </w:r>
                </w:p>
              </w:tc>
              <w:tc>
                <w:tcPr>
                  <w:tcW w:w="3628" w:type="pct"/>
                  <w:gridSpan w:val="2"/>
                  <w:noWrap w:val="0"/>
                  <w:vAlign w:val="center"/>
                </w:tcPr>
                <w:p w14:paraId="085719D9">
                  <w:pPr>
                    <w:adjustRightInd w:val="0"/>
                    <w:snapToGrid w:val="0"/>
                    <w:spacing w:line="240" w:lineRule="auto"/>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w:t>
                  </w:r>
                </w:p>
              </w:tc>
              <w:tc>
                <w:tcPr>
                  <w:tcW w:w="592" w:type="pct"/>
                  <w:noWrap w:val="0"/>
                  <w:vAlign w:val="center"/>
                </w:tcPr>
                <w:p w14:paraId="69FC5E29">
                  <w:pPr>
                    <w:adjustRightInd w:val="0"/>
                    <w:snapToGrid w:val="0"/>
                    <w:spacing w:line="240" w:lineRule="auto"/>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655.5</w:t>
                  </w:r>
                </w:p>
              </w:tc>
            </w:tr>
          </w:tbl>
          <w:p w14:paraId="2C08E98E">
            <w:pPr>
              <w:pStyle w:val="14"/>
              <w:rPr>
                <w:rFonts w:hint="default" w:ascii="Times New Roman" w:hAnsi="Times New Roman" w:cs="Times New Roman"/>
                <w:color w:val="000000" w:themeColor="text1"/>
                <w:highlight w:val="none"/>
                <w14:textFill>
                  <w14:solidFill>
                    <w14:schemeClr w14:val="tx1"/>
                  </w14:solidFill>
                </w14:textFill>
              </w:rPr>
            </w:pPr>
          </w:p>
        </w:tc>
      </w:tr>
    </w:tbl>
    <w:p w14:paraId="33E873D2">
      <w:pPr>
        <w:adjustRightInd w:val="0"/>
        <w:snapToGrid w:val="0"/>
        <w:spacing w:line="360" w:lineRule="auto"/>
        <w:rPr>
          <w:b/>
          <w:color w:val="000000" w:themeColor="text1"/>
          <w:kern w:val="0"/>
          <w:sz w:val="28"/>
          <w:szCs w:val="28"/>
          <w:highlight w:val="none"/>
          <w14:textFill>
            <w14:solidFill>
              <w14:schemeClr w14:val="tx1"/>
            </w14:solidFill>
          </w14:textFill>
        </w:rPr>
        <w:sectPr>
          <w:pgSz w:w="11907" w:h="16840"/>
          <w:pgMar w:top="1701" w:right="1531" w:bottom="2127" w:left="1531" w:header="851" w:footer="851" w:gutter="0"/>
          <w:pgBorders>
            <w:top w:val="none" w:sz="0" w:space="0"/>
            <w:left w:val="none" w:sz="0" w:space="0"/>
            <w:bottom w:val="none" w:sz="0" w:space="0"/>
            <w:right w:val="none" w:sz="0" w:space="0"/>
          </w:pgBorders>
          <w:cols w:space="720" w:num="1"/>
          <w:docGrid w:linePitch="312" w:charSpace="0"/>
        </w:sectPr>
      </w:pPr>
    </w:p>
    <w:p w14:paraId="2A7C45E2">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0" w:firstLineChars="0"/>
        <w:jc w:val="center"/>
        <w:textAlignment w:val="auto"/>
        <w:outlineLvl w:val="0"/>
        <w:rPr>
          <w:rFonts w:ascii="Times New Roman" w:hAnsi="Times New Roman" w:eastAsia="黑体"/>
          <w:snapToGrid w:val="0"/>
          <w:color w:val="000000" w:themeColor="text1"/>
          <w:sz w:val="30"/>
          <w:szCs w:val="30"/>
          <w:highlight w:val="none"/>
          <w14:textFill>
            <w14:solidFill>
              <w14:schemeClr w14:val="tx1"/>
            </w14:solidFill>
          </w14:textFill>
        </w:rPr>
      </w:pPr>
      <w:r>
        <w:rPr>
          <w:rFonts w:ascii="Times New Roman" w:hAnsi="Times New Roman" w:eastAsia="黑体"/>
          <w:snapToGrid w:val="0"/>
          <w:color w:val="000000" w:themeColor="text1"/>
          <w:sz w:val="30"/>
          <w:szCs w:val="30"/>
          <w:highlight w:val="none"/>
          <w14:textFill>
            <w14:solidFill>
              <w14:schemeClr w14:val="tx1"/>
            </w14:solidFill>
          </w14:textFill>
        </w:rPr>
        <w:t>五、</w:t>
      </w:r>
      <w:bookmarkStart w:id="7" w:name="_Hlk54167917"/>
      <w:r>
        <w:rPr>
          <w:rFonts w:ascii="Times New Roman" w:hAnsi="Times New Roman" w:eastAsia="黑体"/>
          <w:snapToGrid w:val="0"/>
          <w:color w:val="000000" w:themeColor="text1"/>
          <w:sz w:val="30"/>
          <w:szCs w:val="30"/>
          <w:highlight w:val="none"/>
          <w14:textFill>
            <w14:solidFill>
              <w14:schemeClr w14:val="tx1"/>
            </w14:solidFill>
          </w14:textFill>
        </w:rPr>
        <w:t>环境保护措施监督检查清单</w:t>
      </w:r>
      <w:bookmarkEnd w:id="7"/>
    </w:p>
    <w:tbl>
      <w:tblPr>
        <w:tblStyle w:val="2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21"/>
        <w:gridCol w:w="742"/>
        <w:gridCol w:w="1244"/>
        <w:gridCol w:w="1104"/>
        <w:gridCol w:w="3497"/>
        <w:gridCol w:w="1799"/>
      </w:tblGrid>
      <w:tr w14:paraId="5891E7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163" w:type="dxa"/>
            <w:gridSpan w:val="2"/>
            <w:tcBorders>
              <w:tl2br w:val="single" w:color="auto" w:sz="4" w:space="0"/>
            </w:tcBorders>
            <w:noWrap w:val="0"/>
            <w:vAlign w:val="top"/>
          </w:tcPr>
          <w:p w14:paraId="548D5506">
            <w:pPr>
              <w:adjustRightInd w:val="0"/>
              <w:snapToGrid w:val="0"/>
              <w:jc w:val="right"/>
              <w:rPr>
                <w:b/>
                <w:bCs/>
                <w:color w:val="000000" w:themeColor="text1"/>
                <w:szCs w:val="21"/>
                <w:highlight w:val="none"/>
                <w14:textFill>
                  <w14:solidFill>
                    <w14:schemeClr w14:val="tx1"/>
                  </w14:solidFill>
                </w14:textFill>
              </w:rPr>
            </w:pPr>
            <w:r>
              <w:rPr>
                <w:b/>
                <w:bCs/>
                <w:color w:val="000000" w:themeColor="text1"/>
                <w:szCs w:val="21"/>
                <w:highlight w:val="none"/>
                <w14:textFill>
                  <w14:solidFill>
                    <w14:schemeClr w14:val="tx1"/>
                  </w14:solidFill>
                </w14:textFill>
              </w:rPr>
              <w:t>内容</w:t>
            </w:r>
          </w:p>
          <w:p w14:paraId="2E0618C8">
            <w:pPr>
              <w:adjustRightInd w:val="0"/>
              <w:snapToGrid w:val="0"/>
              <w:jc w:val="left"/>
              <w:rPr>
                <w:b/>
                <w:bCs/>
                <w:color w:val="000000" w:themeColor="text1"/>
                <w:szCs w:val="21"/>
                <w:highlight w:val="none"/>
                <w14:textFill>
                  <w14:solidFill>
                    <w14:schemeClr w14:val="tx1"/>
                  </w14:solidFill>
                </w14:textFill>
              </w:rPr>
            </w:pPr>
            <w:r>
              <w:rPr>
                <w:b/>
                <w:bCs/>
                <w:color w:val="000000" w:themeColor="text1"/>
                <w:szCs w:val="21"/>
                <w:highlight w:val="none"/>
                <w14:textFill>
                  <w14:solidFill>
                    <w14:schemeClr w14:val="tx1"/>
                  </w14:solidFill>
                </w14:textFill>
              </w:rPr>
              <w:t>要素</w:t>
            </w:r>
          </w:p>
        </w:tc>
        <w:tc>
          <w:tcPr>
            <w:tcW w:w="1244" w:type="dxa"/>
            <w:noWrap w:val="0"/>
            <w:vAlign w:val="center"/>
          </w:tcPr>
          <w:p w14:paraId="1D224DB1">
            <w:pPr>
              <w:adjustRightInd w:val="0"/>
              <w:snapToGrid w:val="0"/>
              <w:jc w:val="center"/>
              <w:rPr>
                <w:b/>
                <w:bCs/>
                <w:color w:val="000000" w:themeColor="text1"/>
                <w:szCs w:val="21"/>
                <w:highlight w:val="none"/>
                <w14:textFill>
                  <w14:solidFill>
                    <w14:schemeClr w14:val="tx1"/>
                  </w14:solidFill>
                </w14:textFill>
              </w:rPr>
            </w:pPr>
            <w:r>
              <w:rPr>
                <w:b/>
                <w:bCs/>
                <w:color w:val="000000" w:themeColor="text1"/>
                <w:szCs w:val="21"/>
                <w:highlight w:val="none"/>
                <w14:textFill>
                  <w14:solidFill>
                    <w14:schemeClr w14:val="tx1"/>
                  </w14:solidFill>
                </w14:textFill>
              </w:rPr>
              <w:t>排放口</w:t>
            </w:r>
            <w:r>
              <w:rPr>
                <w:rFonts w:hint="eastAsia"/>
                <w:b/>
                <w:bCs/>
                <w:color w:val="000000" w:themeColor="text1"/>
                <w:szCs w:val="21"/>
                <w:highlight w:val="none"/>
                <w:lang w:eastAsia="zh-CN"/>
                <w14:textFill>
                  <w14:solidFill>
                    <w14:schemeClr w14:val="tx1"/>
                  </w14:solidFill>
                </w14:textFill>
              </w:rPr>
              <w:t>（</w:t>
            </w:r>
            <w:r>
              <w:rPr>
                <w:b/>
                <w:bCs/>
                <w:color w:val="000000" w:themeColor="text1"/>
                <w:szCs w:val="21"/>
                <w:highlight w:val="none"/>
                <w14:textFill>
                  <w14:solidFill>
                    <w14:schemeClr w14:val="tx1"/>
                  </w14:solidFill>
                </w14:textFill>
              </w:rPr>
              <w:t>编号、名称</w:t>
            </w:r>
            <w:r>
              <w:rPr>
                <w:rFonts w:hint="eastAsia"/>
                <w:b/>
                <w:bCs/>
                <w:color w:val="000000" w:themeColor="text1"/>
                <w:szCs w:val="21"/>
                <w:highlight w:val="none"/>
                <w:lang w:eastAsia="zh-CN"/>
                <w14:textFill>
                  <w14:solidFill>
                    <w14:schemeClr w14:val="tx1"/>
                  </w14:solidFill>
                </w14:textFill>
              </w:rPr>
              <w:t>）</w:t>
            </w:r>
            <w:r>
              <w:rPr>
                <w:b/>
                <w:bCs/>
                <w:color w:val="000000" w:themeColor="text1"/>
                <w:szCs w:val="21"/>
                <w:highlight w:val="none"/>
                <w14:textFill>
                  <w14:solidFill>
                    <w14:schemeClr w14:val="tx1"/>
                  </w14:solidFill>
                </w14:textFill>
              </w:rPr>
              <w:t>/污染源</w:t>
            </w:r>
          </w:p>
        </w:tc>
        <w:tc>
          <w:tcPr>
            <w:tcW w:w="1104" w:type="dxa"/>
            <w:noWrap w:val="0"/>
            <w:vAlign w:val="center"/>
          </w:tcPr>
          <w:p w14:paraId="0AFC6A2E">
            <w:pPr>
              <w:adjustRightInd w:val="0"/>
              <w:snapToGrid w:val="0"/>
              <w:jc w:val="center"/>
              <w:rPr>
                <w:b/>
                <w:bCs/>
                <w:color w:val="000000" w:themeColor="text1"/>
                <w:szCs w:val="21"/>
                <w:highlight w:val="none"/>
                <w14:textFill>
                  <w14:solidFill>
                    <w14:schemeClr w14:val="tx1"/>
                  </w14:solidFill>
                </w14:textFill>
              </w:rPr>
            </w:pPr>
            <w:r>
              <w:rPr>
                <w:b/>
                <w:bCs/>
                <w:color w:val="000000" w:themeColor="text1"/>
                <w:szCs w:val="21"/>
                <w:highlight w:val="none"/>
                <w14:textFill>
                  <w14:solidFill>
                    <w14:schemeClr w14:val="tx1"/>
                  </w14:solidFill>
                </w14:textFill>
              </w:rPr>
              <w:t>污染物项目</w:t>
            </w:r>
          </w:p>
        </w:tc>
        <w:tc>
          <w:tcPr>
            <w:tcW w:w="3497" w:type="dxa"/>
            <w:noWrap w:val="0"/>
            <w:vAlign w:val="center"/>
          </w:tcPr>
          <w:p w14:paraId="425ED758">
            <w:pPr>
              <w:keepNext w:val="0"/>
              <w:keepLines w:val="0"/>
              <w:pageBreakBefore w:val="0"/>
              <w:widowControl w:val="0"/>
              <w:kinsoku/>
              <w:wordWrap/>
              <w:overflowPunct/>
              <w:topLinePunct w:val="0"/>
              <w:autoSpaceDE/>
              <w:autoSpaceDN/>
              <w:bidi w:val="0"/>
              <w:adjustRightInd w:val="0"/>
              <w:snapToGrid w:val="0"/>
              <w:jc w:val="center"/>
              <w:textAlignment w:val="auto"/>
              <w:rPr>
                <w:b/>
                <w:bCs/>
                <w:color w:val="000000" w:themeColor="text1"/>
                <w:szCs w:val="21"/>
                <w:highlight w:val="none"/>
                <w14:textFill>
                  <w14:solidFill>
                    <w14:schemeClr w14:val="tx1"/>
                  </w14:solidFill>
                </w14:textFill>
              </w:rPr>
            </w:pPr>
            <w:r>
              <w:rPr>
                <w:b/>
                <w:bCs/>
                <w:color w:val="000000" w:themeColor="text1"/>
                <w:szCs w:val="21"/>
                <w:highlight w:val="none"/>
                <w14:textFill>
                  <w14:solidFill>
                    <w14:schemeClr w14:val="tx1"/>
                  </w14:solidFill>
                </w14:textFill>
              </w:rPr>
              <w:t>环境保护措施</w:t>
            </w:r>
          </w:p>
        </w:tc>
        <w:tc>
          <w:tcPr>
            <w:tcW w:w="1799" w:type="dxa"/>
            <w:noWrap w:val="0"/>
            <w:vAlign w:val="center"/>
          </w:tcPr>
          <w:p w14:paraId="3D1552DC">
            <w:pPr>
              <w:adjustRightInd w:val="0"/>
              <w:snapToGrid w:val="0"/>
              <w:jc w:val="center"/>
              <w:rPr>
                <w:b/>
                <w:bCs/>
                <w:color w:val="000000" w:themeColor="text1"/>
                <w:szCs w:val="21"/>
                <w:highlight w:val="none"/>
                <w14:textFill>
                  <w14:solidFill>
                    <w14:schemeClr w14:val="tx1"/>
                  </w14:solidFill>
                </w14:textFill>
              </w:rPr>
            </w:pPr>
            <w:r>
              <w:rPr>
                <w:b/>
                <w:bCs/>
                <w:color w:val="000000" w:themeColor="text1"/>
                <w:szCs w:val="21"/>
                <w:highlight w:val="none"/>
                <w14:textFill>
                  <w14:solidFill>
                    <w14:schemeClr w14:val="tx1"/>
                  </w14:solidFill>
                </w14:textFill>
              </w:rPr>
              <w:t>执行标准</w:t>
            </w:r>
          </w:p>
        </w:tc>
      </w:tr>
      <w:tr w14:paraId="1643C1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421" w:type="dxa"/>
            <w:vMerge w:val="restart"/>
            <w:noWrap w:val="0"/>
            <w:vAlign w:val="center"/>
          </w:tcPr>
          <w:p w14:paraId="7E0633A4">
            <w:pPr>
              <w:adjustRightInd w:val="0"/>
              <w:snapToGrid w:val="0"/>
              <w:jc w:val="center"/>
              <w:rPr>
                <w:b/>
                <w:bCs/>
                <w:color w:val="000000" w:themeColor="text1"/>
                <w:szCs w:val="21"/>
                <w:highlight w:val="none"/>
                <w14:textFill>
                  <w14:solidFill>
                    <w14:schemeClr w14:val="tx1"/>
                  </w14:solidFill>
                </w14:textFill>
              </w:rPr>
            </w:pPr>
            <w:r>
              <w:rPr>
                <w:b/>
                <w:bCs/>
                <w:color w:val="000000" w:themeColor="text1"/>
                <w:szCs w:val="21"/>
                <w:highlight w:val="none"/>
                <w14:textFill>
                  <w14:solidFill>
                    <w14:schemeClr w14:val="tx1"/>
                  </w14:solidFill>
                </w14:textFill>
              </w:rPr>
              <w:t>大气环境</w:t>
            </w:r>
          </w:p>
        </w:tc>
        <w:tc>
          <w:tcPr>
            <w:tcW w:w="742" w:type="dxa"/>
            <w:noWrap w:val="0"/>
            <w:vAlign w:val="center"/>
          </w:tcPr>
          <w:p w14:paraId="2DF3BFE1">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施工期</w:t>
            </w:r>
          </w:p>
        </w:tc>
        <w:tc>
          <w:tcPr>
            <w:tcW w:w="1244" w:type="dxa"/>
            <w:noWrap w:val="0"/>
            <w:vAlign w:val="center"/>
          </w:tcPr>
          <w:p w14:paraId="76296EA7">
            <w:pPr>
              <w:keepNext w:val="0"/>
              <w:keepLines w:val="0"/>
              <w:pageBreakBefore w:val="0"/>
              <w:widowControl w:val="0"/>
              <w:kinsoku/>
              <w:wordWrap/>
              <w:overflowPunct/>
              <w:topLinePunct w:val="0"/>
              <w:autoSpaceDE/>
              <w:autoSpaceDN/>
              <w:bidi w:val="0"/>
              <w:spacing w:line="240" w:lineRule="exact"/>
              <w:jc w:val="center"/>
              <w:textAlignment w:val="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车辆运输、</w:t>
            </w:r>
          </w:p>
          <w:p w14:paraId="6320FB4C">
            <w:pPr>
              <w:keepNext w:val="0"/>
              <w:keepLines w:val="0"/>
              <w:pageBreakBefore w:val="0"/>
              <w:widowControl w:val="0"/>
              <w:kinsoku/>
              <w:wordWrap/>
              <w:overflowPunct/>
              <w:topLinePunct w:val="0"/>
              <w:autoSpaceDE/>
              <w:autoSpaceDN/>
              <w:bidi w:val="0"/>
              <w:spacing w:line="240" w:lineRule="exact"/>
              <w:jc w:val="center"/>
              <w:textAlignment w:val="auto"/>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工程</w:t>
            </w:r>
            <w:r>
              <w:rPr>
                <w:color w:val="000000" w:themeColor="text1"/>
                <w:szCs w:val="21"/>
                <w:highlight w:val="none"/>
                <w14:textFill>
                  <w14:solidFill>
                    <w14:schemeClr w14:val="tx1"/>
                  </w14:solidFill>
                </w14:textFill>
              </w:rPr>
              <w:t>建设</w:t>
            </w:r>
          </w:p>
        </w:tc>
        <w:tc>
          <w:tcPr>
            <w:tcW w:w="1104" w:type="dxa"/>
            <w:noWrap w:val="0"/>
            <w:vAlign w:val="center"/>
          </w:tcPr>
          <w:p w14:paraId="238F9592">
            <w:pPr>
              <w:keepNext w:val="0"/>
              <w:keepLines w:val="0"/>
              <w:pageBreakBefore w:val="0"/>
              <w:widowControl w:val="0"/>
              <w:kinsoku/>
              <w:wordWrap/>
              <w:overflowPunct/>
              <w:topLinePunct w:val="0"/>
              <w:autoSpaceDE/>
              <w:autoSpaceDN/>
              <w:bidi w:val="0"/>
              <w:spacing w:line="240" w:lineRule="exact"/>
              <w:jc w:val="center"/>
              <w:textAlignment w:val="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扬尘</w:t>
            </w:r>
          </w:p>
        </w:tc>
        <w:tc>
          <w:tcPr>
            <w:tcW w:w="3497" w:type="dxa"/>
            <w:noWrap w:val="0"/>
            <w:vAlign w:val="center"/>
          </w:tcPr>
          <w:p w14:paraId="0DF0A1A7">
            <w:pPr>
              <w:keepNext w:val="0"/>
              <w:keepLines w:val="0"/>
              <w:pageBreakBefore w:val="0"/>
              <w:widowControl w:val="0"/>
              <w:kinsoku/>
              <w:wordWrap/>
              <w:overflowPunct/>
              <w:topLinePunct w:val="0"/>
              <w:autoSpaceDE/>
              <w:autoSpaceDN/>
              <w:bidi w:val="0"/>
              <w:spacing w:line="240" w:lineRule="exact"/>
              <w:jc w:val="both"/>
              <w:textAlignment w:val="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按规定路线低速行驶车辆及时洒水、覆盖等措施</w:t>
            </w:r>
          </w:p>
        </w:tc>
        <w:tc>
          <w:tcPr>
            <w:tcW w:w="1799" w:type="dxa"/>
            <w:noWrap w:val="0"/>
            <w:vAlign w:val="center"/>
          </w:tcPr>
          <w:p w14:paraId="39732E83">
            <w:pPr>
              <w:keepNext w:val="0"/>
              <w:keepLines w:val="0"/>
              <w:pageBreakBefore w:val="0"/>
              <w:widowControl w:val="0"/>
              <w:kinsoku/>
              <w:wordWrap/>
              <w:overflowPunct/>
              <w:topLinePunct w:val="0"/>
              <w:autoSpaceDE/>
              <w:autoSpaceDN/>
              <w:bidi w:val="0"/>
              <w:spacing w:line="240" w:lineRule="exact"/>
              <w:jc w:val="center"/>
              <w:textAlignment w:val="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w:t>
            </w:r>
          </w:p>
        </w:tc>
      </w:tr>
      <w:tr w14:paraId="521F04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421" w:type="dxa"/>
            <w:vMerge w:val="continue"/>
            <w:noWrap w:val="0"/>
            <w:vAlign w:val="center"/>
          </w:tcPr>
          <w:p w14:paraId="345B8553">
            <w:pPr>
              <w:adjustRightInd w:val="0"/>
              <w:snapToGrid w:val="0"/>
              <w:jc w:val="center"/>
              <w:rPr>
                <w:b/>
                <w:bCs/>
                <w:color w:val="000000" w:themeColor="text1"/>
                <w:szCs w:val="21"/>
                <w:highlight w:val="none"/>
                <w14:textFill>
                  <w14:solidFill>
                    <w14:schemeClr w14:val="tx1"/>
                  </w14:solidFill>
                </w14:textFill>
              </w:rPr>
            </w:pPr>
          </w:p>
        </w:tc>
        <w:tc>
          <w:tcPr>
            <w:tcW w:w="742" w:type="dxa"/>
            <w:vMerge w:val="restart"/>
            <w:noWrap w:val="0"/>
            <w:vAlign w:val="center"/>
          </w:tcPr>
          <w:p w14:paraId="2E192598">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运营期</w:t>
            </w:r>
          </w:p>
        </w:tc>
        <w:tc>
          <w:tcPr>
            <w:tcW w:w="1244" w:type="dxa"/>
            <w:noWrap w:val="0"/>
            <w:vAlign w:val="center"/>
          </w:tcPr>
          <w:p w14:paraId="5C399357">
            <w:pPr>
              <w:adjustRightInd w:val="0"/>
              <w:snapToGrid w:val="0"/>
              <w:jc w:val="center"/>
              <w:rPr>
                <w:rFonts w:hint="eastAsia" w:cs="Times New Roman"/>
                <w:color w:val="000000" w:themeColor="text1"/>
                <w:szCs w:val="21"/>
                <w:highlight w:val="none"/>
                <w:lang w:val="en-US" w:eastAsia="zh-CN"/>
                <w14:textFill>
                  <w14:solidFill>
                    <w14:schemeClr w14:val="tx1"/>
                  </w14:solidFill>
                </w14:textFill>
              </w:rPr>
            </w:pPr>
            <w:r>
              <w:rPr>
                <w:rFonts w:hint="eastAsia" w:cs="Times New Roman"/>
                <w:color w:val="000000" w:themeColor="text1"/>
                <w:szCs w:val="21"/>
                <w:highlight w:val="none"/>
                <w:lang w:val="en-US" w:eastAsia="zh-CN"/>
                <w14:textFill>
                  <w14:solidFill>
                    <w14:schemeClr w14:val="tx1"/>
                  </w14:solidFill>
                </w14:textFill>
              </w:rPr>
              <w:t>原料粉</w:t>
            </w:r>
          </w:p>
          <w:p w14:paraId="5BC8A7EC">
            <w:pPr>
              <w:adjustRightInd w:val="0"/>
              <w:snapToGrid w:val="0"/>
              <w:jc w:val="center"/>
              <w:rPr>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仓尘</w:t>
            </w:r>
          </w:p>
        </w:tc>
        <w:tc>
          <w:tcPr>
            <w:tcW w:w="1104" w:type="dxa"/>
            <w:noWrap w:val="0"/>
            <w:vAlign w:val="center"/>
          </w:tcPr>
          <w:p w14:paraId="76B4D60B">
            <w:pPr>
              <w:keepNext w:val="0"/>
              <w:keepLines w:val="0"/>
              <w:pageBreakBefore w:val="0"/>
              <w:widowControl w:val="0"/>
              <w:kinsoku/>
              <w:wordWrap/>
              <w:overflowPunct/>
              <w:topLinePunct w:val="0"/>
              <w:autoSpaceDE/>
              <w:autoSpaceDN/>
              <w:bidi w:val="0"/>
              <w:spacing w:line="240" w:lineRule="exact"/>
              <w:jc w:val="center"/>
              <w:textAlignment w:val="auto"/>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颗粒物</w:t>
            </w:r>
          </w:p>
        </w:tc>
        <w:tc>
          <w:tcPr>
            <w:tcW w:w="3497" w:type="dxa"/>
            <w:noWrap w:val="0"/>
            <w:vAlign w:val="center"/>
          </w:tcPr>
          <w:p w14:paraId="3FF5DE65">
            <w:pPr>
              <w:keepNext w:val="0"/>
              <w:keepLines w:val="0"/>
              <w:pageBreakBefore w:val="0"/>
              <w:widowControl w:val="0"/>
              <w:kinsoku/>
              <w:wordWrap/>
              <w:overflowPunct/>
              <w:topLinePunct w:val="0"/>
              <w:autoSpaceDE/>
              <w:autoSpaceDN/>
              <w:bidi w:val="0"/>
              <w:spacing w:line="240" w:lineRule="exact"/>
              <w:jc w:val="both"/>
              <w:textAlignment w:val="auto"/>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2个</w:t>
            </w:r>
            <w:r>
              <w:rPr>
                <w:rFonts w:hint="eastAsia"/>
                <w:color w:val="000000" w:themeColor="text1"/>
                <w:szCs w:val="21"/>
                <w:highlight w:val="none"/>
                <w:lang w:val="en-US" w:eastAsia="zh-CN"/>
                <w14:textFill>
                  <w14:solidFill>
                    <w14:schemeClr w14:val="tx1"/>
                  </w14:solidFill>
                </w14:textFill>
              </w:rPr>
              <w:t>筒</w:t>
            </w:r>
            <w:r>
              <w:rPr>
                <w:color w:val="000000" w:themeColor="text1"/>
                <w:szCs w:val="21"/>
                <w:highlight w:val="none"/>
                <w14:textFill>
                  <w14:solidFill>
                    <w14:schemeClr w14:val="tx1"/>
                  </w14:solidFill>
                </w14:textFill>
              </w:rPr>
              <w:t>仓顶</w:t>
            </w:r>
            <w:r>
              <w:rPr>
                <w:rFonts w:hint="eastAsia"/>
                <w:color w:val="000000" w:themeColor="text1"/>
                <w:szCs w:val="21"/>
                <w:highlight w:val="none"/>
                <w:lang w:val="en-US" w:eastAsia="zh-CN"/>
                <w14:textFill>
                  <w14:solidFill>
                    <w14:schemeClr w14:val="tx1"/>
                  </w14:solidFill>
                </w14:textFill>
              </w:rPr>
              <w:t>布袋</w:t>
            </w:r>
            <w:r>
              <w:rPr>
                <w:color w:val="000000" w:themeColor="text1"/>
                <w:szCs w:val="21"/>
                <w:highlight w:val="none"/>
                <w14:textFill>
                  <w14:solidFill>
                    <w14:schemeClr w14:val="tx1"/>
                  </w14:solidFill>
                </w14:textFill>
              </w:rPr>
              <w:t>除尘器（除尘效率99%）</w:t>
            </w:r>
            <w:r>
              <w:rPr>
                <w:rFonts w:hint="eastAsia"/>
                <w:color w:val="000000" w:themeColor="text1"/>
                <w:szCs w:val="21"/>
                <w:highlight w:val="none"/>
                <w14:textFill>
                  <w14:solidFill>
                    <w14:schemeClr w14:val="tx1"/>
                  </w14:solidFill>
                </w14:textFill>
              </w:rPr>
              <w:t>+</w:t>
            </w:r>
            <w:r>
              <w:rPr>
                <w:rFonts w:hint="eastAsia"/>
                <w:color w:val="000000" w:themeColor="text1"/>
                <w:szCs w:val="21"/>
                <w:highlight w:val="none"/>
                <w:lang w:val="en-US" w:eastAsia="zh-CN"/>
                <w14:textFill>
                  <w14:solidFill>
                    <w14:schemeClr w14:val="tx1"/>
                  </w14:solidFill>
                </w14:textFill>
              </w:rPr>
              <w:t>42</w:t>
            </w:r>
            <w:r>
              <w:rPr>
                <w:rFonts w:hint="eastAsia"/>
                <w:color w:val="000000" w:themeColor="text1"/>
                <w:szCs w:val="21"/>
                <w:highlight w:val="none"/>
                <w14:textFill>
                  <w14:solidFill>
                    <w14:schemeClr w14:val="tx1"/>
                  </w14:solidFill>
                </w14:textFill>
              </w:rPr>
              <w:t>m</w:t>
            </w:r>
            <w:r>
              <w:rPr>
                <w:rFonts w:hint="eastAsia" w:cs="Times New Roman"/>
                <w:color w:val="000000" w:themeColor="text1"/>
                <w:sz w:val="21"/>
                <w:szCs w:val="21"/>
                <w:highlight w:val="none"/>
                <w:lang w:val="en-US" w:eastAsia="zh-CN"/>
                <w14:textFill>
                  <w14:solidFill>
                    <w14:schemeClr w14:val="tx1"/>
                  </w14:solidFill>
                </w14:textFill>
              </w:rPr>
              <w:t>高的</w:t>
            </w:r>
            <w:r>
              <w:rPr>
                <w:rFonts w:hint="eastAsia"/>
                <w:color w:val="000000" w:themeColor="text1"/>
                <w:sz w:val="21"/>
                <w:szCs w:val="21"/>
                <w:highlight w:val="none"/>
                <w:lang w:eastAsia="zh-CN"/>
                <w14:textFill>
                  <w14:solidFill>
                    <w14:schemeClr w14:val="tx1"/>
                  </w14:solidFill>
                </w14:textFill>
              </w:rPr>
              <w:t>排气</w:t>
            </w:r>
            <w:r>
              <w:rPr>
                <w:rFonts w:hint="eastAsia" w:cs="Times New Roman"/>
                <w:b w:val="0"/>
                <w:bCs w:val="0"/>
                <w:color w:val="000000" w:themeColor="text1"/>
                <w:sz w:val="21"/>
                <w:szCs w:val="21"/>
                <w:highlight w:val="none"/>
                <w:lang w:val="en-US" w:eastAsia="zh-CN"/>
                <w14:textFill>
                  <w14:solidFill>
                    <w14:schemeClr w14:val="tx1"/>
                  </w14:solidFill>
                </w14:textFill>
              </w:rPr>
              <w:t>口</w:t>
            </w:r>
            <w:r>
              <w:rPr>
                <w:color w:val="000000" w:themeColor="text1"/>
                <w:szCs w:val="21"/>
                <w:highlight w:val="none"/>
                <w14:textFill>
                  <w14:solidFill>
                    <w14:schemeClr w14:val="tx1"/>
                  </w14:solidFill>
                </w14:textFill>
              </w:rPr>
              <w:t>（</w:t>
            </w:r>
            <w:r>
              <w:rPr>
                <w:rFonts w:hint="eastAsia"/>
                <w:color w:val="000000" w:themeColor="text1"/>
                <w:szCs w:val="21"/>
                <w:highlight w:val="none"/>
                <w:lang w:val="en-US" w:eastAsia="zh-CN"/>
                <w14:textFill>
                  <w14:solidFill>
                    <w14:schemeClr w14:val="tx1"/>
                  </w14:solidFill>
                </w14:textFill>
              </w:rPr>
              <w:t>DA001、DA002</w:t>
            </w:r>
            <w:r>
              <w:rPr>
                <w:color w:val="000000" w:themeColor="text1"/>
                <w:szCs w:val="21"/>
                <w:highlight w:val="none"/>
                <w14:textFill>
                  <w14:solidFill>
                    <w14:schemeClr w14:val="tx1"/>
                  </w14:solidFill>
                </w14:textFill>
              </w:rPr>
              <w:t>）</w:t>
            </w:r>
          </w:p>
        </w:tc>
        <w:tc>
          <w:tcPr>
            <w:tcW w:w="1799" w:type="dxa"/>
            <w:vMerge w:val="restart"/>
            <w:noWrap w:val="0"/>
            <w:vAlign w:val="center"/>
          </w:tcPr>
          <w:p w14:paraId="2163DD12">
            <w:pPr>
              <w:keepNext w:val="0"/>
              <w:keepLines w:val="0"/>
              <w:pageBreakBefore w:val="0"/>
              <w:widowControl w:val="0"/>
              <w:kinsoku/>
              <w:wordWrap/>
              <w:overflowPunct/>
              <w:topLinePunct w:val="0"/>
              <w:autoSpaceDE/>
              <w:autoSpaceDN/>
              <w:bidi w:val="0"/>
              <w:spacing w:line="24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cs="Times New Roman"/>
                <w:color w:val="000000" w:themeColor="text1"/>
                <w:szCs w:val="21"/>
                <w:highlight w:val="none"/>
                <w:lang w:val="en-US" w:eastAsia="zh-CN"/>
                <w14:textFill>
                  <w14:solidFill>
                    <w14:schemeClr w14:val="tx1"/>
                  </w14:solidFill>
                </w14:textFill>
              </w:rPr>
              <w:t>《耐火材料工业大气污染物排放标准》（GB46790-2025）表1大气污染物排放限值</w:t>
            </w:r>
          </w:p>
        </w:tc>
      </w:tr>
      <w:tr w14:paraId="4E4F1D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421" w:type="dxa"/>
            <w:vMerge w:val="continue"/>
            <w:noWrap w:val="0"/>
            <w:vAlign w:val="center"/>
          </w:tcPr>
          <w:p w14:paraId="54DC4B1F">
            <w:pPr>
              <w:adjustRightInd w:val="0"/>
              <w:snapToGrid w:val="0"/>
              <w:jc w:val="center"/>
              <w:rPr>
                <w:b/>
                <w:bCs/>
                <w:color w:val="000000" w:themeColor="text1"/>
                <w:szCs w:val="21"/>
                <w:highlight w:val="none"/>
                <w14:textFill>
                  <w14:solidFill>
                    <w14:schemeClr w14:val="tx1"/>
                  </w14:solidFill>
                </w14:textFill>
              </w:rPr>
            </w:pPr>
          </w:p>
        </w:tc>
        <w:tc>
          <w:tcPr>
            <w:tcW w:w="742" w:type="dxa"/>
            <w:vMerge w:val="continue"/>
            <w:noWrap w:val="0"/>
            <w:vAlign w:val="center"/>
          </w:tcPr>
          <w:p w14:paraId="20D066D9">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color w:val="000000" w:themeColor="text1"/>
                <w:szCs w:val="21"/>
                <w:highlight w:val="none"/>
                <w14:textFill>
                  <w14:solidFill>
                    <w14:schemeClr w14:val="tx1"/>
                  </w14:solidFill>
                </w14:textFill>
              </w:rPr>
            </w:pPr>
          </w:p>
        </w:tc>
        <w:tc>
          <w:tcPr>
            <w:tcW w:w="1244" w:type="dxa"/>
            <w:noWrap w:val="0"/>
            <w:vAlign w:val="center"/>
          </w:tcPr>
          <w:p w14:paraId="36FF7B51">
            <w:pPr>
              <w:adjustRightInd w:val="0"/>
              <w:snapToGrid w:val="0"/>
              <w:jc w:val="center"/>
              <w:rPr>
                <w:color w:val="000000" w:themeColor="text1"/>
                <w:szCs w:val="21"/>
                <w:highlight w:val="none"/>
                <w14:textFill>
                  <w14:solidFill>
                    <w14:schemeClr w14:val="tx1"/>
                  </w14:solidFill>
                </w14:textFill>
              </w:rPr>
            </w:pPr>
            <w:r>
              <w:rPr>
                <w:rFonts w:hint="eastAsia" w:ascii="Times New Roman" w:hAnsi="Times New Roman" w:cs="Times New Roman"/>
                <w:color w:val="000000" w:themeColor="text1"/>
                <w:szCs w:val="21"/>
                <w:highlight w:val="none"/>
                <w:lang w:val="en-US" w:eastAsia="zh-CN"/>
                <w14:textFill>
                  <w14:solidFill>
                    <w14:schemeClr w14:val="tx1"/>
                  </w14:solidFill>
                </w14:textFill>
              </w:rPr>
              <w:t>转运</w:t>
            </w:r>
            <w:r>
              <w:rPr>
                <w:rFonts w:hint="default" w:ascii="Times New Roman" w:hAnsi="Times New Roman" w:cs="Times New Roman"/>
                <w:color w:val="000000" w:themeColor="text1"/>
                <w:szCs w:val="21"/>
                <w:highlight w:val="none"/>
                <w14:textFill>
                  <w14:solidFill>
                    <w14:schemeClr w14:val="tx1"/>
                  </w14:solidFill>
                </w14:textFill>
              </w:rPr>
              <w:t>粉尘</w:t>
            </w:r>
          </w:p>
        </w:tc>
        <w:tc>
          <w:tcPr>
            <w:tcW w:w="1104" w:type="dxa"/>
            <w:noWrap w:val="0"/>
            <w:vAlign w:val="center"/>
          </w:tcPr>
          <w:p w14:paraId="404CFC4C">
            <w:pPr>
              <w:keepNext w:val="0"/>
              <w:keepLines w:val="0"/>
              <w:pageBreakBefore w:val="0"/>
              <w:widowControl w:val="0"/>
              <w:kinsoku/>
              <w:wordWrap/>
              <w:overflowPunct/>
              <w:topLinePunct w:val="0"/>
              <w:autoSpaceDE/>
              <w:autoSpaceDN/>
              <w:bidi w:val="0"/>
              <w:spacing w:line="240" w:lineRule="exact"/>
              <w:jc w:val="center"/>
              <w:textAlignment w:val="auto"/>
              <w:rPr>
                <w:rFonts w:hint="eastAsia"/>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颗粒物</w:t>
            </w:r>
          </w:p>
        </w:tc>
        <w:tc>
          <w:tcPr>
            <w:tcW w:w="3497" w:type="dxa"/>
            <w:noWrap w:val="0"/>
            <w:vAlign w:val="center"/>
          </w:tcPr>
          <w:p w14:paraId="5543AF5D">
            <w:pPr>
              <w:keepNext w:val="0"/>
              <w:keepLines w:val="0"/>
              <w:pageBreakBefore w:val="0"/>
              <w:widowControl w:val="0"/>
              <w:kinsoku/>
              <w:wordWrap/>
              <w:overflowPunct/>
              <w:topLinePunct w:val="0"/>
              <w:autoSpaceDE/>
              <w:autoSpaceDN/>
              <w:bidi w:val="0"/>
              <w:spacing w:line="240" w:lineRule="exact"/>
              <w:jc w:val="both"/>
              <w:textAlignment w:val="auto"/>
              <w:rPr>
                <w:rFonts w:hint="eastAsia"/>
                <w:color w:val="000000" w:themeColor="text1"/>
                <w:szCs w:val="21"/>
                <w:highlight w:val="none"/>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1</w:t>
            </w:r>
            <w:r>
              <w:rPr>
                <w:rFonts w:hint="eastAsia"/>
                <w:color w:val="000000" w:themeColor="text1"/>
                <w:szCs w:val="21"/>
                <w:highlight w:val="none"/>
                <w14:textFill>
                  <w14:solidFill>
                    <w14:schemeClr w14:val="tx1"/>
                  </w14:solidFill>
                </w14:textFill>
              </w:rPr>
              <w:t>个</w:t>
            </w:r>
            <w:r>
              <w:rPr>
                <w:rFonts w:hint="eastAsia"/>
                <w:color w:val="000000" w:themeColor="text1"/>
                <w:szCs w:val="21"/>
                <w:highlight w:val="none"/>
                <w:lang w:val="en-US" w:eastAsia="zh-CN"/>
                <w14:textFill>
                  <w14:solidFill>
                    <w14:schemeClr w14:val="tx1"/>
                  </w14:solidFill>
                </w14:textFill>
              </w:rPr>
              <w:t>筒仓</w:t>
            </w:r>
            <w:r>
              <w:rPr>
                <w:color w:val="000000" w:themeColor="text1"/>
                <w:szCs w:val="21"/>
                <w:highlight w:val="none"/>
                <w14:textFill>
                  <w14:solidFill>
                    <w14:schemeClr w14:val="tx1"/>
                  </w14:solidFill>
                </w14:textFill>
              </w:rPr>
              <w:t>顶</w:t>
            </w:r>
            <w:r>
              <w:rPr>
                <w:rFonts w:hint="eastAsia"/>
                <w:color w:val="000000" w:themeColor="text1"/>
                <w:szCs w:val="21"/>
                <w:highlight w:val="none"/>
                <w:lang w:val="en-US" w:eastAsia="zh-CN"/>
                <w14:textFill>
                  <w14:solidFill>
                    <w14:schemeClr w14:val="tx1"/>
                  </w14:solidFill>
                </w14:textFill>
              </w:rPr>
              <w:t>布袋</w:t>
            </w:r>
            <w:r>
              <w:rPr>
                <w:color w:val="000000" w:themeColor="text1"/>
                <w:szCs w:val="21"/>
                <w:highlight w:val="none"/>
                <w14:textFill>
                  <w14:solidFill>
                    <w14:schemeClr w14:val="tx1"/>
                  </w14:solidFill>
                </w14:textFill>
              </w:rPr>
              <w:t>除尘器（除尘效率99%）</w:t>
            </w: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1</w:t>
            </w:r>
            <w:r>
              <w:rPr>
                <w:rFonts w:hint="eastAsia"/>
                <w:color w:val="000000" w:themeColor="text1"/>
                <w:szCs w:val="21"/>
                <w:highlight w:val="none"/>
                <w:lang w:val="en-US" w:eastAsia="zh-CN"/>
                <w14:textFill>
                  <w14:solidFill>
                    <w14:schemeClr w14:val="tx1"/>
                  </w14:solidFill>
                </w14:textFill>
              </w:rPr>
              <w:t>5</w:t>
            </w:r>
            <w:r>
              <w:rPr>
                <w:color w:val="000000" w:themeColor="text1"/>
                <w:szCs w:val="21"/>
                <w:highlight w:val="none"/>
                <w14:textFill>
                  <w14:solidFill>
                    <w14:schemeClr w14:val="tx1"/>
                  </w14:solidFill>
                </w14:textFill>
              </w:rPr>
              <w:t>m</w:t>
            </w:r>
            <w:r>
              <w:rPr>
                <w:rFonts w:hint="eastAsia" w:cs="Times New Roman"/>
                <w:color w:val="000000" w:themeColor="text1"/>
                <w:sz w:val="24"/>
                <w:highlight w:val="none"/>
                <w:lang w:val="en-US" w:eastAsia="zh-CN"/>
                <w14:textFill>
                  <w14:solidFill>
                    <w14:schemeClr w14:val="tx1"/>
                  </w14:solidFill>
                </w14:textFill>
              </w:rPr>
              <w:t>高的</w:t>
            </w:r>
            <w:r>
              <w:rPr>
                <w:rFonts w:hint="eastAsia"/>
                <w:color w:val="000000" w:themeColor="text1"/>
                <w:szCs w:val="21"/>
                <w:highlight w:val="none"/>
                <w:lang w:eastAsia="zh-CN"/>
                <w14:textFill>
                  <w14:solidFill>
                    <w14:schemeClr w14:val="tx1"/>
                  </w14:solidFill>
                </w14:textFill>
              </w:rPr>
              <w:t>排气</w:t>
            </w:r>
            <w:r>
              <w:rPr>
                <w:rFonts w:hint="eastAsia" w:cs="Times New Roman"/>
                <w:b w:val="0"/>
                <w:bCs w:val="0"/>
                <w:color w:val="000000" w:themeColor="text1"/>
                <w:sz w:val="21"/>
                <w:szCs w:val="21"/>
                <w:highlight w:val="none"/>
                <w:lang w:val="en-US" w:eastAsia="zh-CN"/>
                <w14:textFill>
                  <w14:solidFill>
                    <w14:schemeClr w14:val="tx1"/>
                  </w14:solidFill>
                </w14:textFill>
              </w:rPr>
              <w:t>口</w:t>
            </w:r>
            <w:r>
              <w:rPr>
                <w:color w:val="000000" w:themeColor="text1"/>
                <w:szCs w:val="21"/>
                <w:highlight w:val="none"/>
                <w14:textFill>
                  <w14:solidFill>
                    <w14:schemeClr w14:val="tx1"/>
                  </w14:solidFill>
                </w14:textFill>
              </w:rPr>
              <w:t>（</w:t>
            </w:r>
            <w:r>
              <w:rPr>
                <w:rFonts w:hint="eastAsia"/>
                <w:color w:val="000000" w:themeColor="text1"/>
                <w:szCs w:val="21"/>
                <w:highlight w:val="none"/>
                <w:lang w:val="en-US" w:eastAsia="zh-CN"/>
                <w14:textFill>
                  <w14:solidFill>
                    <w14:schemeClr w14:val="tx1"/>
                  </w14:solidFill>
                </w14:textFill>
              </w:rPr>
              <w:t>DA003）</w:t>
            </w:r>
          </w:p>
        </w:tc>
        <w:tc>
          <w:tcPr>
            <w:tcW w:w="1799" w:type="dxa"/>
            <w:vMerge w:val="continue"/>
            <w:noWrap w:val="0"/>
            <w:vAlign w:val="center"/>
          </w:tcPr>
          <w:p w14:paraId="3601F216">
            <w:pPr>
              <w:keepNext w:val="0"/>
              <w:keepLines w:val="0"/>
              <w:pageBreakBefore w:val="0"/>
              <w:widowControl w:val="0"/>
              <w:kinsoku/>
              <w:wordWrap/>
              <w:overflowPunct/>
              <w:topLinePunct w:val="0"/>
              <w:autoSpaceDE/>
              <w:autoSpaceDN/>
              <w:bidi w:val="0"/>
              <w:spacing w:line="24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p>
        </w:tc>
      </w:tr>
      <w:tr w14:paraId="5183BA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421" w:type="dxa"/>
            <w:vMerge w:val="continue"/>
            <w:noWrap w:val="0"/>
            <w:vAlign w:val="center"/>
          </w:tcPr>
          <w:p w14:paraId="3130B53D">
            <w:pPr>
              <w:adjustRightInd w:val="0"/>
              <w:snapToGrid w:val="0"/>
              <w:jc w:val="center"/>
              <w:rPr>
                <w:b/>
                <w:bCs/>
                <w:color w:val="000000" w:themeColor="text1"/>
                <w:szCs w:val="21"/>
                <w:highlight w:val="none"/>
                <w14:textFill>
                  <w14:solidFill>
                    <w14:schemeClr w14:val="tx1"/>
                  </w14:solidFill>
                </w14:textFill>
              </w:rPr>
            </w:pPr>
          </w:p>
        </w:tc>
        <w:tc>
          <w:tcPr>
            <w:tcW w:w="742" w:type="dxa"/>
            <w:vMerge w:val="continue"/>
            <w:noWrap w:val="0"/>
            <w:vAlign w:val="center"/>
          </w:tcPr>
          <w:p w14:paraId="59FBB604">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color w:val="000000" w:themeColor="text1"/>
                <w:szCs w:val="21"/>
                <w:highlight w:val="none"/>
                <w14:textFill>
                  <w14:solidFill>
                    <w14:schemeClr w14:val="tx1"/>
                  </w14:solidFill>
                </w14:textFill>
              </w:rPr>
            </w:pPr>
          </w:p>
        </w:tc>
        <w:tc>
          <w:tcPr>
            <w:tcW w:w="1244" w:type="dxa"/>
            <w:shd w:val="clear" w:color="auto" w:fill="auto"/>
            <w:noWrap w:val="0"/>
            <w:vAlign w:val="center"/>
          </w:tcPr>
          <w:p w14:paraId="2F417734">
            <w:pPr>
              <w:adjustRightInd w:val="0"/>
              <w:snapToGrid w:val="0"/>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窑尾喂料仓卸料</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粉尘</w:t>
            </w:r>
          </w:p>
        </w:tc>
        <w:tc>
          <w:tcPr>
            <w:tcW w:w="1104" w:type="dxa"/>
            <w:shd w:val="clear" w:color="auto" w:fill="auto"/>
            <w:noWrap w:val="0"/>
            <w:vAlign w:val="center"/>
          </w:tcPr>
          <w:p w14:paraId="01B44895">
            <w:pPr>
              <w:keepNext w:val="0"/>
              <w:keepLines w:val="0"/>
              <w:pageBreakBefore w:val="0"/>
              <w:widowControl w:val="0"/>
              <w:kinsoku/>
              <w:wordWrap/>
              <w:overflowPunct/>
              <w:topLinePunct w:val="0"/>
              <w:autoSpaceDE/>
              <w:autoSpaceDN/>
              <w:bidi w:val="0"/>
              <w:spacing w:line="240" w:lineRule="exact"/>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颗粒物</w:t>
            </w:r>
          </w:p>
        </w:tc>
        <w:tc>
          <w:tcPr>
            <w:tcW w:w="3497" w:type="dxa"/>
            <w:shd w:val="clear" w:color="auto" w:fill="auto"/>
            <w:noWrap w:val="0"/>
            <w:vAlign w:val="center"/>
          </w:tcPr>
          <w:p w14:paraId="3FBE9153">
            <w:pPr>
              <w:keepNext w:val="0"/>
              <w:keepLines w:val="0"/>
              <w:pageBreakBefore w:val="0"/>
              <w:widowControl w:val="0"/>
              <w:kinsoku/>
              <w:wordWrap/>
              <w:overflowPunct/>
              <w:topLinePunct w:val="0"/>
              <w:autoSpaceDE/>
              <w:autoSpaceDN/>
              <w:bidi w:val="0"/>
              <w:spacing w:line="240" w:lineRule="exact"/>
              <w:jc w:val="both"/>
              <w:textAlignment w:val="auto"/>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w:t>
            </w:r>
            <w:r>
              <w:rPr>
                <w:rFonts w:hint="eastAsia" w:ascii="Times New Roman" w:hAnsi="Times New Roman" w:cs="Times New Roman"/>
                <w:color w:val="000000" w:themeColor="text1"/>
                <w:highlight w:val="none"/>
                <w:lang w:val="en-US" w:eastAsia="zh-CN"/>
                <w14:textFill>
                  <w14:solidFill>
                    <w14:schemeClr w14:val="tx1"/>
                  </w14:solidFill>
                </w14:textFill>
              </w:rPr>
              <w:t>个</w:t>
            </w:r>
            <w:r>
              <w:rPr>
                <w:rFonts w:hint="eastAsia"/>
                <w:color w:val="000000" w:themeColor="text1"/>
                <w:szCs w:val="21"/>
                <w:highlight w:val="none"/>
                <w:lang w:val="en-US" w:eastAsia="zh-CN"/>
                <w14:textFill>
                  <w14:solidFill>
                    <w14:schemeClr w14:val="tx1"/>
                  </w14:solidFill>
                </w14:textFill>
              </w:rPr>
              <w:t>筒</w:t>
            </w:r>
            <w:r>
              <w:rPr>
                <w:color w:val="000000" w:themeColor="text1"/>
                <w:szCs w:val="21"/>
                <w:highlight w:val="none"/>
                <w14:textFill>
                  <w14:solidFill>
                    <w14:schemeClr w14:val="tx1"/>
                  </w14:solidFill>
                </w14:textFill>
              </w:rPr>
              <w:t>仓</w:t>
            </w:r>
            <w:r>
              <w:rPr>
                <w:rFonts w:hint="eastAsia"/>
                <w:color w:val="000000" w:themeColor="text1"/>
                <w:szCs w:val="21"/>
                <w:highlight w:val="none"/>
                <w:lang w:val="en-US" w:eastAsia="zh-CN"/>
                <w14:textFill>
                  <w14:solidFill>
                    <w14:schemeClr w14:val="tx1"/>
                  </w14:solidFill>
                </w14:textFill>
              </w:rPr>
              <w:t>仓</w:t>
            </w:r>
            <w:r>
              <w:rPr>
                <w:color w:val="000000" w:themeColor="text1"/>
                <w:szCs w:val="21"/>
                <w:highlight w:val="none"/>
                <w14:textFill>
                  <w14:solidFill>
                    <w14:schemeClr w14:val="tx1"/>
                  </w14:solidFill>
                </w14:textFill>
              </w:rPr>
              <w:t>顶</w:t>
            </w:r>
            <w:r>
              <w:rPr>
                <w:rFonts w:hint="eastAsia" w:cs="Times New Roman"/>
                <w:color w:val="000000" w:themeColor="text1"/>
                <w:highlight w:val="none"/>
                <w:lang w:eastAsia="zh-CN"/>
                <w14:textFill>
                  <w14:solidFill>
                    <w14:schemeClr w14:val="tx1"/>
                  </w14:solidFill>
                </w14:textFill>
              </w:rPr>
              <w:t>布袋除尘器（覆膜袋式）</w:t>
            </w:r>
            <w:r>
              <w:rPr>
                <w:color w:val="000000" w:themeColor="text1"/>
                <w:szCs w:val="21"/>
                <w:highlight w:val="none"/>
                <w14:textFill>
                  <w14:solidFill>
                    <w14:schemeClr w14:val="tx1"/>
                  </w14:solidFill>
                </w14:textFill>
              </w:rPr>
              <w:t>（除尘效率99%）</w:t>
            </w:r>
            <w:r>
              <w:rPr>
                <w:rFonts w:hint="default" w:ascii="Times New Roman" w:hAnsi="Times New Roman" w:cs="Times New Roman"/>
                <w:color w:val="000000" w:themeColor="text1"/>
                <w:highlight w:val="none"/>
                <w14:textFill>
                  <w14:solidFill>
                    <w14:schemeClr w14:val="tx1"/>
                  </w14:solidFill>
                </w14:textFill>
              </w:rPr>
              <w:t>+</w:t>
            </w:r>
            <w:r>
              <w:rPr>
                <w:rFonts w:hint="eastAsia" w:cs="Times New Roman"/>
                <w:color w:val="000000" w:themeColor="text1"/>
                <w:highlight w:val="none"/>
                <w:lang w:val="en-US" w:eastAsia="zh-CN"/>
                <w14:textFill>
                  <w14:solidFill>
                    <w14:schemeClr w14:val="tx1"/>
                  </w14:solidFill>
                </w14:textFill>
              </w:rPr>
              <w:t>3</w:t>
            </w:r>
            <w:r>
              <w:rPr>
                <w:rFonts w:hint="eastAsia" w:ascii="Times New Roman" w:hAnsi="Times New Roman" w:cs="Times New Roman"/>
                <w:color w:val="000000" w:themeColor="text1"/>
                <w:highlight w:val="none"/>
                <w:lang w:val="en-US" w:eastAsia="zh-CN"/>
                <w14:textFill>
                  <w14:solidFill>
                    <w14:schemeClr w14:val="tx1"/>
                  </w14:solidFill>
                </w14:textFill>
              </w:rPr>
              <w:t>0</w:t>
            </w:r>
            <w:r>
              <w:rPr>
                <w:rFonts w:hint="default" w:ascii="Times New Roman" w:hAnsi="Times New Roman" w:cs="Times New Roman"/>
                <w:color w:val="000000" w:themeColor="text1"/>
                <w:highlight w:val="none"/>
                <w:lang w:eastAsia="zh-CN"/>
                <w14:textFill>
                  <w14:solidFill>
                    <w14:schemeClr w14:val="tx1"/>
                  </w14:solidFill>
                </w14:textFill>
              </w:rPr>
              <w:t>m</w:t>
            </w:r>
            <w:r>
              <w:rPr>
                <w:rFonts w:hint="eastAsia" w:cs="Times New Roman"/>
                <w:color w:val="000000" w:themeColor="text1"/>
                <w:sz w:val="24"/>
                <w:highlight w:val="none"/>
                <w:lang w:val="en-US" w:eastAsia="zh-CN"/>
                <w14:textFill>
                  <w14:solidFill>
                    <w14:schemeClr w14:val="tx1"/>
                  </w14:solidFill>
                </w14:textFill>
              </w:rPr>
              <w:t>高的</w:t>
            </w:r>
            <w:r>
              <w:rPr>
                <w:rFonts w:hint="eastAsia" w:cs="Times New Roman"/>
                <w:color w:val="000000" w:themeColor="text1"/>
                <w:highlight w:val="none"/>
                <w:lang w:eastAsia="zh-CN"/>
                <w14:textFill>
                  <w14:solidFill>
                    <w14:schemeClr w14:val="tx1"/>
                  </w14:solidFill>
                </w14:textFill>
              </w:rPr>
              <w:t>排气</w:t>
            </w:r>
            <w:r>
              <w:rPr>
                <w:rFonts w:hint="eastAsia" w:cs="Times New Roman"/>
                <w:b w:val="0"/>
                <w:bCs w:val="0"/>
                <w:color w:val="000000" w:themeColor="text1"/>
                <w:sz w:val="21"/>
                <w:szCs w:val="21"/>
                <w:highlight w:val="none"/>
                <w:lang w:val="en-US" w:eastAsia="zh-CN"/>
                <w14:textFill>
                  <w14:solidFill>
                    <w14:schemeClr w14:val="tx1"/>
                  </w14:solidFill>
                </w14:textFill>
              </w:rPr>
              <w:t>口</w:t>
            </w:r>
            <w:r>
              <w:rPr>
                <w:rFonts w:hint="default" w:ascii="Times New Roman" w:hAnsi="Times New Roman" w:cs="Times New Roman"/>
                <w:color w:val="000000" w:themeColor="text1"/>
                <w:highlight w:val="none"/>
                <w14:textFill>
                  <w14:solidFill>
                    <w14:schemeClr w14:val="tx1"/>
                  </w14:solidFill>
                </w14:textFill>
              </w:rPr>
              <w:t>（DA00</w:t>
            </w:r>
            <w:r>
              <w:rPr>
                <w:rFonts w:hint="eastAsia" w:cs="Times New Roman"/>
                <w:color w:val="000000" w:themeColor="text1"/>
                <w:highlight w:val="none"/>
                <w:lang w:val="en-US" w:eastAsia="zh-CN"/>
                <w14:textFill>
                  <w14:solidFill>
                    <w14:schemeClr w14:val="tx1"/>
                  </w14:solidFill>
                </w14:textFill>
              </w:rPr>
              <w:t>4</w:t>
            </w:r>
            <w:r>
              <w:rPr>
                <w:rFonts w:hint="default" w:ascii="Times New Roman" w:hAnsi="Times New Roman" w:cs="Times New Roman"/>
                <w:color w:val="000000" w:themeColor="text1"/>
                <w:highlight w:val="none"/>
                <w14:textFill>
                  <w14:solidFill>
                    <w14:schemeClr w14:val="tx1"/>
                  </w14:solidFill>
                </w14:textFill>
              </w:rPr>
              <w:t>）</w:t>
            </w:r>
          </w:p>
        </w:tc>
        <w:tc>
          <w:tcPr>
            <w:tcW w:w="1799" w:type="dxa"/>
            <w:vMerge w:val="continue"/>
            <w:noWrap w:val="0"/>
            <w:vAlign w:val="center"/>
          </w:tcPr>
          <w:p w14:paraId="3D21DDB2">
            <w:pPr>
              <w:keepNext w:val="0"/>
              <w:keepLines w:val="0"/>
              <w:pageBreakBefore w:val="0"/>
              <w:widowControl w:val="0"/>
              <w:kinsoku/>
              <w:wordWrap/>
              <w:overflowPunct/>
              <w:topLinePunct w:val="0"/>
              <w:autoSpaceDE/>
              <w:autoSpaceDN/>
              <w:bidi w:val="0"/>
              <w:spacing w:line="24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p>
        </w:tc>
      </w:tr>
      <w:tr w14:paraId="789247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421" w:type="dxa"/>
            <w:vMerge w:val="continue"/>
            <w:noWrap w:val="0"/>
            <w:vAlign w:val="center"/>
          </w:tcPr>
          <w:p w14:paraId="78CC6E27">
            <w:pPr>
              <w:adjustRightInd w:val="0"/>
              <w:snapToGrid w:val="0"/>
              <w:jc w:val="center"/>
              <w:rPr>
                <w:b/>
                <w:bCs/>
                <w:color w:val="000000" w:themeColor="text1"/>
                <w:szCs w:val="21"/>
                <w:highlight w:val="none"/>
                <w14:textFill>
                  <w14:solidFill>
                    <w14:schemeClr w14:val="tx1"/>
                  </w14:solidFill>
                </w14:textFill>
              </w:rPr>
            </w:pPr>
          </w:p>
        </w:tc>
        <w:tc>
          <w:tcPr>
            <w:tcW w:w="742" w:type="dxa"/>
            <w:vMerge w:val="continue"/>
            <w:noWrap w:val="0"/>
            <w:vAlign w:val="center"/>
          </w:tcPr>
          <w:p w14:paraId="17A35E8A">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color w:val="000000" w:themeColor="text1"/>
                <w:szCs w:val="21"/>
                <w:highlight w:val="none"/>
                <w14:textFill>
                  <w14:solidFill>
                    <w14:schemeClr w14:val="tx1"/>
                  </w14:solidFill>
                </w14:textFill>
              </w:rPr>
            </w:pPr>
          </w:p>
        </w:tc>
        <w:tc>
          <w:tcPr>
            <w:tcW w:w="1244" w:type="dxa"/>
            <w:shd w:val="clear" w:color="auto" w:fill="auto"/>
            <w:noWrap w:val="0"/>
            <w:vAlign w:val="center"/>
          </w:tcPr>
          <w:p w14:paraId="5CDDEEF4">
            <w:pPr>
              <w:adjustRightInd w:val="0"/>
              <w:snapToGrid w:val="0"/>
              <w:jc w:val="center"/>
              <w:rPr>
                <w:rFonts w:hint="eastAsia" w:ascii="Times New Roman" w:hAnsi="Times New Roman" w:eastAsia="宋体" w:cs="Times New Roman"/>
                <w:color w:val="000000" w:themeColor="text1"/>
                <w:spacing w:val="-1"/>
                <w:kern w:val="2"/>
                <w:sz w:val="21"/>
                <w:szCs w:val="21"/>
                <w:highlight w:val="none"/>
                <w:lang w:val="en-US" w:eastAsia="zh-CN" w:bidi="ar-SA"/>
                <w14:textFill>
                  <w14:solidFill>
                    <w14:schemeClr w14:val="tx1"/>
                  </w14:solidFill>
                </w14:textFill>
              </w:rPr>
            </w:pPr>
            <w:r>
              <w:rPr>
                <w:rFonts w:hint="eastAsia" w:cs="Times New Roman"/>
                <w:color w:val="000000" w:themeColor="text1"/>
                <w:spacing w:val="-1"/>
                <w:sz w:val="21"/>
                <w:szCs w:val="21"/>
                <w:highlight w:val="none"/>
                <w:lang w:val="en-US" w:eastAsia="zh-CN"/>
                <w14:textFill>
                  <w14:solidFill>
                    <w14:schemeClr w14:val="tx1"/>
                  </w14:solidFill>
                </w14:textFill>
              </w:rPr>
              <w:t>窑尾提升机卸料分场</w:t>
            </w:r>
          </w:p>
        </w:tc>
        <w:tc>
          <w:tcPr>
            <w:tcW w:w="1104" w:type="dxa"/>
            <w:shd w:val="clear" w:color="auto" w:fill="auto"/>
            <w:noWrap w:val="0"/>
            <w:vAlign w:val="center"/>
          </w:tcPr>
          <w:p w14:paraId="391A9654">
            <w:pPr>
              <w:keepNext w:val="0"/>
              <w:keepLines w:val="0"/>
              <w:pageBreakBefore w:val="0"/>
              <w:widowControl w:val="0"/>
              <w:kinsoku/>
              <w:wordWrap/>
              <w:overflowPunct/>
              <w:topLinePunct w:val="0"/>
              <w:autoSpaceDE/>
              <w:autoSpaceDN/>
              <w:bidi w:val="0"/>
              <w:spacing w:line="240" w:lineRule="exact"/>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颗粒物</w:t>
            </w:r>
          </w:p>
        </w:tc>
        <w:tc>
          <w:tcPr>
            <w:tcW w:w="3497" w:type="dxa"/>
            <w:shd w:val="clear" w:color="auto" w:fill="auto"/>
            <w:noWrap w:val="0"/>
            <w:vAlign w:val="center"/>
          </w:tcPr>
          <w:p w14:paraId="4DD50B31">
            <w:pPr>
              <w:keepNext w:val="0"/>
              <w:keepLines w:val="0"/>
              <w:pageBreakBefore w:val="0"/>
              <w:widowControl w:val="0"/>
              <w:kinsoku/>
              <w:wordWrap/>
              <w:overflowPunct/>
              <w:topLinePunct w:val="0"/>
              <w:autoSpaceDE/>
              <w:autoSpaceDN/>
              <w:bidi w:val="0"/>
              <w:spacing w:line="240" w:lineRule="exact"/>
              <w:jc w:val="both"/>
              <w:textAlignment w:val="auto"/>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经</w:t>
            </w:r>
            <w:r>
              <w:rPr>
                <w:rFonts w:hint="eastAsia"/>
                <w:color w:val="000000" w:themeColor="text1"/>
                <w:szCs w:val="21"/>
                <w:highlight w:val="none"/>
                <w:lang w:eastAsia="zh-CN"/>
                <w14:textFill>
                  <w14:solidFill>
                    <w14:schemeClr w14:val="tx1"/>
                  </w14:solidFill>
                </w14:textFill>
              </w:rPr>
              <w:t>布袋除尘器（覆膜袋式）</w:t>
            </w:r>
            <w:r>
              <w:rPr>
                <w:color w:val="000000" w:themeColor="text1"/>
                <w:szCs w:val="21"/>
                <w:highlight w:val="none"/>
                <w14:textFill>
                  <w14:solidFill>
                    <w14:schemeClr w14:val="tx1"/>
                  </w14:solidFill>
                </w14:textFill>
              </w:rPr>
              <w:t>（除尘效率99%）</w:t>
            </w:r>
            <w:r>
              <w:rPr>
                <w:rFonts w:hint="eastAsia"/>
                <w:color w:val="000000" w:themeColor="text1"/>
                <w:szCs w:val="21"/>
                <w:highlight w:val="none"/>
                <w:lang w:val="en-US" w:eastAsia="zh-CN"/>
                <w14:textFill>
                  <w14:solidFill>
                    <w14:schemeClr w14:val="tx1"/>
                  </w14:solidFill>
                </w14:textFill>
              </w:rPr>
              <w:t>处理后</w:t>
            </w: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通过</w:t>
            </w:r>
            <w:r>
              <w:rPr>
                <w:rFonts w:hint="eastAsia" w:cs="Times New Roman"/>
                <w:b w:val="0"/>
                <w:bCs w:val="0"/>
                <w:color w:val="000000" w:themeColor="text1"/>
                <w:sz w:val="21"/>
                <w:szCs w:val="21"/>
                <w:highlight w:val="none"/>
                <w:lang w:val="en-US" w:eastAsia="zh-CN"/>
                <w14:textFill>
                  <w14:solidFill>
                    <w14:schemeClr w14:val="tx1"/>
                  </w14:solidFill>
                </w14:textFill>
              </w:rPr>
              <w:t>90</w:t>
            </w: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m</w:t>
            </w:r>
            <w:r>
              <w:rPr>
                <w:rFonts w:hint="eastAsia" w:cs="Times New Roman"/>
                <w:color w:val="000000" w:themeColor="text1"/>
                <w:sz w:val="24"/>
                <w:highlight w:val="none"/>
                <w:lang w:val="en-US" w:eastAsia="zh-CN"/>
                <w14:textFill>
                  <w14:solidFill>
                    <w14:schemeClr w14:val="tx1"/>
                  </w14:solidFill>
                </w14:textFill>
              </w:rPr>
              <w:t>高的</w:t>
            </w:r>
            <w:r>
              <w:rPr>
                <w:rFonts w:hint="eastAsia" w:cs="Times New Roman"/>
                <w:b w:val="0"/>
                <w:bCs w:val="0"/>
                <w:color w:val="000000" w:themeColor="text1"/>
                <w:sz w:val="21"/>
                <w:szCs w:val="21"/>
                <w:highlight w:val="none"/>
                <w:lang w:val="en-US" w:eastAsia="zh-CN"/>
                <w14:textFill>
                  <w14:solidFill>
                    <w14:schemeClr w14:val="tx1"/>
                  </w14:solidFill>
                </w14:textFill>
              </w:rPr>
              <w:t>排气口</w:t>
            </w: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（DA00</w:t>
            </w:r>
            <w:r>
              <w:rPr>
                <w:rFonts w:hint="eastAsia" w:cs="Times New Roman"/>
                <w:b w:val="0"/>
                <w:bCs w:val="0"/>
                <w:color w:val="000000" w:themeColor="text1"/>
                <w:sz w:val="21"/>
                <w:szCs w:val="21"/>
                <w:highlight w:val="none"/>
                <w:lang w:val="en-US" w:eastAsia="zh-CN"/>
                <w14:textFill>
                  <w14:solidFill>
                    <w14:schemeClr w14:val="tx1"/>
                  </w14:solidFill>
                </w14:textFill>
              </w:rPr>
              <w:t>5</w:t>
            </w: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）达标排放</w:t>
            </w:r>
          </w:p>
        </w:tc>
        <w:tc>
          <w:tcPr>
            <w:tcW w:w="1799" w:type="dxa"/>
            <w:vMerge w:val="continue"/>
            <w:noWrap w:val="0"/>
            <w:vAlign w:val="center"/>
          </w:tcPr>
          <w:p w14:paraId="1E7F6AB4">
            <w:pPr>
              <w:keepNext w:val="0"/>
              <w:keepLines w:val="0"/>
              <w:pageBreakBefore w:val="0"/>
              <w:widowControl w:val="0"/>
              <w:kinsoku/>
              <w:wordWrap/>
              <w:overflowPunct/>
              <w:topLinePunct w:val="0"/>
              <w:autoSpaceDE/>
              <w:autoSpaceDN/>
              <w:bidi w:val="0"/>
              <w:spacing w:line="24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p>
        </w:tc>
      </w:tr>
      <w:tr w14:paraId="4E34BC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421" w:type="dxa"/>
            <w:vMerge w:val="continue"/>
            <w:noWrap w:val="0"/>
            <w:vAlign w:val="center"/>
          </w:tcPr>
          <w:p w14:paraId="724D60AB">
            <w:pPr>
              <w:adjustRightInd w:val="0"/>
              <w:snapToGrid w:val="0"/>
              <w:jc w:val="center"/>
              <w:rPr>
                <w:b/>
                <w:bCs/>
                <w:color w:val="000000" w:themeColor="text1"/>
                <w:szCs w:val="21"/>
                <w:highlight w:val="none"/>
                <w14:textFill>
                  <w14:solidFill>
                    <w14:schemeClr w14:val="tx1"/>
                  </w14:solidFill>
                </w14:textFill>
              </w:rPr>
            </w:pPr>
          </w:p>
        </w:tc>
        <w:tc>
          <w:tcPr>
            <w:tcW w:w="742" w:type="dxa"/>
            <w:vMerge w:val="continue"/>
            <w:noWrap w:val="0"/>
            <w:vAlign w:val="center"/>
          </w:tcPr>
          <w:p w14:paraId="176CD754">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color w:val="000000" w:themeColor="text1"/>
                <w:szCs w:val="21"/>
                <w:highlight w:val="none"/>
                <w14:textFill>
                  <w14:solidFill>
                    <w14:schemeClr w14:val="tx1"/>
                  </w14:solidFill>
                </w14:textFill>
              </w:rPr>
            </w:pPr>
          </w:p>
        </w:tc>
        <w:tc>
          <w:tcPr>
            <w:tcW w:w="1244" w:type="dxa"/>
            <w:noWrap w:val="0"/>
            <w:vAlign w:val="center"/>
          </w:tcPr>
          <w:p w14:paraId="12FACA56">
            <w:pPr>
              <w:adjustRightInd w:val="0"/>
              <w:snapToGrid w:val="0"/>
              <w:jc w:val="center"/>
              <w:rPr>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spacing w:val="-1"/>
                <w:sz w:val="21"/>
                <w:szCs w:val="21"/>
                <w:highlight w:val="none"/>
                <w:lang w:val="en-US" w:eastAsia="zh-CN"/>
                <w14:textFill>
                  <w14:solidFill>
                    <w14:schemeClr w14:val="tx1"/>
                  </w14:solidFill>
                </w14:textFill>
              </w:rPr>
              <w:t>回转窑</w:t>
            </w:r>
            <w:r>
              <w:rPr>
                <w:rFonts w:hint="eastAsia" w:cs="Times New Roman"/>
                <w:color w:val="000000" w:themeColor="text1"/>
                <w:spacing w:val="-1"/>
                <w:sz w:val="21"/>
                <w:szCs w:val="21"/>
                <w:highlight w:val="none"/>
                <w:lang w:val="en-US" w:eastAsia="zh-CN"/>
                <w14:textFill>
                  <w14:solidFill>
                    <w14:schemeClr w14:val="tx1"/>
                  </w14:solidFill>
                </w14:textFill>
              </w:rPr>
              <w:t>和窑尾烟气</w:t>
            </w:r>
          </w:p>
        </w:tc>
        <w:tc>
          <w:tcPr>
            <w:tcW w:w="1104" w:type="dxa"/>
            <w:noWrap w:val="0"/>
            <w:vAlign w:val="center"/>
          </w:tcPr>
          <w:p w14:paraId="4E6C1452">
            <w:pPr>
              <w:keepNext w:val="0"/>
              <w:keepLines w:val="0"/>
              <w:pageBreakBefore w:val="0"/>
              <w:widowControl w:val="0"/>
              <w:kinsoku/>
              <w:wordWrap/>
              <w:overflowPunct/>
              <w:topLinePunct w:val="0"/>
              <w:autoSpaceDE/>
              <w:autoSpaceDN/>
              <w:bidi w:val="0"/>
              <w:spacing w:line="240" w:lineRule="exact"/>
              <w:jc w:val="center"/>
              <w:textAlignment w:val="auto"/>
              <w:rPr>
                <w:rFonts w:hint="eastAsia" w:eastAsia="宋体"/>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Cs w:val="21"/>
                <w:highlight w:val="none"/>
                <w14:textFill>
                  <w14:solidFill>
                    <w14:schemeClr w14:val="tx1"/>
                  </w14:solidFill>
                </w14:textFill>
              </w:rPr>
              <w:t>颗粒物</w:t>
            </w:r>
            <w:r>
              <w:rPr>
                <w:rFonts w:hint="eastAsia"/>
                <w:color w:val="000000" w:themeColor="text1"/>
                <w:szCs w:val="21"/>
                <w:highlight w:val="none"/>
                <w:lang w:eastAsia="zh-CN"/>
                <w14:textFill>
                  <w14:solidFill>
                    <w14:schemeClr w14:val="tx1"/>
                  </w14:solidFill>
                </w14:textFill>
              </w:rPr>
              <w:t>、</w:t>
            </w:r>
            <w:r>
              <w:rPr>
                <w:rFonts w:hint="eastAsia"/>
                <w:color w:val="000000" w:themeColor="text1"/>
                <w:szCs w:val="21"/>
                <w:highlight w:val="none"/>
                <w:lang w:val="en-US" w:eastAsia="zh-CN"/>
                <w14:textFill>
                  <w14:solidFill>
                    <w14:schemeClr w14:val="tx1"/>
                  </w14:solidFill>
                </w14:textFill>
              </w:rPr>
              <w:t>氮氧化物、二氧化硫</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、氨气</w:t>
            </w:r>
          </w:p>
        </w:tc>
        <w:tc>
          <w:tcPr>
            <w:tcW w:w="3497" w:type="dxa"/>
            <w:noWrap w:val="0"/>
            <w:vAlign w:val="center"/>
          </w:tcPr>
          <w:p w14:paraId="5559495B">
            <w:pPr>
              <w:keepNext w:val="0"/>
              <w:keepLines w:val="0"/>
              <w:pageBreakBefore w:val="0"/>
              <w:widowControl w:val="0"/>
              <w:kinsoku/>
              <w:wordWrap/>
              <w:overflowPunct/>
              <w:topLinePunct w:val="0"/>
              <w:autoSpaceDE/>
              <w:autoSpaceDN/>
              <w:bidi w:val="0"/>
              <w:spacing w:line="240" w:lineRule="exact"/>
              <w:jc w:val="both"/>
              <w:textAlignment w:val="auto"/>
              <w:rPr>
                <w:rFonts w:hint="eastAsia" w:eastAsia="宋体"/>
                <w:color w:val="000000" w:themeColor="text1"/>
                <w:kern w:val="2"/>
                <w:sz w:val="21"/>
                <w:szCs w:val="21"/>
                <w:highlight w:val="none"/>
                <w:lang w:val="en-US" w:eastAsia="zh-CN" w:bidi="ar-SA"/>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低氮燃烧（“分级燃烧+缺氧燃烧+烟气再循环（FGR”组合）</w:t>
            </w: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w:t>
            </w:r>
            <w:r>
              <w:rPr>
                <w:rFonts w:hint="eastAsia"/>
                <w:color w:val="000000" w:themeColor="text1"/>
                <w:sz w:val="21"/>
                <w:szCs w:val="21"/>
                <w:highlight w:val="none"/>
                <w14:textFill>
                  <w14:solidFill>
                    <w14:schemeClr w14:val="tx1"/>
                  </w14:solidFill>
                </w14:textFill>
              </w:rPr>
              <w:t>密闭</w:t>
            </w:r>
            <w:r>
              <w:rPr>
                <w:rFonts w:hint="eastAsia"/>
                <w:color w:val="000000" w:themeColor="text1"/>
                <w:sz w:val="21"/>
                <w:szCs w:val="21"/>
                <w:highlight w:val="none"/>
                <w:lang w:val="en-US" w:eastAsia="zh-CN"/>
                <w14:textFill>
                  <w14:solidFill>
                    <w14:schemeClr w14:val="tx1"/>
                  </w14:solidFill>
                </w14:textFill>
              </w:rPr>
              <w:t>设备+管道</w:t>
            </w:r>
            <w:r>
              <w:rPr>
                <w:rFonts w:hint="eastAsia"/>
                <w:color w:val="000000" w:themeColor="text1"/>
                <w:sz w:val="21"/>
                <w:szCs w:val="21"/>
                <w:highlight w:val="none"/>
                <w14:textFill>
                  <w14:solidFill>
                    <w14:schemeClr w14:val="tx1"/>
                  </w14:solidFill>
                </w14:textFill>
              </w:rPr>
              <w:t>收集+</w:t>
            </w: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余热</w:t>
            </w:r>
            <w:r>
              <w:rPr>
                <w:rFonts w:hint="eastAsia" w:cs="Times New Roman"/>
                <w:b w:val="0"/>
                <w:bCs w:val="0"/>
                <w:color w:val="000000" w:themeColor="text1"/>
                <w:sz w:val="21"/>
                <w:szCs w:val="21"/>
                <w:highlight w:val="none"/>
                <w:lang w:val="en-US" w:eastAsia="zh-CN"/>
                <w14:textFill>
                  <w14:solidFill>
                    <w14:schemeClr w14:val="tx1"/>
                  </w14:solidFill>
                </w14:textFill>
              </w:rPr>
              <w:t>锅炉</w:t>
            </w: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+脱硝装置（SNCR）</w:t>
            </w:r>
            <w:r>
              <w:rPr>
                <w:rFonts w:hint="default" w:ascii="Times New Roman" w:hAnsi="Times New Roman" w:cs="Times New Roman"/>
                <w:color w:val="000000" w:themeColor="text1"/>
                <w:szCs w:val="21"/>
                <w:highlight w:val="none"/>
                <w14:textFill>
                  <w14:solidFill>
                    <w14:schemeClr w14:val="tx1"/>
                  </w14:solidFill>
                </w14:textFill>
              </w:rPr>
              <w:t>（</w:t>
            </w:r>
            <w:r>
              <w:rPr>
                <w:rFonts w:hint="eastAsia" w:ascii="Times New Roman" w:hAnsi="Times New Roman" w:cs="Times New Roman"/>
                <w:color w:val="000000" w:themeColor="text1"/>
                <w:szCs w:val="21"/>
                <w:highlight w:val="none"/>
                <w:lang w:val="en-US" w:eastAsia="zh-CN"/>
                <w14:textFill>
                  <w14:solidFill>
                    <w14:schemeClr w14:val="tx1"/>
                  </w14:solidFill>
                </w14:textFill>
              </w:rPr>
              <w:t>脱硝</w:t>
            </w:r>
            <w:r>
              <w:rPr>
                <w:rFonts w:hint="default" w:ascii="Times New Roman" w:hAnsi="Times New Roman" w:cs="Times New Roman"/>
                <w:color w:val="000000" w:themeColor="text1"/>
                <w:szCs w:val="21"/>
                <w:highlight w:val="none"/>
                <w14:textFill>
                  <w14:solidFill>
                    <w14:schemeClr w14:val="tx1"/>
                  </w14:solidFill>
                </w14:textFill>
              </w:rPr>
              <w:t>效率</w:t>
            </w:r>
            <w:r>
              <w:rPr>
                <w:rFonts w:hint="eastAsia" w:cs="Times New Roman"/>
                <w:color w:val="000000" w:themeColor="text1"/>
                <w:szCs w:val="21"/>
                <w:highlight w:val="none"/>
                <w:lang w:val="en-US" w:eastAsia="zh-CN"/>
                <w14:textFill>
                  <w14:solidFill>
                    <w14:schemeClr w14:val="tx1"/>
                  </w14:solidFill>
                </w14:textFill>
              </w:rPr>
              <w:t>50%</w:t>
            </w:r>
            <w:r>
              <w:rPr>
                <w:rFonts w:hint="default" w:ascii="Times New Roman" w:hAnsi="Times New Roman" w:cs="Times New Roman"/>
                <w:color w:val="000000" w:themeColor="text1"/>
                <w:szCs w:val="21"/>
                <w:highlight w:val="none"/>
                <w14:textFill>
                  <w14:solidFill>
                    <w14:schemeClr w14:val="tx1"/>
                  </w14:solidFill>
                </w14:textFill>
              </w:rPr>
              <w:t>）</w:t>
            </w: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+布袋除尘器（覆膜袋式）除尘</w:t>
            </w:r>
            <w:r>
              <w:rPr>
                <w:rFonts w:hint="eastAsia" w:cs="Times New Roman"/>
                <w:b w:val="0"/>
                <w:bCs w:val="0"/>
                <w:color w:val="000000" w:themeColor="text1"/>
                <w:sz w:val="21"/>
                <w:szCs w:val="21"/>
                <w:highlight w:val="none"/>
                <w:lang w:val="en-US" w:eastAsia="zh-CN"/>
                <w14:textFill>
                  <w14:solidFill>
                    <w14:schemeClr w14:val="tx1"/>
                  </w14:solidFill>
                </w14:textFill>
              </w:rPr>
              <w:t>（除尘效率99%）</w:t>
            </w: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+石灰石-石膏法装置脱硫</w:t>
            </w:r>
            <w:r>
              <w:rPr>
                <w:rFonts w:hint="eastAsia" w:cs="Times New Roman"/>
                <w:b w:val="0"/>
                <w:bCs w:val="0"/>
                <w:color w:val="000000" w:themeColor="text1"/>
                <w:sz w:val="21"/>
                <w:szCs w:val="21"/>
                <w:highlight w:val="none"/>
                <w:lang w:val="en-US" w:eastAsia="zh-CN"/>
                <w14:textFill>
                  <w14:solidFill>
                    <w14:schemeClr w14:val="tx1"/>
                  </w14:solidFill>
                </w14:textFill>
              </w:rPr>
              <w:t>（</w:t>
            </w:r>
            <w:r>
              <w:rPr>
                <w:rFonts w:hint="eastAsia" w:ascii="Times New Roman" w:hAnsi="Times New Roman" w:cs="Times New Roman"/>
                <w:color w:val="000000" w:themeColor="text1"/>
                <w:szCs w:val="21"/>
                <w:highlight w:val="none"/>
                <w:lang w:val="en-US" w:eastAsia="zh-CN"/>
                <w14:textFill>
                  <w14:solidFill>
                    <w14:schemeClr w14:val="tx1"/>
                  </w14:solidFill>
                </w14:textFill>
              </w:rPr>
              <w:t>脱硫效率90%，除氨效率50%</w:t>
            </w:r>
            <w:r>
              <w:rPr>
                <w:rFonts w:hint="eastAsia" w:cs="Times New Roman"/>
                <w:color w:val="000000" w:themeColor="text1"/>
                <w:szCs w:val="21"/>
                <w:highlight w:val="none"/>
                <w:lang w:val="en-US" w:eastAsia="zh-CN"/>
                <w14:textFill>
                  <w14:solidFill>
                    <w14:schemeClr w14:val="tx1"/>
                  </w14:solidFill>
                </w14:textFill>
              </w:rPr>
              <w:t>）</w:t>
            </w: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后</w:t>
            </w:r>
            <w:r>
              <w:rPr>
                <w:rFonts w:hint="eastAsia"/>
                <w:color w:val="000000" w:themeColor="text1"/>
                <w:sz w:val="21"/>
                <w:szCs w:val="21"/>
                <w:highlight w:val="none"/>
                <w14:textFill>
                  <w14:solidFill>
                    <w14:schemeClr w14:val="tx1"/>
                  </w14:solidFill>
                </w14:textFill>
              </w:rPr>
              <w:t>+</w:t>
            </w:r>
            <w:r>
              <w:rPr>
                <w:rFonts w:hint="eastAsia"/>
                <w:color w:val="000000" w:themeColor="text1"/>
                <w:sz w:val="21"/>
                <w:szCs w:val="21"/>
                <w:highlight w:val="none"/>
                <w:lang w:val="en-US" w:eastAsia="zh-CN"/>
                <w14:textFill>
                  <w14:solidFill>
                    <w14:schemeClr w14:val="tx1"/>
                  </w14:solidFill>
                </w14:textFill>
              </w:rPr>
              <w:t>42m</w:t>
            </w:r>
            <w:r>
              <w:rPr>
                <w:rFonts w:hint="eastAsia" w:cs="Times New Roman"/>
                <w:color w:val="000000" w:themeColor="text1"/>
                <w:sz w:val="24"/>
                <w:highlight w:val="none"/>
                <w:lang w:val="en-US" w:eastAsia="zh-CN"/>
                <w14:textFill>
                  <w14:solidFill>
                    <w14:schemeClr w14:val="tx1"/>
                  </w14:solidFill>
                </w14:textFill>
              </w:rPr>
              <w:t>高的</w:t>
            </w:r>
            <w:r>
              <w:rPr>
                <w:rFonts w:hint="eastAsia"/>
                <w:color w:val="000000" w:themeColor="text1"/>
                <w:sz w:val="21"/>
                <w:szCs w:val="21"/>
                <w:highlight w:val="none"/>
                <w:lang w:eastAsia="zh-CN"/>
                <w14:textFill>
                  <w14:solidFill>
                    <w14:schemeClr w14:val="tx1"/>
                  </w14:solidFill>
                </w14:textFill>
              </w:rPr>
              <w:t>排气</w:t>
            </w:r>
            <w:r>
              <w:rPr>
                <w:rFonts w:hint="eastAsia" w:cs="Times New Roman"/>
                <w:b w:val="0"/>
                <w:bCs w:val="0"/>
                <w:color w:val="000000" w:themeColor="text1"/>
                <w:sz w:val="21"/>
                <w:szCs w:val="21"/>
                <w:highlight w:val="none"/>
                <w:lang w:val="en-US" w:eastAsia="zh-CN"/>
                <w14:textFill>
                  <w14:solidFill>
                    <w14:schemeClr w14:val="tx1"/>
                  </w14:solidFill>
                </w14:textFill>
              </w:rPr>
              <w:t>口</w:t>
            </w:r>
            <w:r>
              <w:rPr>
                <w:color w:val="000000" w:themeColor="text1"/>
                <w:sz w:val="21"/>
                <w:szCs w:val="21"/>
                <w:highlight w:val="none"/>
                <w14:textFill>
                  <w14:solidFill>
                    <w14:schemeClr w14:val="tx1"/>
                  </w14:solidFill>
                </w14:textFill>
              </w:rPr>
              <w:t>（</w:t>
            </w:r>
            <w:r>
              <w:rPr>
                <w:rFonts w:hint="eastAsia"/>
                <w:color w:val="000000" w:themeColor="text1"/>
                <w:sz w:val="21"/>
                <w:szCs w:val="21"/>
                <w:highlight w:val="none"/>
                <w:lang w:val="en-US" w:eastAsia="zh-CN"/>
                <w14:textFill>
                  <w14:solidFill>
                    <w14:schemeClr w14:val="tx1"/>
                  </w14:solidFill>
                </w14:textFill>
              </w:rPr>
              <w:t>DA006</w:t>
            </w:r>
            <w:r>
              <w:rPr>
                <w:color w:val="000000" w:themeColor="text1"/>
                <w:sz w:val="21"/>
                <w:szCs w:val="21"/>
                <w:highlight w:val="none"/>
                <w14:textFill>
                  <w14:solidFill>
                    <w14:schemeClr w14:val="tx1"/>
                  </w14:solidFill>
                </w14:textFill>
              </w:rPr>
              <w:t>）</w:t>
            </w:r>
            <w:r>
              <w:rPr>
                <w:rFonts w:hint="eastAsia"/>
                <w:color w:val="000000" w:themeColor="text1"/>
                <w:sz w:val="21"/>
                <w:szCs w:val="21"/>
                <w:highlight w:val="none"/>
                <w:lang w:eastAsia="zh-CN"/>
                <w14:textFill>
                  <w14:solidFill>
                    <w14:schemeClr w14:val="tx1"/>
                  </w14:solidFill>
                </w14:textFill>
              </w:rPr>
              <w:t>。</w:t>
            </w:r>
          </w:p>
        </w:tc>
        <w:tc>
          <w:tcPr>
            <w:tcW w:w="1799" w:type="dxa"/>
            <w:vMerge w:val="continue"/>
            <w:noWrap w:val="0"/>
            <w:vAlign w:val="center"/>
          </w:tcPr>
          <w:p w14:paraId="3B81AD96">
            <w:pPr>
              <w:keepNext w:val="0"/>
              <w:keepLines w:val="0"/>
              <w:pageBreakBefore w:val="0"/>
              <w:widowControl w:val="0"/>
              <w:kinsoku/>
              <w:wordWrap/>
              <w:overflowPunct/>
              <w:topLinePunct w:val="0"/>
              <w:autoSpaceDE/>
              <w:autoSpaceDN/>
              <w:bidi w:val="0"/>
              <w:spacing w:line="24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p>
        </w:tc>
      </w:tr>
      <w:tr w14:paraId="288A4C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421" w:type="dxa"/>
            <w:vMerge w:val="continue"/>
            <w:noWrap w:val="0"/>
            <w:vAlign w:val="center"/>
          </w:tcPr>
          <w:p w14:paraId="670CF274">
            <w:pPr>
              <w:adjustRightInd w:val="0"/>
              <w:snapToGrid w:val="0"/>
              <w:jc w:val="center"/>
              <w:rPr>
                <w:b/>
                <w:bCs/>
                <w:color w:val="000000" w:themeColor="text1"/>
                <w:szCs w:val="21"/>
                <w:highlight w:val="none"/>
                <w14:textFill>
                  <w14:solidFill>
                    <w14:schemeClr w14:val="tx1"/>
                  </w14:solidFill>
                </w14:textFill>
              </w:rPr>
            </w:pPr>
          </w:p>
        </w:tc>
        <w:tc>
          <w:tcPr>
            <w:tcW w:w="742" w:type="dxa"/>
            <w:vMerge w:val="continue"/>
            <w:noWrap w:val="0"/>
            <w:vAlign w:val="center"/>
          </w:tcPr>
          <w:p w14:paraId="243FE562">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color w:val="000000" w:themeColor="text1"/>
                <w:szCs w:val="21"/>
                <w:highlight w:val="none"/>
                <w14:textFill>
                  <w14:solidFill>
                    <w14:schemeClr w14:val="tx1"/>
                  </w14:solidFill>
                </w14:textFill>
              </w:rPr>
            </w:pPr>
          </w:p>
        </w:tc>
        <w:tc>
          <w:tcPr>
            <w:tcW w:w="1244" w:type="dxa"/>
            <w:shd w:val="clear" w:color="auto" w:fill="auto"/>
            <w:noWrap w:val="0"/>
            <w:vAlign w:val="center"/>
          </w:tcPr>
          <w:p w14:paraId="11EBACFE">
            <w:pPr>
              <w:adjustRightInd w:val="0"/>
              <w:snapToGrid w:val="0"/>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cs="Times New Roman"/>
                <w:color w:val="000000" w:themeColor="text1"/>
                <w:szCs w:val="21"/>
                <w:highlight w:val="none"/>
                <w:lang w:val="en-US" w:eastAsia="zh-CN"/>
                <w14:textFill>
                  <w14:solidFill>
                    <w14:schemeClr w14:val="tx1"/>
                  </w14:solidFill>
                </w14:textFill>
              </w:rPr>
              <w:t>分选（打散机和粉磨）废气</w:t>
            </w:r>
          </w:p>
        </w:tc>
        <w:tc>
          <w:tcPr>
            <w:tcW w:w="1104" w:type="dxa"/>
            <w:shd w:val="clear" w:color="auto" w:fill="auto"/>
            <w:noWrap w:val="0"/>
            <w:vAlign w:val="center"/>
          </w:tcPr>
          <w:p w14:paraId="4D1C9CE6">
            <w:pPr>
              <w:keepNext w:val="0"/>
              <w:keepLines w:val="0"/>
              <w:pageBreakBefore w:val="0"/>
              <w:widowControl w:val="0"/>
              <w:kinsoku/>
              <w:wordWrap/>
              <w:overflowPunct/>
              <w:topLinePunct w:val="0"/>
              <w:autoSpaceDE/>
              <w:autoSpaceDN/>
              <w:bidi w:val="0"/>
              <w:spacing w:line="240" w:lineRule="exact"/>
              <w:jc w:val="center"/>
              <w:textAlignment w:val="auto"/>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颗粒物</w:t>
            </w:r>
          </w:p>
        </w:tc>
        <w:tc>
          <w:tcPr>
            <w:tcW w:w="3497" w:type="dxa"/>
            <w:shd w:val="clear" w:color="auto" w:fill="auto"/>
            <w:noWrap w:val="0"/>
            <w:vAlign w:val="center"/>
          </w:tcPr>
          <w:p w14:paraId="5B4B3535">
            <w:pPr>
              <w:keepNext w:val="0"/>
              <w:keepLines w:val="0"/>
              <w:pageBreakBefore w:val="0"/>
              <w:widowControl w:val="0"/>
              <w:kinsoku/>
              <w:wordWrap/>
              <w:overflowPunct/>
              <w:topLinePunct w:val="0"/>
              <w:autoSpaceDE/>
              <w:autoSpaceDN/>
              <w:bidi w:val="0"/>
              <w:spacing w:line="240" w:lineRule="exact"/>
              <w:jc w:val="both"/>
              <w:textAlignment w:val="auto"/>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Cs w:val="21"/>
                <w:highlight w:val="none"/>
                <w14:textFill>
                  <w14:solidFill>
                    <w14:schemeClr w14:val="tx1"/>
                  </w14:solidFill>
                </w14:textFill>
              </w:rPr>
              <w:t>密闭管道收集+</w:t>
            </w:r>
            <w:r>
              <w:rPr>
                <w:rFonts w:hint="eastAsia"/>
                <w:color w:val="000000" w:themeColor="text1"/>
                <w:szCs w:val="21"/>
                <w:highlight w:val="none"/>
                <w:lang w:eastAsia="zh-CN"/>
                <w14:textFill>
                  <w14:solidFill>
                    <w14:schemeClr w14:val="tx1"/>
                  </w14:solidFill>
                </w14:textFill>
              </w:rPr>
              <w:t>布袋除尘器（覆膜袋式）</w:t>
            </w:r>
            <w:r>
              <w:rPr>
                <w:color w:val="000000" w:themeColor="text1"/>
                <w:szCs w:val="21"/>
                <w:highlight w:val="none"/>
                <w14:textFill>
                  <w14:solidFill>
                    <w14:schemeClr w14:val="tx1"/>
                  </w14:solidFill>
                </w14:textFill>
              </w:rPr>
              <w:t>（除尘效率99%）</w:t>
            </w:r>
            <w:r>
              <w:rPr>
                <w:rFonts w:hint="eastAsia"/>
                <w:color w:val="000000" w:themeColor="text1"/>
                <w:szCs w:val="21"/>
                <w:highlight w:val="none"/>
                <w14:textFill>
                  <w14:solidFill>
                    <w14:schemeClr w14:val="tx1"/>
                  </w14:solidFill>
                </w14:textFill>
              </w:rPr>
              <w:t>+</w:t>
            </w:r>
            <w:r>
              <w:rPr>
                <w:rFonts w:hint="eastAsia"/>
                <w:color w:val="000000" w:themeColor="text1"/>
                <w:szCs w:val="21"/>
                <w:highlight w:val="none"/>
                <w:lang w:val="en-US" w:eastAsia="zh-CN"/>
                <w14:textFill>
                  <w14:solidFill>
                    <w14:schemeClr w14:val="tx1"/>
                  </w14:solidFill>
                </w14:textFill>
              </w:rPr>
              <w:t>30</w:t>
            </w:r>
            <w:r>
              <w:rPr>
                <w:color w:val="000000" w:themeColor="text1"/>
                <w:szCs w:val="21"/>
                <w:highlight w:val="none"/>
                <w14:textFill>
                  <w14:solidFill>
                    <w14:schemeClr w14:val="tx1"/>
                  </w14:solidFill>
                </w14:textFill>
              </w:rPr>
              <w:t>m</w:t>
            </w:r>
            <w:r>
              <w:rPr>
                <w:rFonts w:hint="eastAsia" w:cs="Times New Roman"/>
                <w:color w:val="000000" w:themeColor="text1"/>
                <w:sz w:val="24"/>
                <w:highlight w:val="none"/>
                <w:lang w:val="en-US" w:eastAsia="zh-CN"/>
                <w14:textFill>
                  <w14:solidFill>
                    <w14:schemeClr w14:val="tx1"/>
                  </w14:solidFill>
                </w14:textFill>
              </w:rPr>
              <w:t>高</w:t>
            </w:r>
            <w:r>
              <w:rPr>
                <w:color w:val="000000" w:themeColor="text1"/>
                <w:szCs w:val="21"/>
                <w:highlight w:val="none"/>
                <w14:textFill>
                  <w14:solidFill>
                    <w14:schemeClr w14:val="tx1"/>
                  </w14:solidFill>
                </w14:textFill>
              </w:rPr>
              <w:t>的</w:t>
            </w:r>
            <w:r>
              <w:rPr>
                <w:rFonts w:hint="eastAsia"/>
                <w:color w:val="000000" w:themeColor="text1"/>
                <w:szCs w:val="21"/>
                <w:highlight w:val="none"/>
                <w:lang w:eastAsia="zh-CN"/>
                <w14:textFill>
                  <w14:solidFill>
                    <w14:schemeClr w14:val="tx1"/>
                  </w14:solidFill>
                </w14:textFill>
              </w:rPr>
              <w:t>排气</w:t>
            </w:r>
            <w:r>
              <w:rPr>
                <w:rFonts w:hint="eastAsia" w:cs="Times New Roman"/>
                <w:b w:val="0"/>
                <w:bCs w:val="0"/>
                <w:color w:val="000000" w:themeColor="text1"/>
                <w:sz w:val="21"/>
                <w:szCs w:val="21"/>
                <w:highlight w:val="none"/>
                <w:lang w:val="en-US" w:eastAsia="zh-CN"/>
                <w14:textFill>
                  <w14:solidFill>
                    <w14:schemeClr w14:val="tx1"/>
                  </w14:solidFill>
                </w14:textFill>
              </w:rPr>
              <w:t>口</w:t>
            </w:r>
            <w:r>
              <w:rPr>
                <w:color w:val="000000" w:themeColor="text1"/>
                <w:szCs w:val="21"/>
                <w:highlight w:val="none"/>
                <w14:textFill>
                  <w14:solidFill>
                    <w14:schemeClr w14:val="tx1"/>
                  </w14:solidFill>
                </w14:textFill>
              </w:rPr>
              <w:t>（</w:t>
            </w:r>
            <w:r>
              <w:rPr>
                <w:rFonts w:hint="eastAsia"/>
                <w:color w:val="000000" w:themeColor="text1"/>
                <w:szCs w:val="21"/>
                <w:highlight w:val="none"/>
                <w:lang w:val="en-US" w:eastAsia="zh-CN"/>
                <w14:textFill>
                  <w14:solidFill>
                    <w14:schemeClr w14:val="tx1"/>
                  </w14:solidFill>
                </w14:textFill>
              </w:rPr>
              <w:t>DA007、DA008</w:t>
            </w:r>
            <w:r>
              <w:rPr>
                <w:color w:val="000000" w:themeColor="text1"/>
                <w:szCs w:val="21"/>
                <w:highlight w:val="none"/>
                <w14:textFill>
                  <w14:solidFill>
                    <w14:schemeClr w14:val="tx1"/>
                  </w14:solidFill>
                </w14:textFill>
              </w:rPr>
              <w:t>）</w:t>
            </w:r>
            <w:r>
              <w:rPr>
                <w:rFonts w:hint="eastAsia"/>
                <w:color w:val="000000" w:themeColor="text1"/>
                <w:szCs w:val="21"/>
                <w:highlight w:val="none"/>
                <w:lang w:eastAsia="zh-CN"/>
                <w14:textFill>
                  <w14:solidFill>
                    <w14:schemeClr w14:val="tx1"/>
                  </w14:solidFill>
                </w14:textFill>
              </w:rPr>
              <w:t>。</w:t>
            </w:r>
          </w:p>
        </w:tc>
        <w:tc>
          <w:tcPr>
            <w:tcW w:w="1799" w:type="dxa"/>
            <w:vMerge w:val="continue"/>
            <w:noWrap w:val="0"/>
            <w:vAlign w:val="center"/>
          </w:tcPr>
          <w:p w14:paraId="273BE79D">
            <w:pPr>
              <w:keepNext w:val="0"/>
              <w:keepLines w:val="0"/>
              <w:pageBreakBefore w:val="0"/>
              <w:widowControl w:val="0"/>
              <w:kinsoku/>
              <w:wordWrap/>
              <w:overflowPunct/>
              <w:topLinePunct w:val="0"/>
              <w:autoSpaceDE/>
              <w:autoSpaceDN/>
              <w:bidi w:val="0"/>
              <w:spacing w:line="240" w:lineRule="exact"/>
              <w:jc w:val="center"/>
              <w:textAlignment w:val="auto"/>
              <w:rPr>
                <w:rFonts w:hint="default" w:eastAsia="宋体"/>
                <w:color w:val="000000" w:themeColor="text1"/>
                <w:szCs w:val="21"/>
                <w:highlight w:val="none"/>
                <w:lang w:val="en-US" w:eastAsia="zh-CN"/>
                <w14:textFill>
                  <w14:solidFill>
                    <w14:schemeClr w14:val="tx1"/>
                  </w14:solidFill>
                </w14:textFill>
              </w:rPr>
            </w:pPr>
          </w:p>
        </w:tc>
      </w:tr>
      <w:tr w14:paraId="57D4CF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421" w:type="dxa"/>
            <w:vMerge w:val="continue"/>
            <w:noWrap w:val="0"/>
            <w:vAlign w:val="center"/>
          </w:tcPr>
          <w:p w14:paraId="044E7897">
            <w:pPr>
              <w:adjustRightInd w:val="0"/>
              <w:snapToGrid w:val="0"/>
              <w:jc w:val="center"/>
              <w:rPr>
                <w:b/>
                <w:bCs/>
                <w:color w:val="000000" w:themeColor="text1"/>
                <w:szCs w:val="21"/>
                <w:highlight w:val="none"/>
                <w14:textFill>
                  <w14:solidFill>
                    <w14:schemeClr w14:val="tx1"/>
                  </w14:solidFill>
                </w14:textFill>
              </w:rPr>
            </w:pPr>
          </w:p>
        </w:tc>
        <w:tc>
          <w:tcPr>
            <w:tcW w:w="742" w:type="dxa"/>
            <w:vMerge w:val="continue"/>
            <w:noWrap w:val="0"/>
            <w:vAlign w:val="center"/>
          </w:tcPr>
          <w:p w14:paraId="71C4E26B">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color w:val="000000" w:themeColor="text1"/>
                <w:szCs w:val="21"/>
                <w:highlight w:val="none"/>
                <w14:textFill>
                  <w14:solidFill>
                    <w14:schemeClr w14:val="tx1"/>
                  </w14:solidFill>
                </w14:textFill>
              </w:rPr>
            </w:pPr>
          </w:p>
        </w:tc>
        <w:tc>
          <w:tcPr>
            <w:tcW w:w="1244" w:type="dxa"/>
            <w:noWrap w:val="0"/>
            <w:vAlign w:val="center"/>
          </w:tcPr>
          <w:p w14:paraId="59BB7063">
            <w:pPr>
              <w:adjustRightInd w:val="0"/>
              <w:snapToGrid w:val="0"/>
              <w:jc w:val="center"/>
              <w:rPr>
                <w:color w:val="000000" w:themeColor="text1"/>
                <w:szCs w:val="21"/>
                <w:highlight w:val="none"/>
                <w14:textFill>
                  <w14:solidFill>
                    <w14:schemeClr w14:val="tx1"/>
                  </w14:solidFill>
                </w14:textFill>
              </w:rPr>
            </w:pPr>
            <w:r>
              <w:rPr>
                <w:rFonts w:hint="eastAsia" w:ascii="Times New Roman" w:hAnsi="Times New Roman" w:cs="Times New Roman"/>
                <w:color w:val="000000" w:themeColor="text1"/>
                <w:highlight w:val="none"/>
                <w:lang w:val="en-US" w:eastAsia="zh-CN"/>
                <w14:textFill>
                  <w14:solidFill>
                    <w14:schemeClr w14:val="tx1"/>
                  </w14:solidFill>
                </w14:textFill>
              </w:rPr>
              <w:t>大包</w:t>
            </w:r>
            <w:r>
              <w:rPr>
                <w:rFonts w:hint="default" w:ascii="Times New Roman" w:hAnsi="Times New Roman" w:cs="Times New Roman"/>
                <w:color w:val="000000" w:themeColor="text1"/>
                <w:highlight w:val="none"/>
                <w14:textFill>
                  <w14:solidFill>
                    <w14:schemeClr w14:val="tx1"/>
                  </w14:solidFill>
                </w14:textFill>
              </w:rPr>
              <w:t>高岭土产品装卸、贮存</w:t>
            </w:r>
          </w:p>
        </w:tc>
        <w:tc>
          <w:tcPr>
            <w:tcW w:w="1104" w:type="dxa"/>
            <w:noWrap w:val="0"/>
            <w:vAlign w:val="center"/>
          </w:tcPr>
          <w:p w14:paraId="00CC0E95">
            <w:pPr>
              <w:keepNext w:val="0"/>
              <w:keepLines w:val="0"/>
              <w:pageBreakBefore w:val="0"/>
              <w:widowControl w:val="0"/>
              <w:kinsoku/>
              <w:wordWrap/>
              <w:overflowPunct/>
              <w:topLinePunct w:val="0"/>
              <w:autoSpaceDE/>
              <w:autoSpaceDN/>
              <w:bidi w:val="0"/>
              <w:spacing w:line="240" w:lineRule="exact"/>
              <w:jc w:val="center"/>
              <w:textAlignment w:val="auto"/>
              <w:rPr>
                <w:rFonts w:hint="eastAsia"/>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颗粒物</w:t>
            </w:r>
          </w:p>
        </w:tc>
        <w:tc>
          <w:tcPr>
            <w:tcW w:w="3497" w:type="dxa"/>
            <w:noWrap w:val="0"/>
            <w:vAlign w:val="center"/>
          </w:tcPr>
          <w:p w14:paraId="2CC3F4C1">
            <w:pPr>
              <w:keepNext w:val="0"/>
              <w:keepLines w:val="0"/>
              <w:pageBreakBefore w:val="0"/>
              <w:widowControl w:val="0"/>
              <w:kinsoku/>
              <w:wordWrap/>
              <w:overflowPunct/>
              <w:topLinePunct w:val="0"/>
              <w:autoSpaceDE/>
              <w:autoSpaceDN/>
              <w:bidi w:val="0"/>
              <w:spacing w:line="240" w:lineRule="exact"/>
              <w:jc w:val="both"/>
              <w:textAlignment w:val="auto"/>
              <w:rPr>
                <w:rFonts w:hint="eastAsia" w:eastAsia="宋体"/>
                <w:color w:val="000000" w:themeColor="text1"/>
                <w:szCs w:val="21"/>
                <w:highlight w:val="none"/>
                <w:lang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筒仓</w:t>
            </w:r>
            <w:r>
              <w:rPr>
                <w:rFonts w:hint="eastAsia"/>
                <w:color w:val="000000" w:themeColor="text1"/>
                <w:szCs w:val="21"/>
                <w:highlight w:val="none"/>
                <w14:textFill>
                  <w14:solidFill>
                    <w14:schemeClr w14:val="tx1"/>
                  </w14:solidFill>
                </w14:textFill>
              </w:rPr>
              <w:t>密闭管道收集+</w:t>
            </w:r>
            <w:r>
              <w:rPr>
                <w:rFonts w:hint="eastAsia"/>
                <w:color w:val="000000" w:themeColor="text1"/>
                <w:szCs w:val="21"/>
                <w:highlight w:val="none"/>
                <w:lang w:eastAsia="zh-CN"/>
                <w14:textFill>
                  <w14:solidFill>
                    <w14:schemeClr w14:val="tx1"/>
                  </w14:solidFill>
                </w14:textFill>
              </w:rPr>
              <w:t>布袋除尘器（覆膜袋式）</w:t>
            </w:r>
            <w:r>
              <w:rPr>
                <w:color w:val="000000" w:themeColor="text1"/>
                <w:szCs w:val="21"/>
                <w:highlight w:val="none"/>
                <w14:textFill>
                  <w14:solidFill>
                    <w14:schemeClr w14:val="tx1"/>
                  </w14:solidFill>
                </w14:textFill>
              </w:rPr>
              <w:t>（</w:t>
            </w:r>
            <w:r>
              <w:rPr>
                <w:rFonts w:hint="eastAsia"/>
                <w:color w:val="000000" w:themeColor="text1"/>
                <w:szCs w:val="21"/>
                <w:highlight w:val="none"/>
                <w:lang w:val="en-US" w:eastAsia="zh-CN"/>
                <w14:textFill>
                  <w14:solidFill>
                    <w14:schemeClr w14:val="tx1"/>
                  </w14:solidFill>
                </w14:textFill>
              </w:rPr>
              <w:t>2套，</w:t>
            </w:r>
            <w:r>
              <w:rPr>
                <w:color w:val="000000" w:themeColor="text1"/>
                <w:szCs w:val="21"/>
                <w:highlight w:val="none"/>
                <w14:textFill>
                  <w14:solidFill>
                    <w14:schemeClr w14:val="tx1"/>
                  </w14:solidFill>
                </w14:textFill>
              </w:rPr>
              <w:t>除尘效率99%）</w:t>
            </w:r>
            <w:r>
              <w:rPr>
                <w:rFonts w:hint="eastAsia"/>
                <w:color w:val="000000" w:themeColor="text1"/>
                <w:szCs w:val="21"/>
                <w:highlight w:val="none"/>
                <w14:textFill>
                  <w14:solidFill>
                    <w14:schemeClr w14:val="tx1"/>
                  </w14:solidFill>
                </w14:textFill>
              </w:rPr>
              <w:t>+</w:t>
            </w:r>
            <w:r>
              <w:rPr>
                <w:rFonts w:hint="eastAsia"/>
                <w:color w:val="000000" w:themeColor="text1"/>
                <w:szCs w:val="21"/>
                <w:highlight w:val="none"/>
                <w:lang w:val="en-US" w:eastAsia="zh-CN"/>
                <w14:textFill>
                  <w14:solidFill>
                    <w14:schemeClr w14:val="tx1"/>
                  </w14:solidFill>
                </w14:textFill>
              </w:rPr>
              <w:t>50</w:t>
            </w:r>
            <w:r>
              <w:rPr>
                <w:color w:val="000000" w:themeColor="text1"/>
                <w:szCs w:val="21"/>
                <w:highlight w:val="none"/>
                <w14:textFill>
                  <w14:solidFill>
                    <w14:schemeClr w14:val="tx1"/>
                  </w14:solidFill>
                </w14:textFill>
              </w:rPr>
              <w:t>m的</w:t>
            </w:r>
            <w:r>
              <w:rPr>
                <w:rFonts w:hint="eastAsia"/>
                <w:color w:val="000000" w:themeColor="text1"/>
                <w:szCs w:val="21"/>
                <w:highlight w:val="none"/>
                <w:lang w:eastAsia="zh-CN"/>
                <w14:textFill>
                  <w14:solidFill>
                    <w14:schemeClr w14:val="tx1"/>
                  </w14:solidFill>
                </w14:textFill>
              </w:rPr>
              <w:t>排气</w:t>
            </w:r>
            <w:r>
              <w:rPr>
                <w:rFonts w:hint="eastAsia" w:cs="Times New Roman"/>
                <w:b w:val="0"/>
                <w:bCs w:val="0"/>
                <w:color w:val="000000" w:themeColor="text1"/>
                <w:sz w:val="21"/>
                <w:szCs w:val="21"/>
                <w:highlight w:val="none"/>
                <w:lang w:val="en-US" w:eastAsia="zh-CN"/>
                <w14:textFill>
                  <w14:solidFill>
                    <w14:schemeClr w14:val="tx1"/>
                  </w14:solidFill>
                </w14:textFill>
              </w:rPr>
              <w:t>口</w:t>
            </w:r>
            <w:r>
              <w:rPr>
                <w:color w:val="000000" w:themeColor="text1"/>
                <w:szCs w:val="21"/>
                <w:highlight w:val="none"/>
                <w14:textFill>
                  <w14:solidFill>
                    <w14:schemeClr w14:val="tx1"/>
                  </w14:solidFill>
                </w14:textFill>
              </w:rPr>
              <w:t>（</w:t>
            </w:r>
            <w:r>
              <w:rPr>
                <w:rFonts w:hint="eastAsia"/>
                <w:color w:val="000000" w:themeColor="text1"/>
                <w:szCs w:val="21"/>
                <w:highlight w:val="none"/>
                <w:lang w:val="en-US" w:eastAsia="zh-CN"/>
                <w14:textFill>
                  <w14:solidFill>
                    <w14:schemeClr w14:val="tx1"/>
                  </w14:solidFill>
                </w14:textFill>
              </w:rPr>
              <w:t>DA009、</w:t>
            </w:r>
            <w:r>
              <w:rPr>
                <w:rFonts w:hint="default" w:ascii="Times New Roman" w:hAnsi="Times New Roman" w:cs="Times New Roman"/>
                <w:color w:val="000000" w:themeColor="text1"/>
                <w:highlight w:val="none"/>
                <w14:textFill>
                  <w14:solidFill>
                    <w14:schemeClr w14:val="tx1"/>
                  </w14:solidFill>
                </w14:textFill>
              </w:rPr>
              <w:t>DA01</w:t>
            </w:r>
            <w:r>
              <w:rPr>
                <w:rFonts w:hint="eastAsia" w:cs="Times New Roman"/>
                <w:color w:val="000000" w:themeColor="text1"/>
                <w:highlight w:val="none"/>
                <w:lang w:val="en-US" w:eastAsia="zh-CN"/>
                <w14:textFill>
                  <w14:solidFill>
                    <w14:schemeClr w14:val="tx1"/>
                  </w14:solidFill>
                </w14:textFill>
              </w:rPr>
              <w:t>0</w:t>
            </w:r>
            <w:r>
              <w:rPr>
                <w:color w:val="000000" w:themeColor="text1"/>
                <w:szCs w:val="21"/>
                <w:highlight w:val="none"/>
                <w14:textFill>
                  <w14:solidFill>
                    <w14:schemeClr w14:val="tx1"/>
                  </w14:solidFill>
                </w14:textFill>
              </w:rPr>
              <w:t>）</w:t>
            </w:r>
            <w:r>
              <w:rPr>
                <w:rFonts w:hint="eastAsia"/>
                <w:color w:val="000000" w:themeColor="text1"/>
                <w:szCs w:val="21"/>
                <w:highlight w:val="none"/>
                <w:lang w:eastAsia="zh-CN"/>
                <w14:textFill>
                  <w14:solidFill>
                    <w14:schemeClr w14:val="tx1"/>
                  </w14:solidFill>
                </w14:textFill>
              </w:rPr>
              <w:t>。</w:t>
            </w:r>
          </w:p>
        </w:tc>
        <w:tc>
          <w:tcPr>
            <w:tcW w:w="1799" w:type="dxa"/>
            <w:vMerge w:val="continue"/>
            <w:noWrap w:val="0"/>
            <w:vAlign w:val="center"/>
          </w:tcPr>
          <w:p w14:paraId="58618A6F">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eastAsia="宋体"/>
                <w:color w:val="000000" w:themeColor="text1"/>
                <w:szCs w:val="21"/>
                <w:highlight w:val="none"/>
                <w:lang w:val="en-US" w:eastAsia="zh-CN"/>
                <w14:textFill>
                  <w14:solidFill>
                    <w14:schemeClr w14:val="tx1"/>
                  </w14:solidFill>
                </w14:textFill>
              </w:rPr>
            </w:pPr>
          </w:p>
        </w:tc>
      </w:tr>
      <w:tr w14:paraId="10C2E4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421" w:type="dxa"/>
            <w:vMerge w:val="continue"/>
            <w:noWrap w:val="0"/>
            <w:vAlign w:val="center"/>
          </w:tcPr>
          <w:p w14:paraId="674CD205">
            <w:pPr>
              <w:adjustRightInd w:val="0"/>
              <w:snapToGrid w:val="0"/>
              <w:jc w:val="center"/>
              <w:rPr>
                <w:b/>
                <w:bCs/>
                <w:color w:val="000000" w:themeColor="text1"/>
                <w:szCs w:val="21"/>
                <w:highlight w:val="none"/>
                <w14:textFill>
                  <w14:solidFill>
                    <w14:schemeClr w14:val="tx1"/>
                  </w14:solidFill>
                </w14:textFill>
              </w:rPr>
            </w:pPr>
          </w:p>
        </w:tc>
        <w:tc>
          <w:tcPr>
            <w:tcW w:w="742" w:type="dxa"/>
            <w:vMerge w:val="continue"/>
            <w:noWrap w:val="0"/>
            <w:vAlign w:val="center"/>
          </w:tcPr>
          <w:p w14:paraId="6DF6305D">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color w:val="000000" w:themeColor="text1"/>
                <w:szCs w:val="21"/>
                <w:highlight w:val="none"/>
                <w14:textFill>
                  <w14:solidFill>
                    <w14:schemeClr w14:val="tx1"/>
                  </w14:solidFill>
                </w14:textFill>
              </w:rPr>
            </w:pPr>
          </w:p>
        </w:tc>
        <w:tc>
          <w:tcPr>
            <w:tcW w:w="1244" w:type="dxa"/>
            <w:noWrap w:val="0"/>
            <w:vAlign w:val="center"/>
          </w:tcPr>
          <w:p w14:paraId="62C8647A">
            <w:pPr>
              <w:adjustRightInd w:val="0"/>
              <w:snapToGrid w:val="0"/>
              <w:jc w:val="center"/>
              <w:rPr>
                <w:rFonts w:hint="eastAsia" w:ascii="Times New Roman" w:hAnsi="Times New Roman" w:cs="Times New Roman"/>
                <w:color w:val="000000" w:themeColor="text1"/>
                <w:highlight w:val="none"/>
                <w:lang w:val="en-US" w:eastAsia="zh-CN"/>
                <w14:textFill>
                  <w14:solidFill>
                    <w14:schemeClr w14:val="tx1"/>
                  </w14:solidFill>
                </w14:textFill>
              </w:rPr>
            </w:pPr>
            <w:r>
              <w:rPr>
                <w:rFonts w:hint="eastAsia" w:ascii="Times New Roman" w:hAnsi="Times New Roman" w:cs="Times New Roman"/>
                <w:color w:val="000000" w:themeColor="text1"/>
                <w:highlight w:val="none"/>
                <w:lang w:val="en-US" w:eastAsia="zh-CN"/>
                <w14:textFill>
                  <w14:solidFill>
                    <w14:schemeClr w14:val="tx1"/>
                  </w14:solidFill>
                </w14:textFill>
              </w:rPr>
              <w:t>大包</w:t>
            </w:r>
            <w:r>
              <w:rPr>
                <w:rFonts w:hint="default" w:ascii="Times New Roman" w:hAnsi="Times New Roman" w:cs="Times New Roman"/>
                <w:color w:val="000000" w:themeColor="text1"/>
                <w:highlight w:val="none"/>
                <w14:textFill>
                  <w14:solidFill>
                    <w14:schemeClr w14:val="tx1"/>
                  </w14:solidFill>
                </w14:textFill>
              </w:rPr>
              <w:t>高岭土产品</w:t>
            </w:r>
            <w:r>
              <w:rPr>
                <w:rFonts w:hint="eastAsia" w:ascii="Times New Roman" w:hAnsi="Times New Roman" w:cs="Times New Roman"/>
                <w:color w:val="000000" w:themeColor="text1"/>
                <w:highlight w:val="none"/>
                <w:lang w:val="en-US" w:eastAsia="zh-CN"/>
                <w14:textFill>
                  <w14:solidFill>
                    <w14:schemeClr w14:val="tx1"/>
                  </w14:solidFill>
                </w14:textFill>
              </w:rPr>
              <w:t>包装</w:t>
            </w:r>
          </w:p>
        </w:tc>
        <w:tc>
          <w:tcPr>
            <w:tcW w:w="1104" w:type="dxa"/>
            <w:noWrap w:val="0"/>
            <w:vAlign w:val="center"/>
          </w:tcPr>
          <w:p w14:paraId="43F41DF9">
            <w:pPr>
              <w:keepNext w:val="0"/>
              <w:keepLines w:val="0"/>
              <w:pageBreakBefore w:val="0"/>
              <w:widowControl w:val="0"/>
              <w:kinsoku/>
              <w:wordWrap/>
              <w:overflowPunct/>
              <w:topLinePunct w:val="0"/>
              <w:autoSpaceDE/>
              <w:autoSpaceDN/>
              <w:bidi w:val="0"/>
              <w:spacing w:line="240" w:lineRule="exact"/>
              <w:jc w:val="center"/>
              <w:textAlignment w:val="auto"/>
              <w:rPr>
                <w:rFonts w:hint="eastAsia"/>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颗粒物</w:t>
            </w:r>
          </w:p>
        </w:tc>
        <w:tc>
          <w:tcPr>
            <w:tcW w:w="3497" w:type="dxa"/>
            <w:noWrap w:val="0"/>
            <w:vAlign w:val="center"/>
          </w:tcPr>
          <w:p w14:paraId="65F5AB69">
            <w:pPr>
              <w:keepNext w:val="0"/>
              <w:keepLines w:val="0"/>
              <w:pageBreakBefore w:val="0"/>
              <w:widowControl w:val="0"/>
              <w:kinsoku/>
              <w:wordWrap/>
              <w:overflowPunct/>
              <w:topLinePunct w:val="0"/>
              <w:autoSpaceDE/>
              <w:autoSpaceDN/>
              <w:bidi w:val="0"/>
              <w:spacing w:line="240" w:lineRule="exact"/>
              <w:jc w:val="both"/>
              <w:textAlignment w:val="auto"/>
              <w:rPr>
                <w:rFonts w:hint="eastAsia" w:eastAsia="宋体"/>
                <w:color w:val="000000" w:themeColor="text1"/>
                <w:szCs w:val="21"/>
                <w:highlight w:val="none"/>
                <w:lang w:eastAsia="zh-CN"/>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集气罩（</w:t>
            </w:r>
            <w:r>
              <w:rPr>
                <w:rFonts w:hint="eastAsia" w:ascii="Times New Roman" w:hAnsi="Times New Roman" w:cs="Times New Roman"/>
                <w:color w:val="000000" w:themeColor="text1"/>
                <w:highlight w:val="none"/>
                <w:lang w:val="en-US" w:eastAsia="zh-CN"/>
                <w14:textFill>
                  <w14:solidFill>
                    <w14:schemeClr w14:val="tx1"/>
                  </w14:solidFill>
                </w14:textFill>
              </w:rPr>
              <w:t>8</w:t>
            </w:r>
            <w:r>
              <w:rPr>
                <w:rFonts w:hint="default" w:ascii="Times New Roman" w:hAnsi="Times New Roman" w:cs="Times New Roman"/>
                <w:color w:val="000000" w:themeColor="text1"/>
                <w:highlight w:val="none"/>
                <w14:textFill>
                  <w14:solidFill>
                    <w14:schemeClr w14:val="tx1"/>
                  </w14:solidFill>
                </w14:textFill>
              </w:rPr>
              <w:t>套）+</w:t>
            </w:r>
            <w:r>
              <w:rPr>
                <w:rFonts w:hint="eastAsia" w:cs="Times New Roman"/>
                <w:color w:val="000000" w:themeColor="text1"/>
                <w:highlight w:val="none"/>
                <w:lang w:eastAsia="zh-CN"/>
                <w14:textFill>
                  <w14:solidFill>
                    <w14:schemeClr w14:val="tx1"/>
                  </w14:solidFill>
                </w14:textFill>
              </w:rPr>
              <w:t>布袋除尘器（覆膜袋式）</w:t>
            </w:r>
            <w:r>
              <w:rPr>
                <w:rFonts w:hint="default" w:ascii="Times New Roman" w:hAnsi="Times New Roman" w:cs="Times New Roman"/>
                <w:color w:val="000000" w:themeColor="text1"/>
                <w:highlight w:val="none"/>
                <w14:textFill>
                  <w14:solidFill>
                    <w14:schemeClr w14:val="tx1"/>
                  </w14:solidFill>
                </w14:textFill>
              </w:rPr>
              <w:t>（</w:t>
            </w:r>
            <w:r>
              <w:rPr>
                <w:rFonts w:hint="eastAsia" w:ascii="Times New Roman" w:hAnsi="Times New Roman" w:cs="Times New Roman"/>
                <w:color w:val="000000" w:themeColor="text1"/>
                <w:highlight w:val="none"/>
                <w:lang w:val="en-US" w:eastAsia="zh-CN"/>
                <w14:textFill>
                  <w14:solidFill>
                    <w14:schemeClr w14:val="tx1"/>
                  </w14:solidFill>
                </w14:textFill>
              </w:rPr>
              <w:t>1</w:t>
            </w:r>
            <w:r>
              <w:rPr>
                <w:rFonts w:hint="default" w:ascii="Times New Roman" w:hAnsi="Times New Roman" w:cs="Times New Roman"/>
                <w:color w:val="000000" w:themeColor="text1"/>
                <w:highlight w:val="none"/>
                <w14:textFill>
                  <w14:solidFill>
                    <w14:schemeClr w14:val="tx1"/>
                  </w14:solidFill>
                </w14:textFill>
              </w:rPr>
              <w:t>套）+</w:t>
            </w:r>
            <w:r>
              <w:rPr>
                <w:rFonts w:hint="eastAsia" w:cs="Times New Roman"/>
                <w:color w:val="000000" w:themeColor="text1"/>
                <w:highlight w:val="none"/>
                <w:lang w:val="en-US" w:eastAsia="zh-CN"/>
                <w14:textFill>
                  <w14:solidFill>
                    <w14:schemeClr w14:val="tx1"/>
                  </w14:solidFill>
                </w14:textFill>
              </w:rPr>
              <w:t>3</w:t>
            </w:r>
            <w:r>
              <w:rPr>
                <w:rFonts w:hint="eastAsia" w:ascii="Times New Roman" w:hAnsi="Times New Roman" w:cs="Times New Roman"/>
                <w:color w:val="000000" w:themeColor="text1"/>
                <w:highlight w:val="none"/>
                <w:lang w:val="en-US" w:eastAsia="zh-CN"/>
                <w14:textFill>
                  <w14:solidFill>
                    <w14:schemeClr w14:val="tx1"/>
                  </w14:solidFill>
                </w14:textFill>
              </w:rPr>
              <w:t>0</w:t>
            </w:r>
            <w:r>
              <w:rPr>
                <w:rFonts w:hint="default" w:ascii="Times New Roman" w:hAnsi="Times New Roman" w:cs="Times New Roman"/>
                <w:color w:val="000000" w:themeColor="text1"/>
                <w:highlight w:val="none"/>
                <w:lang w:eastAsia="zh-CN"/>
                <w14:textFill>
                  <w14:solidFill>
                    <w14:schemeClr w14:val="tx1"/>
                  </w14:solidFill>
                </w14:textFill>
              </w:rPr>
              <w:t>m</w:t>
            </w:r>
            <w:r>
              <w:rPr>
                <w:rFonts w:hint="eastAsia" w:cs="Times New Roman"/>
                <w:color w:val="000000" w:themeColor="text1"/>
                <w:sz w:val="24"/>
                <w:highlight w:val="none"/>
                <w:lang w:val="en-US" w:eastAsia="zh-CN"/>
                <w14:textFill>
                  <w14:solidFill>
                    <w14:schemeClr w14:val="tx1"/>
                  </w14:solidFill>
                </w14:textFill>
              </w:rPr>
              <w:t>高的</w:t>
            </w:r>
            <w:r>
              <w:rPr>
                <w:rFonts w:hint="eastAsia" w:cs="Times New Roman"/>
                <w:color w:val="000000" w:themeColor="text1"/>
                <w:highlight w:val="none"/>
                <w:lang w:eastAsia="zh-CN"/>
                <w14:textFill>
                  <w14:solidFill>
                    <w14:schemeClr w14:val="tx1"/>
                  </w14:solidFill>
                </w14:textFill>
              </w:rPr>
              <w:t>排气</w:t>
            </w:r>
            <w:r>
              <w:rPr>
                <w:rFonts w:hint="eastAsia" w:cs="Times New Roman"/>
                <w:b w:val="0"/>
                <w:bCs w:val="0"/>
                <w:color w:val="000000" w:themeColor="text1"/>
                <w:sz w:val="21"/>
                <w:szCs w:val="21"/>
                <w:highlight w:val="none"/>
                <w:lang w:val="en-US" w:eastAsia="zh-CN"/>
                <w14:textFill>
                  <w14:solidFill>
                    <w14:schemeClr w14:val="tx1"/>
                  </w14:solidFill>
                </w14:textFill>
              </w:rPr>
              <w:t>口</w:t>
            </w:r>
            <w:r>
              <w:rPr>
                <w:rFonts w:hint="default" w:ascii="Times New Roman" w:hAnsi="Times New Roman" w:cs="Times New Roman"/>
                <w:color w:val="000000" w:themeColor="text1"/>
                <w:highlight w:val="none"/>
                <w14:textFill>
                  <w14:solidFill>
                    <w14:schemeClr w14:val="tx1"/>
                  </w14:solidFill>
                </w14:textFill>
              </w:rPr>
              <w:t>（DA01</w:t>
            </w:r>
            <w:r>
              <w:rPr>
                <w:rFonts w:hint="eastAsia" w:cs="Times New Roman"/>
                <w:color w:val="000000" w:themeColor="text1"/>
                <w:highlight w:val="none"/>
                <w:lang w:val="en-US" w:eastAsia="zh-CN"/>
                <w14:textFill>
                  <w14:solidFill>
                    <w14:schemeClr w14:val="tx1"/>
                  </w14:solidFill>
                </w14:textFill>
              </w:rPr>
              <w:t>1</w:t>
            </w:r>
            <w:r>
              <w:rPr>
                <w:rFonts w:hint="default" w:ascii="Times New Roman" w:hAnsi="Times New Roman" w:cs="Times New Roman"/>
                <w:color w:val="000000" w:themeColor="text1"/>
                <w:highlight w:val="none"/>
                <w14:textFill>
                  <w14:solidFill>
                    <w14:schemeClr w14:val="tx1"/>
                  </w14:solidFill>
                </w14:textFill>
              </w:rPr>
              <w:t>）</w:t>
            </w:r>
            <w:r>
              <w:rPr>
                <w:rFonts w:hint="eastAsia" w:cs="Times New Roman"/>
                <w:color w:val="000000" w:themeColor="text1"/>
                <w:highlight w:val="none"/>
                <w:lang w:eastAsia="zh-CN"/>
                <w14:textFill>
                  <w14:solidFill>
                    <w14:schemeClr w14:val="tx1"/>
                  </w14:solidFill>
                </w14:textFill>
              </w:rPr>
              <w:t>。</w:t>
            </w:r>
          </w:p>
        </w:tc>
        <w:tc>
          <w:tcPr>
            <w:tcW w:w="1799" w:type="dxa"/>
            <w:vMerge w:val="continue"/>
            <w:noWrap w:val="0"/>
            <w:vAlign w:val="center"/>
          </w:tcPr>
          <w:p w14:paraId="66FF5BE9">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eastAsia="宋体"/>
                <w:color w:val="000000" w:themeColor="text1"/>
                <w:szCs w:val="21"/>
                <w:highlight w:val="none"/>
                <w:lang w:val="en-US" w:eastAsia="zh-CN"/>
                <w14:textFill>
                  <w14:solidFill>
                    <w14:schemeClr w14:val="tx1"/>
                  </w14:solidFill>
                </w14:textFill>
              </w:rPr>
            </w:pPr>
          </w:p>
        </w:tc>
      </w:tr>
      <w:tr w14:paraId="3F6771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421" w:type="dxa"/>
            <w:vMerge w:val="continue"/>
            <w:noWrap w:val="0"/>
            <w:vAlign w:val="center"/>
          </w:tcPr>
          <w:p w14:paraId="0FA88867">
            <w:pPr>
              <w:adjustRightInd w:val="0"/>
              <w:snapToGrid w:val="0"/>
              <w:jc w:val="center"/>
              <w:rPr>
                <w:b/>
                <w:bCs/>
                <w:color w:val="000000" w:themeColor="text1"/>
                <w:szCs w:val="21"/>
                <w:highlight w:val="none"/>
                <w14:textFill>
                  <w14:solidFill>
                    <w14:schemeClr w14:val="tx1"/>
                  </w14:solidFill>
                </w14:textFill>
              </w:rPr>
            </w:pPr>
          </w:p>
        </w:tc>
        <w:tc>
          <w:tcPr>
            <w:tcW w:w="742" w:type="dxa"/>
            <w:vMerge w:val="continue"/>
            <w:noWrap w:val="0"/>
            <w:vAlign w:val="center"/>
          </w:tcPr>
          <w:p w14:paraId="7269ADC4">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color w:val="000000" w:themeColor="text1"/>
                <w:szCs w:val="21"/>
                <w:highlight w:val="none"/>
                <w14:textFill>
                  <w14:solidFill>
                    <w14:schemeClr w14:val="tx1"/>
                  </w14:solidFill>
                </w14:textFill>
              </w:rPr>
            </w:pPr>
          </w:p>
        </w:tc>
        <w:tc>
          <w:tcPr>
            <w:tcW w:w="1244" w:type="dxa"/>
            <w:noWrap w:val="0"/>
            <w:vAlign w:val="center"/>
          </w:tcPr>
          <w:p w14:paraId="4B39BAA8">
            <w:pPr>
              <w:adjustRightInd w:val="0"/>
              <w:snapToGrid w:val="0"/>
              <w:jc w:val="center"/>
              <w:rPr>
                <w:color w:val="000000" w:themeColor="text1"/>
                <w:szCs w:val="21"/>
                <w:highlight w:val="none"/>
                <w14:textFill>
                  <w14:solidFill>
                    <w14:schemeClr w14:val="tx1"/>
                  </w14:solidFill>
                </w14:textFill>
              </w:rPr>
            </w:pPr>
            <w:r>
              <w:rPr>
                <w:rFonts w:hint="eastAsia" w:ascii="Times New Roman" w:hAnsi="Times New Roman" w:cs="Times New Roman"/>
                <w:color w:val="000000" w:themeColor="text1"/>
                <w:highlight w:val="none"/>
                <w:lang w:val="en-US" w:eastAsia="zh-CN"/>
                <w14:textFill>
                  <w14:solidFill>
                    <w14:schemeClr w14:val="tx1"/>
                  </w14:solidFill>
                </w14:textFill>
              </w:rPr>
              <w:t>小包</w:t>
            </w:r>
            <w:r>
              <w:rPr>
                <w:rFonts w:hint="default" w:ascii="Times New Roman" w:hAnsi="Times New Roman" w:cs="Times New Roman"/>
                <w:color w:val="000000" w:themeColor="text1"/>
                <w:highlight w:val="none"/>
                <w14:textFill>
                  <w14:solidFill>
                    <w14:schemeClr w14:val="tx1"/>
                  </w14:solidFill>
                </w14:textFill>
              </w:rPr>
              <w:t>高岭土产品装卸、贮存</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产生废气</w:t>
            </w:r>
          </w:p>
        </w:tc>
        <w:tc>
          <w:tcPr>
            <w:tcW w:w="1104" w:type="dxa"/>
            <w:noWrap w:val="0"/>
            <w:vAlign w:val="center"/>
          </w:tcPr>
          <w:p w14:paraId="484F4B81">
            <w:pPr>
              <w:keepNext w:val="0"/>
              <w:keepLines w:val="0"/>
              <w:pageBreakBefore w:val="0"/>
              <w:widowControl w:val="0"/>
              <w:kinsoku/>
              <w:wordWrap/>
              <w:overflowPunct/>
              <w:topLinePunct w:val="0"/>
              <w:autoSpaceDE/>
              <w:autoSpaceDN/>
              <w:bidi w:val="0"/>
              <w:spacing w:line="240" w:lineRule="exact"/>
              <w:jc w:val="center"/>
              <w:textAlignment w:val="auto"/>
              <w:rPr>
                <w:rFonts w:hint="eastAsia"/>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颗粒物</w:t>
            </w:r>
          </w:p>
        </w:tc>
        <w:tc>
          <w:tcPr>
            <w:tcW w:w="3497" w:type="dxa"/>
            <w:noWrap w:val="0"/>
            <w:vAlign w:val="center"/>
          </w:tcPr>
          <w:p w14:paraId="29472016">
            <w:pPr>
              <w:keepNext w:val="0"/>
              <w:keepLines w:val="0"/>
              <w:pageBreakBefore w:val="0"/>
              <w:widowControl w:val="0"/>
              <w:kinsoku/>
              <w:wordWrap/>
              <w:overflowPunct/>
              <w:topLinePunct w:val="0"/>
              <w:autoSpaceDE/>
              <w:autoSpaceDN/>
              <w:bidi w:val="0"/>
              <w:spacing w:line="240" w:lineRule="exact"/>
              <w:jc w:val="both"/>
              <w:textAlignment w:val="auto"/>
              <w:rPr>
                <w:color w:val="000000" w:themeColor="text1"/>
                <w:szCs w:val="21"/>
                <w:highlight w:val="none"/>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筒仓</w:t>
            </w:r>
            <w:r>
              <w:rPr>
                <w:rFonts w:hint="eastAsia"/>
                <w:color w:val="000000" w:themeColor="text1"/>
                <w:szCs w:val="21"/>
                <w:highlight w:val="none"/>
                <w14:textFill>
                  <w14:solidFill>
                    <w14:schemeClr w14:val="tx1"/>
                  </w14:solidFill>
                </w14:textFill>
              </w:rPr>
              <w:t>密闭管道收集</w:t>
            </w:r>
            <w:r>
              <w:rPr>
                <w:rFonts w:hint="eastAsia"/>
                <w:color w:val="000000" w:themeColor="text1"/>
                <w:szCs w:val="21"/>
                <w:highlight w:val="none"/>
                <w:lang w:val="en-US" w:eastAsia="zh-CN"/>
                <w14:textFill>
                  <w14:solidFill>
                    <w14:schemeClr w14:val="tx1"/>
                  </w14:solidFill>
                </w14:textFill>
              </w:rPr>
              <w:t>+1套仓</w:t>
            </w:r>
            <w:r>
              <w:rPr>
                <w:color w:val="000000" w:themeColor="text1"/>
                <w:szCs w:val="21"/>
                <w:highlight w:val="none"/>
                <w14:textFill>
                  <w14:solidFill>
                    <w14:schemeClr w14:val="tx1"/>
                  </w14:solidFill>
                </w14:textFill>
              </w:rPr>
              <w:t>顶除尘器（除尘效率99%）</w:t>
            </w:r>
            <w:r>
              <w:rPr>
                <w:rFonts w:hint="eastAsia"/>
                <w:color w:val="000000" w:themeColor="text1"/>
                <w:szCs w:val="21"/>
                <w:highlight w:val="none"/>
                <w14:textFill>
                  <w14:solidFill>
                    <w14:schemeClr w14:val="tx1"/>
                  </w14:solidFill>
                </w14:textFill>
              </w:rPr>
              <w:t>+</w:t>
            </w:r>
            <w:r>
              <w:rPr>
                <w:rFonts w:hint="eastAsia"/>
                <w:color w:val="000000" w:themeColor="text1"/>
                <w:szCs w:val="21"/>
                <w:highlight w:val="none"/>
                <w:lang w:val="en-US" w:eastAsia="zh-CN"/>
                <w14:textFill>
                  <w14:solidFill>
                    <w14:schemeClr w14:val="tx1"/>
                  </w14:solidFill>
                </w14:textFill>
              </w:rPr>
              <w:t>3</w:t>
            </w:r>
            <w:r>
              <w:rPr>
                <w:rFonts w:hint="eastAsia"/>
                <w:color w:val="000000" w:themeColor="text1"/>
                <w:szCs w:val="21"/>
                <w:highlight w:val="none"/>
                <w14:textFill>
                  <w14:solidFill>
                    <w14:schemeClr w14:val="tx1"/>
                  </w14:solidFill>
                </w14:textFill>
              </w:rPr>
              <w:t>0m</w:t>
            </w:r>
            <w:r>
              <w:rPr>
                <w:rFonts w:hint="eastAsia" w:cs="Times New Roman"/>
                <w:color w:val="000000" w:themeColor="text1"/>
                <w:sz w:val="24"/>
                <w:highlight w:val="none"/>
                <w:lang w:val="en-US" w:eastAsia="zh-CN"/>
                <w14:textFill>
                  <w14:solidFill>
                    <w14:schemeClr w14:val="tx1"/>
                  </w14:solidFill>
                </w14:textFill>
              </w:rPr>
              <w:t>高的</w:t>
            </w:r>
            <w:r>
              <w:rPr>
                <w:color w:val="000000" w:themeColor="text1"/>
                <w:szCs w:val="21"/>
                <w:highlight w:val="none"/>
                <w14:textFill>
                  <w14:solidFill>
                    <w14:schemeClr w14:val="tx1"/>
                  </w14:solidFill>
                </w14:textFill>
              </w:rPr>
              <w:t>排气</w:t>
            </w:r>
            <w:r>
              <w:rPr>
                <w:rFonts w:hint="eastAsia" w:cs="Times New Roman"/>
                <w:b w:val="0"/>
                <w:bCs w:val="0"/>
                <w:color w:val="000000" w:themeColor="text1"/>
                <w:sz w:val="21"/>
                <w:szCs w:val="21"/>
                <w:highlight w:val="none"/>
                <w:lang w:val="en-US" w:eastAsia="zh-CN"/>
                <w14:textFill>
                  <w14:solidFill>
                    <w14:schemeClr w14:val="tx1"/>
                  </w14:solidFill>
                </w14:textFill>
              </w:rPr>
              <w:t>口</w:t>
            </w:r>
            <w:r>
              <w:rPr>
                <w:color w:val="000000" w:themeColor="text1"/>
                <w:szCs w:val="21"/>
                <w:highlight w:val="none"/>
                <w14:textFill>
                  <w14:solidFill>
                    <w14:schemeClr w14:val="tx1"/>
                  </w14:solidFill>
                </w14:textFill>
              </w:rPr>
              <w:t>（</w:t>
            </w:r>
            <w:r>
              <w:rPr>
                <w:rFonts w:hint="eastAsia"/>
                <w:color w:val="000000" w:themeColor="text1"/>
                <w:szCs w:val="21"/>
                <w:highlight w:val="none"/>
                <w:lang w:val="en-US" w:eastAsia="zh-CN"/>
                <w14:textFill>
                  <w14:solidFill>
                    <w14:schemeClr w14:val="tx1"/>
                  </w14:solidFill>
                </w14:textFill>
              </w:rPr>
              <w:t>DA012）。</w:t>
            </w:r>
          </w:p>
        </w:tc>
        <w:tc>
          <w:tcPr>
            <w:tcW w:w="1799" w:type="dxa"/>
            <w:vMerge w:val="continue"/>
            <w:noWrap w:val="0"/>
            <w:vAlign w:val="center"/>
          </w:tcPr>
          <w:p w14:paraId="7C2EF35D">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color w:val="000000" w:themeColor="text1"/>
                <w:szCs w:val="21"/>
                <w:highlight w:val="none"/>
                <w14:textFill>
                  <w14:solidFill>
                    <w14:schemeClr w14:val="tx1"/>
                  </w14:solidFill>
                </w14:textFill>
              </w:rPr>
            </w:pPr>
          </w:p>
        </w:tc>
      </w:tr>
      <w:tr w14:paraId="6F24A5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421" w:type="dxa"/>
            <w:vMerge w:val="continue"/>
            <w:noWrap w:val="0"/>
            <w:vAlign w:val="center"/>
          </w:tcPr>
          <w:p w14:paraId="14C37178">
            <w:pPr>
              <w:adjustRightInd w:val="0"/>
              <w:snapToGrid w:val="0"/>
              <w:jc w:val="center"/>
              <w:rPr>
                <w:b/>
                <w:bCs/>
                <w:color w:val="000000" w:themeColor="text1"/>
                <w:szCs w:val="21"/>
                <w:highlight w:val="none"/>
                <w14:textFill>
                  <w14:solidFill>
                    <w14:schemeClr w14:val="tx1"/>
                  </w14:solidFill>
                </w14:textFill>
              </w:rPr>
            </w:pPr>
          </w:p>
        </w:tc>
        <w:tc>
          <w:tcPr>
            <w:tcW w:w="742" w:type="dxa"/>
            <w:vMerge w:val="continue"/>
            <w:noWrap w:val="0"/>
            <w:vAlign w:val="center"/>
          </w:tcPr>
          <w:p w14:paraId="79B85D3D">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color w:val="000000" w:themeColor="text1"/>
                <w:szCs w:val="21"/>
                <w:highlight w:val="none"/>
                <w14:textFill>
                  <w14:solidFill>
                    <w14:schemeClr w14:val="tx1"/>
                  </w14:solidFill>
                </w14:textFill>
              </w:rPr>
            </w:pPr>
          </w:p>
        </w:tc>
        <w:tc>
          <w:tcPr>
            <w:tcW w:w="1244" w:type="dxa"/>
            <w:noWrap w:val="0"/>
            <w:vAlign w:val="center"/>
          </w:tcPr>
          <w:p w14:paraId="415DA92E">
            <w:pPr>
              <w:adjustRightInd w:val="0"/>
              <w:snapToGrid w:val="0"/>
              <w:jc w:val="cente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r>
              <w:rPr>
                <w:rFonts w:hint="eastAsia" w:ascii="Times New Roman" w:hAnsi="Times New Roman" w:cs="Times New Roman"/>
                <w:color w:val="000000" w:themeColor="text1"/>
                <w:highlight w:val="none"/>
                <w:lang w:val="en-US" w:eastAsia="zh-CN"/>
                <w14:textFill>
                  <w14:solidFill>
                    <w14:schemeClr w14:val="tx1"/>
                  </w14:solidFill>
                </w14:textFill>
              </w:rPr>
              <w:t>小包</w:t>
            </w:r>
            <w:r>
              <w:rPr>
                <w:rFonts w:hint="default" w:ascii="Times New Roman" w:hAnsi="Times New Roman" w:cs="Times New Roman"/>
                <w:color w:val="000000" w:themeColor="text1"/>
                <w:highlight w:val="none"/>
                <w14:textFill>
                  <w14:solidFill>
                    <w14:schemeClr w14:val="tx1"/>
                  </w14:solidFill>
                </w14:textFill>
              </w:rPr>
              <w:t>高岭土产品</w:t>
            </w:r>
            <w:r>
              <w:rPr>
                <w:rFonts w:hint="eastAsia" w:ascii="Times New Roman" w:hAnsi="Times New Roman" w:cs="Times New Roman"/>
                <w:color w:val="000000" w:themeColor="text1"/>
                <w:highlight w:val="none"/>
                <w:lang w:val="en-US" w:eastAsia="zh-CN"/>
                <w14:textFill>
                  <w14:solidFill>
                    <w14:schemeClr w14:val="tx1"/>
                  </w14:solidFill>
                </w14:textFill>
              </w:rPr>
              <w:t>包装</w:t>
            </w:r>
          </w:p>
        </w:tc>
        <w:tc>
          <w:tcPr>
            <w:tcW w:w="1104" w:type="dxa"/>
            <w:noWrap w:val="0"/>
            <w:vAlign w:val="center"/>
          </w:tcPr>
          <w:p w14:paraId="49041BFD">
            <w:pPr>
              <w:keepNext w:val="0"/>
              <w:keepLines w:val="0"/>
              <w:pageBreakBefore w:val="0"/>
              <w:widowControl w:val="0"/>
              <w:kinsoku/>
              <w:wordWrap/>
              <w:overflowPunct/>
              <w:topLinePunct w:val="0"/>
              <w:autoSpaceDE/>
              <w:autoSpaceDN/>
              <w:bidi w:val="0"/>
              <w:spacing w:line="240" w:lineRule="exact"/>
              <w:jc w:val="center"/>
              <w:textAlignment w:val="auto"/>
              <w:rPr>
                <w:rFonts w:hint="eastAsia"/>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颗粒物</w:t>
            </w:r>
          </w:p>
        </w:tc>
        <w:tc>
          <w:tcPr>
            <w:tcW w:w="3497" w:type="dxa"/>
            <w:noWrap w:val="0"/>
            <w:vAlign w:val="center"/>
          </w:tcPr>
          <w:p w14:paraId="7E679C37">
            <w:pPr>
              <w:keepNext w:val="0"/>
              <w:keepLines w:val="0"/>
              <w:pageBreakBefore w:val="0"/>
              <w:widowControl w:val="0"/>
              <w:kinsoku/>
              <w:wordWrap/>
              <w:overflowPunct/>
              <w:topLinePunct w:val="0"/>
              <w:autoSpaceDE/>
              <w:autoSpaceDN/>
              <w:bidi w:val="0"/>
              <w:spacing w:line="240" w:lineRule="exact"/>
              <w:jc w:val="both"/>
              <w:textAlignment w:val="auto"/>
              <w:rPr>
                <w:rFonts w:hint="eastAsia" w:eastAsia="宋体"/>
                <w:color w:val="000000" w:themeColor="text1"/>
                <w:szCs w:val="2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集气罩（</w:t>
            </w:r>
            <w:r>
              <w:rPr>
                <w:rFonts w:hint="eastAsia" w:ascii="Times New Roman" w:hAnsi="Times New Roman" w:cs="Times New Roman"/>
                <w:color w:val="000000" w:themeColor="text1"/>
                <w:highlight w:val="none"/>
                <w:lang w:val="en-US" w:eastAsia="zh-CN"/>
                <w14:textFill>
                  <w14:solidFill>
                    <w14:schemeClr w14:val="tx1"/>
                  </w14:solidFill>
                </w14:textFill>
              </w:rPr>
              <w:t>1</w:t>
            </w:r>
            <w:r>
              <w:rPr>
                <w:rFonts w:hint="default" w:ascii="Times New Roman" w:hAnsi="Times New Roman" w:cs="Times New Roman"/>
                <w:color w:val="000000" w:themeColor="text1"/>
                <w:highlight w:val="none"/>
                <w14:textFill>
                  <w14:solidFill>
                    <w14:schemeClr w14:val="tx1"/>
                  </w14:solidFill>
                </w14:textFill>
              </w:rPr>
              <w:t>套）+</w:t>
            </w:r>
            <w:r>
              <w:rPr>
                <w:rFonts w:hint="eastAsia" w:cs="Times New Roman"/>
                <w:color w:val="000000" w:themeColor="text1"/>
                <w:highlight w:val="none"/>
                <w:lang w:eastAsia="zh-CN"/>
                <w14:textFill>
                  <w14:solidFill>
                    <w14:schemeClr w14:val="tx1"/>
                  </w14:solidFill>
                </w14:textFill>
              </w:rPr>
              <w:t>布袋除尘器（覆膜袋式）</w:t>
            </w:r>
            <w:r>
              <w:rPr>
                <w:color w:val="000000" w:themeColor="text1"/>
                <w:szCs w:val="21"/>
                <w:highlight w:val="none"/>
                <w14:textFill>
                  <w14:solidFill>
                    <w14:schemeClr w14:val="tx1"/>
                  </w14:solidFill>
                </w14:textFill>
              </w:rPr>
              <w:t>（除尘效率</w:t>
            </w:r>
            <w:r>
              <w:rPr>
                <w:rFonts w:hint="eastAsia"/>
                <w:color w:val="000000" w:themeColor="text1"/>
                <w:szCs w:val="21"/>
                <w:highlight w:val="none"/>
                <w:lang w:eastAsia="zh-CN"/>
                <w14:textFill>
                  <w14:solidFill>
                    <w14:schemeClr w14:val="tx1"/>
                  </w14:solidFill>
                </w14:textFill>
              </w:rPr>
              <w:t>99%</w:t>
            </w:r>
            <w:r>
              <w:rPr>
                <w:color w:val="000000" w:themeColor="text1"/>
                <w:szCs w:val="21"/>
                <w:highlight w:val="none"/>
                <w14:textFill>
                  <w14:solidFill>
                    <w14:schemeClr w14:val="tx1"/>
                  </w14:solidFill>
                </w14:textFill>
              </w:rPr>
              <w:t>）</w:t>
            </w:r>
            <w:r>
              <w:rPr>
                <w:rFonts w:hint="default" w:ascii="Times New Roman" w:hAnsi="Times New Roman" w:cs="Times New Roman"/>
                <w:color w:val="000000" w:themeColor="text1"/>
                <w:highlight w:val="none"/>
                <w14:textFill>
                  <w14:solidFill>
                    <w14:schemeClr w14:val="tx1"/>
                  </w14:solidFill>
                </w14:textFill>
              </w:rPr>
              <w:t>+</w:t>
            </w:r>
            <w:r>
              <w:rPr>
                <w:rFonts w:hint="eastAsia" w:cs="Times New Roman"/>
                <w:color w:val="000000" w:themeColor="text1"/>
                <w:highlight w:val="none"/>
                <w:lang w:val="en-US" w:eastAsia="zh-CN"/>
                <w14:textFill>
                  <w14:solidFill>
                    <w14:schemeClr w14:val="tx1"/>
                  </w14:solidFill>
                </w14:textFill>
              </w:rPr>
              <w:t>20</w:t>
            </w:r>
            <w:r>
              <w:rPr>
                <w:rFonts w:hint="default" w:ascii="Times New Roman" w:hAnsi="Times New Roman" w:cs="Times New Roman"/>
                <w:color w:val="000000" w:themeColor="text1"/>
                <w:highlight w:val="none"/>
                <w:lang w:eastAsia="zh-CN"/>
                <w14:textFill>
                  <w14:solidFill>
                    <w14:schemeClr w14:val="tx1"/>
                  </w14:solidFill>
                </w14:textFill>
              </w:rPr>
              <w:t>m</w:t>
            </w:r>
            <w:r>
              <w:rPr>
                <w:rFonts w:hint="eastAsia" w:cs="Times New Roman"/>
                <w:color w:val="000000" w:themeColor="text1"/>
                <w:sz w:val="24"/>
                <w:highlight w:val="none"/>
                <w:lang w:val="en-US" w:eastAsia="zh-CN"/>
                <w14:textFill>
                  <w14:solidFill>
                    <w14:schemeClr w14:val="tx1"/>
                  </w14:solidFill>
                </w14:textFill>
              </w:rPr>
              <w:t>高的</w:t>
            </w:r>
            <w:r>
              <w:rPr>
                <w:rFonts w:hint="default" w:ascii="Times New Roman" w:hAnsi="Times New Roman" w:cs="Times New Roman"/>
                <w:color w:val="000000" w:themeColor="text1"/>
                <w:highlight w:val="none"/>
                <w14:textFill>
                  <w14:solidFill>
                    <w14:schemeClr w14:val="tx1"/>
                  </w14:solidFill>
                </w14:textFill>
              </w:rPr>
              <w:t>排气</w:t>
            </w:r>
            <w:r>
              <w:rPr>
                <w:rFonts w:hint="eastAsia" w:cs="Times New Roman"/>
                <w:b w:val="0"/>
                <w:bCs w:val="0"/>
                <w:color w:val="000000" w:themeColor="text1"/>
                <w:sz w:val="21"/>
                <w:szCs w:val="21"/>
                <w:highlight w:val="none"/>
                <w:lang w:val="en-US" w:eastAsia="zh-CN"/>
                <w14:textFill>
                  <w14:solidFill>
                    <w14:schemeClr w14:val="tx1"/>
                  </w14:solidFill>
                </w14:textFill>
              </w:rPr>
              <w:t>口</w:t>
            </w:r>
            <w:r>
              <w:rPr>
                <w:rFonts w:hint="default" w:ascii="Times New Roman" w:hAnsi="Times New Roman" w:cs="Times New Roman"/>
                <w:color w:val="000000" w:themeColor="text1"/>
                <w:highlight w:val="none"/>
                <w14:textFill>
                  <w14:solidFill>
                    <w14:schemeClr w14:val="tx1"/>
                  </w14:solidFill>
                </w14:textFill>
              </w:rPr>
              <w:t>（DA01</w:t>
            </w:r>
            <w:r>
              <w:rPr>
                <w:rFonts w:hint="eastAsia" w:cs="Times New Roman"/>
                <w:color w:val="000000" w:themeColor="text1"/>
                <w:highlight w:val="none"/>
                <w:lang w:val="en-US" w:eastAsia="zh-CN"/>
                <w14:textFill>
                  <w14:solidFill>
                    <w14:schemeClr w14:val="tx1"/>
                  </w14:solidFill>
                </w14:textFill>
              </w:rPr>
              <w:t>3</w:t>
            </w:r>
            <w:r>
              <w:rPr>
                <w:rFonts w:hint="default" w:ascii="Times New Roman" w:hAnsi="Times New Roman" w:cs="Times New Roman"/>
                <w:color w:val="000000" w:themeColor="text1"/>
                <w:highlight w:val="none"/>
                <w14:textFill>
                  <w14:solidFill>
                    <w14:schemeClr w14:val="tx1"/>
                  </w14:solidFill>
                </w14:textFill>
              </w:rPr>
              <w:t>）</w:t>
            </w:r>
            <w:r>
              <w:rPr>
                <w:rFonts w:hint="eastAsia" w:cs="Times New Roman"/>
                <w:color w:val="000000" w:themeColor="text1"/>
                <w:highlight w:val="none"/>
                <w:lang w:eastAsia="zh-CN"/>
                <w14:textFill>
                  <w14:solidFill>
                    <w14:schemeClr w14:val="tx1"/>
                  </w14:solidFill>
                </w14:textFill>
              </w:rPr>
              <w:t>。</w:t>
            </w:r>
          </w:p>
        </w:tc>
        <w:tc>
          <w:tcPr>
            <w:tcW w:w="1799" w:type="dxa"/>
            <w:vMerge w:val="continue"/>
            <w:noWrap w:val="0"/>
            <w:vAlign w:val="center"/>
          </w:tcPr>
          <w:p w14:paraId="3B164C66">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color w:val="000000" w:themeColor="text1"/>
                <w:szCs w:val="21"/>
                <w:highlight w:val="none"/>
                <w14:textFill>
                  <w14:solidFill>
                    <w14:schemeClr w14:val="tx1"/>
                  </w14:solidFill>
                </w14:textFill>
              </w:rPr>
            </w:pPr>
          </w:p>
        </w:tc>
      </w:tr>
      <w:tr w14:paraId="47A1CB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421" w:type="dxa"/>
            <w:vMerge w:val="continue"/>
            <w:noWrap w:val="0"/>
            <w:vAlign w:val="center"/>
          </w:tcPr>
          <w:p w14:paraId="4C0A5FDC">
            <w:pPr>
              <w:adjustRightInd w:val="0"/>
              <w:snapToGrid w:val="0"/>
              <w:jc w:val="center"/>
              <w:rPr>
                <w:b/>
                <w:bCs/>
                <w:color w:val="000000" w:themeColor="text1"/>
                <w:szCs w:val="21"/>
                <w:highlight w:val="none"/>
                <w14:textFill>
                  <w14:solidFill>
                    <w14:schemeClr w14:val="tx1"/>
                  </w14:solidFill>
                </w14:textFill>
              </w:rPr>
            </w:pPr>
          </w:p>
        </w:tc>
        <w:tc>
          <w:tcPr>
            <w:tcW w:w="742" w:type="dxa"/>
            <w:vMerge w:val="continue"/>
            <w:noWrap w:val="0"/>
            <w:vAlign w:val="center"/>
          </w:tcPr>
          <w:p w14:paraId="24606312">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color w:val="000000" w:themeColor="text1"/>
                <w:szCs w:val="21"/>
                <w:highlight w:val="none"/>
                <w14:textFill>
                  <w14:solidFill>
                    <w14:schemeClr w14:val="tx1"/>
                  </w14:solidFill>
                </w14:textFill>
              </w:rPr>
            </w:pPr>
          </w:p>
        </w:tc>
        <w:tc>
          <w:tcPr>
            <w:tcW w:w="1244" w:type="dxa"/>
            <w:noWrap w:val="0"/>
            <w:vAlign w:val="center"/>
          </w:tcPr>
          <w:p w14:paraId="7DAA1429">
            <w:pPr>
              <w:adjustRightInd w:val="0"/>
              <w:snapToGrid w:val="0"/>
              <w:jc w:val="center"/>
              <w:rPr>
                <w:rFonts w:hint="eastAsia"/>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cs="Times New Roman"/>
                <w:color w:val="000000" w:themeColor="text1"/>
                <w:szCs w:val="21"/>
                <w:highlight w:val="none"/>
                <w:lang w:val="en-US" w:eastAsia="zh-CN"/>
                <w14:textFill>
                  <w14:solidFill>
                    <w14:schemeClr w14:val="tx1"/>
                  </w14:solidFill>
                </w14:textFill>
              </w:rPr>
              <w:t>黄料粉仓装卸呼吸粉仓</w:t>
            </w:r>
          </w:p>
        </w:tc>
        <w:tc>
          <w:tcPr>
            <w:tcW w:w="1104" w:type="dxa"/>
            <w:noWrap w:val="0"/>
            <w:vAlign w:val="center"/>
          </w:tcPr>
          <w:p w14:paraId="069EC522">
            <w:pPr>
              <w:keepNext w:val="0"/>
              <w:keepLines w:val="0"/>
              <w:pageBreakBefore w:val="0"/>
              <w:widowControl w:val="0"/>
              <w:kinsoku/>
              <w:wordWrap/>
              <w:overflowPunct/>
              <w:topLinePunct w:val="0"/>
              <w:autoSpaceDE/>
              <w:autoSpaceDN/>
              <w:bidi w:val="0"/>
              <w:spacing w:line="240" w:lineRule="exact"/>
              <w:jc w:val="center"/>
              <w:textAlignment w:val="auto"/>
              <w:rPr>
                <w:rFonts w:hint="eastAsia"/>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Cs w:val="21"/>
                <w:highlight w:val="none"/>
                <w14:textFill>
                  <w14:solidFill>
                    <w14:schemeClr w14:val="tx1"/>
                  </w14:solidFill>
                </w14:textFill>
              </w:rPr>
              <w:t>颗粒物</w:t>
            </w:r>
          </w:p>
        </w:tc>
        <w:tc>
          <w:tcPr>
            <w:tcW w:w="3497" w:type="dxa"/>
            <w:noWrap w:val="0"/>
            <w:vAlign w:val="center"/>
          </w:tcPr>
          <w:p w14:paraId="6C7E34BB">
            <w:pPr>
              <w:keepNext w:val="0"/>
              <w:keepLines w:val="0"/>
              <w:pageBreakBefore w:val="0"/>
              <w:widowControl w:val="0"/>
              <w:kinsoku/>
              <w:wordWrap/>
              <w:overflowPunct/>
              <w:topLinePunct w:val="0"/>
              <w:autoSpaceDE/>
              <w:autoSpaceDN/>
              <w:bidi w:val="0"/>
              <w:spacing w:line="240" w:lineRule="exact"/>
              <w:jc w:val="both"/>
              <w:textAlignment w:val="auto"/>
              <w:rPr>
                <w:rFonts w:hint="eastAsia" w:eastAsia="宋体"/>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Cs w:val="21"/>
                <w:highlight w:val="none"/>
                <w14:textFill>
                  <w14:solidFill>
                    <w14:schemeClr w14:val="tx1"/>
                  </w14:solidFill>
                </w14:textFill>
              </w:rPr>
              <w:t>密闭管道收集+</w:t>
            </w:r>
            <w:r>
              <w:rPr>
                <w:rFonts w:hint="eastAsia" w:ascii="Times New Roman" w:hAnsi="Times New Roman" w:cs="Times New Roman"/>
                <w:color w:val="000000" w:themeColor="text1"/>
                <w:highlight w:val="none"/>
                <w:lang w:val="en-US" w:eastAsia="zh-CN"/>
                <w14:textFill>
                  <w14:solidFill>
                    <w14:schemeClr w14:val="tx1"/>
                  </w14:solidFill>
                </w14:textFill>
              </w:rPr>
              <w:t>2</w:t>
            </w:r>
            <w:r>
              <w:rPr>
                <w:rFonts w:hint="default" w:ascii="Times New Roman" w:hAnsi="Times New Roman" w:cs="Times New Roman"/>
                <w:color w:val="000000" w:themeColor="text1"/>
                <w:highlight w:val="none"/>
                <w14:textFill>
                  <w14:solidFill>
                    <w14:schemeClr w14:val="tx1"/>
                  </w14:solidFill>
                </w14:textFill>
              </w:rPr>
              <w:t>套</w:t>
            </w:r>
            <w:r>
              <w:rPr>
                <w:rFonts w:hint="eastAsia"/>
                <w:color w:val="000000" w:themeColor="text1"/>
                <w:szCs w:val="21"/>
                <w:highlight w:val="none"/>
                <w:lang w:eastAsia="zh-CN"/>
                <w14:textFill>
                  <w14:solidFill>
                    <w14:schemeClr w14:val="tx1"/>
                  </w14:solidFill>
                </w14:textFill>
              </w:rPr>
              <w:t>布袋除尘器（覆膜袋式）</w:t>
            </w:r>
            <w:r>
              <w:rPr>
                <w:color w:val="000000" w:themeColor="text1"/>
                <w:szCs w:val="21"/>
                <w:highlight w:val="none"/>
                <w14:textFill>
                  <w14:solidFill>
                    <w14:schemeClr w14:val="tx1"/>
                  </w14:solidFill>
                </w14:textFill>
              </w:rPr>
              <w:t>（除尘效率</w:t>
            </w:r>
            <w:r>
              <w:rPr>
                <w:rFonts w:hint="eastAsia"/>
                <w:color w:val="000000" w:themeColor="text1"/>
                <w:szCs w:val="21"/>
                <w:highlight w:val="none"/>
                <w:lang w:eastAsia="zh-CN"/>
                <w14:textFill>
                  <w14:solidFill>
                    <w14:schemeClr w14:val="tx1"/>
                  </w14:solidFill>
                </w14:textFill>
              </w:rPr>
              <w:t>99%</w:t>
            </w:r>
            <w:r>
              <w:rPr>
                <w:color w:val="000000" w:themeColor="text1"/>
                <w:szCs w:val="21"/>
                <w:highlight w:val="none"/>
                <w14:textFill>
                  <w14:solidFill>
                    <w14:schemeClr w14:val="tx1"/>
                  </w14:solidFill>
                </w14:textFill>
              </w:rPr>
              <w:t>）</w:t>
            </w:r>
            <w:r>
              <w:rPr>
                <w:rFonts w:hint="eastAsia"/>
                <w:color w:val="000000" w:themeColor="text1"/>
                <w:szCs w:val="21"/>
                <w:highlight w:val="none"/>
                <w14:textFill>
                  <w14:solidFill>
                    <w14:schemeClr w14:val="tx1"/>
                  </w14:solidFill>
                </w14:textFill>
              </w:rPr>
              <w:t>+</w:t>
            </w:r>
            <w:r>
              <w:rPr>
                <w:rFonts w:hint="eastAsia"/>
                <w:color w:val="000000" w:themeColor="text1"/>
                <w:szCs w:val="21"/>
                <w:highlight w:val="none"/>
                <w:lang w:val="en-US" w:eastAsia="zh-CN"/>
                <w14:textFill>
                  <w14:solidFill>
                    <w14:schemeClr w14:val="tx1"/>
                  </w14:solidFill>
                </w14:textFill>
              </w:rPr>
              <w:t>15</w:t>
            </w:r>
            <w:r>
              <w:rPr>
                <w:color w:val="000000" w:themeColor="text1"/>
                <w:szCs w:val="21"/>
                <w:highlight w:val="none"/>
                <w14:textFill>
                  <w14:solidFill>
                    <w14:schemeClr w14:val="tx1"/>
                  </w14:solidFill>
                </w14:textFill>
              </w:rPr>
              <w:t>m</w:t>
            </w:r>
            <w:r>
              <w:rPr>
                <w:rFonts w:hint="eastAsia" w:cs="Times New Roman"/>
                <w:color w:val="000000" w:themeColor="text1"/>
                <w:sz w:val="24"/>
                <w:highlight w:val="none"/>
                <w:lang w:val="en-US" w:eastAsia="zh-CN"/>
                <w14:textFill>
                  <w14:solidFill>
                    <w14:schemeClr w14:val="tx1"/>
                  </w14:solidFill>
                </w14:textFill>
              </w:rPr>
              <w:t>高的</w:t>
            </w:r>
            <w:r>
              <w:rPr>
                <w:color w:val="000000" w:themeColor="text1"/>
                <w:szCs w:val="21"/>
                <w:highlight w:val="none"/>
                <w14:textFill>
                  <w14:solidFill>
                    <w14:schemeClr w14:val="tx1"/>
                  </w14:solidFill>
                </w14:textFill>
              </w:rPr>
              <w:t>排气</w:t>
            </w:r>
            <w:r>
              <w:rPr>
                <w:rFonts w:hint="eastAsia" w:cs="Times New Roman"/>
                <w:b w:val="0"/>
                <w:bCs w:val="0"/>
                <w:color w:val="000000" w:themeColor="text1"/>
                <w:sz w:val="21"/>
                <w:szCs w:val="21"/>
                <w:highlight w:val="none"/>
                <w:lang w:val="en-US" w:eastAsia="zh-CN"/>
                <w14:textFill>
                  <w14:solidFill>
                    <w14:schemeClr w14:val="tx1"/>
                  </w14:solidFill>
                </w14:textFill>
              </w:rPr>
              <w:t>口</w:t>
            </w:r>
            <w:r>
              <w:rPr>
                <w:color w:val="000000" w:themeColor="text1"/>
                <w:szCs w:val="21"/>
                <w:highlight w:val="none"/>
                <w14:textFill>
                  <w14:solidFill>
                    <w14:schemeClr w14:val="tx1"/>
                  </w14:solidFill>
                </w14:textFill>
              </w:rPr>
              <w:t>（</w:t>
            </w:r>
            <w:r>
              <w:rPr>
                <w:rFonts w:hint="eastAsia"/>
                <w:color w:val="000000" w:themeColor="text1"/>
                <w:szCs w:val="21"/>
                <w:highlight w:val="none"/>
                <w:lang w:val="en-US" w:eastAsia="zh-CN"/>
                <w14:textFill>
                  <w14:solidFill>
                    <w14:schemeClr w14:val="tx1"/>
                  </w14:solidFill>
                </w14:textFill>
              </w:rPr>
              <w:t>DA014</w:t>
            </w:r>
            <w:r>
              <w:rPr>
                <w:color w:val="000000" w:themeColor="text1"/>
                <w:szCs w:val="21"/>
                <w:highlight w:val="none"/>
                <w14:textFill>
                  <w14:solidFill>
                    <w14:schemeClr w14:val="tx1"/>
                  </w14:solidFill>
                </w14:textFill>
              </w:rPr>
              <w:t>）</w:t>
            </w:r>
            <w:r>
              <w:rPr>
                <w:rFonts w:hint="eastAsia"/>
                <w:color w:val="000000" w:themeColor="text1"/>
                <w:szCs w:val="21"/>
                <w:highlight w:val="none"/>
                <w:lang w:eastAsia="zh-CN"/>
                <w14:textFill>
                  <w14:solidFill>
                    <w14:schemeClr w14:val="tx1"/>
                  </w14:solidFill>
                </w14:textFill>
              </w:rPr>
              <w:t>。</w:t>
            </w:r>
          </w:p>
        </w:tc>
        <w:tc>
          <w:tcPr>
            <w:tcW w:w="1799" w:type="dxa"/>
            <w:vMerge w:val="continue"/>
            <w:noWrap w:val="0"/>
            <w:vAlign w:val="center"/>
          </w:tcPr>
          <w:p w14:paraId="4B163B6E">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color w:val="000000" w:themeColor="text1"/>
                <w:szCs w:val="21"/>
                <w:highlight w:val="none"/>
                <w14:textFill>
                  <w14:solidFill>
                    <w14:schemeClr w14:val="tx1"/>
                  </w14:solidFill>
                </w14:textFill>
              </w:rPr>
            </w:pPr>
          </w:p>
        </w:tc>
      </w:tr>
      <w:tr w14:paraId="2A95CF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421" w:type="dxa"/>
            <w:vMerge w:val="continue"/>
            <w:noWrap w:val="0"/>
            <w:vAlign w:val="center"/>
          </w:tcPr>
          <w:p w14:paraId="099D62FA">
            <w:pPr>
              <w:adjustRightInd w:val="0"/>
              <w:snapToGrid w:val="0"/>
              <w:jc w:val="center"/>
              <w:rPr>
                <w:b/>
                <w:bCs/>
                <w:color w:val="000000" w:themeColor="text1"/>
                <w:szCs w:val="21"/>
                <w:highlight w:val="none"/>
                <w14:textFill>
                  <w14:solidFill>
                    <w14:schemeClr w14:val="tx1"/>
                  </w14:solidFill>
                </w14:textFill>
              </w:rPr>
            </w:pPr>
          </w:p>
        </w:tc>
        <w:tc>
          <w:tcPr>
            <w:tcW w:w="742" w:type="dxa"/>
            <w:vMerge w:val="continue"/>
            <w:noWrap w:val="0"/>
            <w:vAlign w:val="center"/>
          </w:tcPr>
          <w:p w14:paraId="3A88EE63">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color w:val="000000" w:themeColor="text1"/>
                <w:szCs w:val="21"/>
                <w:highlight w:val="none"/>
                <w14:textFill>
                  <w14:solidFill>
                    <w14:schemeClr w14:val="tx1"/>
                  </w14:solidFill>
                </w14:textFill>
              </w:rPr>
            </w:pPr>
          </w:p>
        </w:tc>
        <w:tc>
          <w:tcPr>
            <w:tcW w:w="1244" w:type="dxa"/>
            <w:noWrap w:val="0"/>
            <w:vAlign w:val="center"/>
          </w:tcPr>
          <w:p w14:paraId="63F6C43C">
            <w:pPr>
              <w:keepNext w:val="0"/>
              <w:keepLines w:val="0"/>
              <w:pageBreakBefore w:val="0"/>
              <w:widowControl w:val="0"/>
              <w:kinsoku/>
              <w:wordWrap/>
              <w:overflowPunct/>
              <w:topLinePunct w:val="0"/>
              <w:autoSpaceDE/>
              <w:autoSpaceDN/>
              <w:bidi w:val="0"/>
              <w:spacing w:line="240" w:lineRule="exact"/>
              <w:jc w:val="center"/>
              <w:textAlignment w:val="auto"/>
              <w:rPr>
                <w:rFonts w:hint="eastAsia"/>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石灰石</w:t>
            </w:r>
          </w:p>
          <w:p w14:paraId="1196D144">
            <w:pPr>
              <w:keepNext w:val="0"/>
              <w:keepLines w:val="0"/>
              <w:pageBreakBefore w:val="0"/>
              <w:widowControl w:val="0"/>
              <w:kinsoku/>
              <w:wordWrap/>
              <w:overflowPunct/>
              <w:topLinePunct w:val="0"/>
              <w:autoSpaceDE/>
              <w:autoSpaceDN/>
              <w:bidi w:val="0"/>
              <w:spacing w:line="240" w:lineRule="exact"/>
              <w:jc w:val="center"/>
              <w:textAlignment w:val="auto"/>
              <w:rPr>
                <w:rFonts w:hint="default"/>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粉仓</w:t>
            </w:r>
          </w:p>
        </w:tc>
        <w:tc>
          <w:tcPr>
            <w:tcW w:w="1104" w:type="dxa"/>
            <w:noWrap w:val="0"/>
            <w:vAlign w:val="center"/>
          </w:tcPr>
          <w:p w14:paraId="089503BC">
            <w:pPr>
              <w:keepNext w:val="0"/>
              <w:keepLines w:val="0"/>
              <w:pageBreakBefore w:val="0"/>
              <w:widowControl w:val="0"/>
              <w:kinsoku/>
              <w:wordWrap/>
              <w:overflowPunct/>
              <w:topLinePunct w:val="0"/>
              <w:autoSpaceDE/>
              <w:autoSpaceDN/>
              <w:bidi w:val="0"/>
              <w:spacing w:line="240" w:lineRule="exact"/>
              <w:jc w:val="center"/>
              <w:textAlignment w:val="auto"/>
              <w:rPr>
                <w:rFonts w:hint="eastAsia"/>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颗粒物</w:t>
            </w:r>
          </w:p>
        </w:tc>
        <w:tc>
          <w:tcPr>
            <w:tcW w:w="3497" w:type="dxa"/>
            <w:noWrap w:val="0"/>
            <w:vAlign w:val="center"/>
          </w:tcPr>
          <w:p w14:paraId="277B47EA">
            <w:pPr>
              <w:keepNext w:val="0"/>
              <w:keepLines w:val="0"/>
              <w:pageBreakBefore w:val="0"/>
              <w:widowControl w:val="0"/>
              <w:kinsoku/>
              <w:wordWrap/>
              <w:overflowPunct/>
              <w:topLinePunct w:val="0"/>
              <w:autoSpaceDE/>
              <w:autoSpaceDN/>
              <w:bidi w:val="0"/>
              <w:spacing w:line="240" w:lineRule="exact"/>
              <w:jc w:val="both"/>
              <w:textAlignment w:val="auto"/>
              <w:rPr>
                <w:rFonts w:hint="eastAsia"/>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通过“封闭设备+</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布袋除尘器（覆膜袋式）</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”处理后经1根</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18</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m</w:t>
            </w:r>
            <w:r>
              <w:rPr>
                <w:rFonts w:hint="eastAsia" w:cs="Times New Roman"/>
                <w:color w:val="000000" w:themeColor="text1"/>
                <w:sz w:val="24"/>
                <w:highlight w:val="none"/>
                <w:lang w:val="en-US" w:eastAsia="zh-CN"/>
                <w14:textFill>
                  <w14:solidFill>
                    <w14:schemeClr w14:val="tx1"/>
                  </w14:solidFill>
                </w14:textFill>
              </w:rPr>
              <w:t>高的</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（DA01</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5</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w:t>
            </w:r>
            <w:r>
              <w:rPr>
                <w:rFonts w:hint="eastAsia" w:cs="Times New Roman"/>
                <w:b w:val="0"/>
                <w:bCs w:val="0"/>
                <w:color w:val="000000" w:themeColor="text1"/>
                <w:sz w:val="21"/>
                <w:szCs w:val="21"/>
                <w:highlight w:val="none"/>
                <w:lang w:val="en-US" w:eastAsia="zh-CN"/>
                <w14:textFill>
                  <w14:solidFill>
                    <w14:schemeClr w14:val="tx1"/>
                  </w14:solidFill>
                </w14:textFill>
              </w:rPr>
              <w:t>排气口</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排放</w:t>
            </w:r>
            <w:r>
              <w:rPr>
                <w:rFonts w:hint="eastAsia" w:cs="Times New Roman"/>
                <w:b w:val="0"/>
                <w:bCs w:val="0"/>
                <w:color w:val="000000" w:themeColor="text1"/>
                <w:sz w:val="21"/>
                <w:szCs w:val="21"/>
                <w:highlight w:val="none"/>
                <w:lang w:val="en-US" w:eastAsia="zh-CN"/>
                <w14:textFill>
                  <w14:solidFill>
                    <w14:schemeClr w14:val="tx1"/>
                  </w14:solidFill>
                </w14:textFill>
              </w:rPr>
              <w:t>。</w:t>
            </w:r>
          </w:p>
        </w:tc>
        <w:tc>
          <w:tcPr>
            <w:tcW w:w="1799" w:type="dxa"/>
            <w:vMerge w:val="continue"/>
            <w:noWrap w:val="0"/>
            <w:vAlign w:val="center"/>
          </w:tcPr>
          <w:p w14:paraId="0142C9BE">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color w:val="000000" w:themeColor="text1"/>
                <w:szCs w:val="21"/>
                <w:highlight w:val="none"/>
                <w14:textFill>
                  <w14:solidFill>
                    <w14:schemeClr w14:val="tx1"/>
                  </w14:solidFill>
                </w14:textFill>
              </w:rPr>
            </w:pPr>
          </w:p>
        </w:tc>
      </w:tr>
      <w:tr w14:paraId="667A69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421" w:type="dxa"/>
            <w:vMerge w:val="continue"/>
            <w:noWrap w:val="0"/>
            <w:vAlign w:val="center"/>
          </w:tcPr>
          <w:p w14:paraId="299874B9">
            <w:pPr>
              <w:adjustRightInd w:val="0"/>
              <w:snapToGrid w:val="0"/>
              <w:jc w:val="center"/>
              <w:rPr>
                <w:b/>
                <w:bCs/>
                <w:color w:val="000000" w:themeColor="text1"/>
                <w:szCs w:val="21"/>
                <w:highlight w:val="none"/>
                <w14:textFill>
                  <w14:solidFill>
                    <w14:schemeClr w14:val="tx1"/>
                  </w14:solidFill>
                </w14:textFill>
              </w:rPr>
            </w:pPr>
          </w:p>
        </w:tc>
        <w:tc>
          <w:tcPr>
            <w:tcW w:w="742" w:type="dxa"/>
            <w:vMerge w:val="continue"/>
            <w:noWrap w:val="0"/>
            <w:vAlign w:val="center"/>
          </w:tcPr>
          <w:p w14:paraId="36BD7F9D">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color w:val="000000" w:themeColor="text1"/>
                <w:szCs w:val="21"/>
                <w:highlight w:val="none"/>
                <w14:textFill>
                  <w14:solidFill>
                    <w14:schemeClr w14:val="tx1"/>
                  </w14:solidFill>
                </w14:textFill>
              </w:rPr>
            </w:pPr>
          </w:p>
        </w:tc>
        <w:tc>
          <w:tcPr>
            <w:tcW w:w="1244" w:type="dxa"/>
            <w:noWrap w:val="0"/>
            <w:vAlign w:val="center"/>
          </w:tcPr>
          <w:p w14:paraId="765C5A5A">
            <w:pPr>
              <w:keepNext w:val="0"/>
              <w:keepLines w:val="0"/>
              <w:pageBreakBefore w:val="0"/>
              <w:widowControl w:val="0"/>
              <w:kinsoku/>
              <w:wordWrap/>
              <w:overflowPunct/>
              <w:topLinePunct w:val="0"/>
              <w:autoSpaceDE/>
              <w:autoSpaceDN/>
              <w:bidi w:val="0"/>
              <w:spacing w:line="240" w:lineRule="exact"/>
              <w:jc w:val="center"/>
              <w:textAlignment w:val="auto"/>
              <w:rPr>
                <w:color w:val="000000" w:themeColor="text1"/>
                <w:szCs w:val="21"/>
                <w:highlight w:val="none"/>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成品库堆棚</w:t>
            </w:r>
          </w:p>
        </w:tc>
        <w:tc>
          <w:tcPr>
            <w:tcW w:w="1104" w:type="dxa"/>
            <w:noWrap w:val="0"/>
            <w:vAlign w:val="center"/>
          </w:tcPr>
          <w:p w14:paraId="332C9C8B">
            <w:pPr>
              <w:keepNext w:val="0"/>
              <w:keepLines w:val="0"/>
              <w:pageBreakBefore w:val="0"/>
              <w:widowControl w:val="0"/>
              <w:kinsoku/>
              <w:wordWrap/>
              <w:overflowPunct/>
              <w:topLinePunct w:val="0"/>
              <w:autoSpaceDE/>
              <w:autoSpaceDN/>
              <w:bidi w:val="0"/>
              <w:spacing w:line="240" w:lineRule="exact"/>
              <w:jc w:val="center"/>
              <w:textAlignment w:val="auto"/>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颗粒物</w:t>
            </w:r>
          </w:p>
        </w:tc>
        <w:tc>
          <w:tcPr>
            <w:tcW w:w="3497" w:type="dxa"/>
            <w:noWrap w:val="0"/>
            <w:vAlign w:val="center"/>
          </w:tcPr>
          <w:p w14:paraId="432D4435">
            <w:pPr>
              <w:keepNext w:val="0"/>
              <w:keepLines w:val="0"/>
              <w:pageBreakBefore w:val="0"/>
              <w:widowControl w:val="0"/>
              <w:kinsoku/>
              <w:wordWrap/>
              <w:overflowPunct/>
              <w:topLinePunct w:val="0"/>
              <w:autoSpaceDE/>
              <w:autoSpaceDN/>
              <w:bidi w:val="0"/>
              <w:spacing w:line="240" w:lineRule="exact"/>
              <w:jc w:val="both"/>
              <w:textAlignment w:val="auto"/>
              <w:rPr>
                <w:rFonts w:hint="eastAsia" w:eastAsia="宋体"/>
                <w:color w:val="000000" w:themeColor="text1"/>
                <w:szCs w:val="21"/>
                <w:highlight w:val="none"/>
                <w:lang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2764</w:t>
            </w:r>
            <w:r>
              <w:rPr>
                <w:rFonts w:hint="eastAsia"/>
                <w:color w:val="000000" w:themeColor="text1"/>
                <w:szCs w:val="21"/>
                <w:highlight w:val="none"/>
                <w14:textFill>
                  <w14:solidFill>
                    <w14:schemeClr w14:val="tx1"/>
                  </w14:solidFill>
                </w14:textFill>
              </w:rPr>
              <w:t>m</w:t>
            </w:r>
            <w:r>
              <w:rPr>
                <w:rFonts w:hint="eastAsia"/>
                <w:color w:val="000000" w:themeColor="text1"/>
                <w:szCs w:val="21"/>
                <w:highlight w:val="none"/>
                <w:vertAlign w:val="superscript"/>
                <w14:textFill>
                  <w14:solidFill>
                    <w14:schemeClr w14:val="tx1"/>
                  </w14:solidFill>
                </w14:textFill>
              </w:rPr>
              <w:t>2</w:t>
            </w:r>
            <w:r>
              <w:rPr>
                <w:color w:val="000000" w:themeColor="text1"/>
                <w:szCs w:val="21"/>
                <w:highlight w:val="none"/>
                <w14:textFill>
                  <w14:solidFill>
                    <w14:schemeClr w14:val="tx1"/>
                  </w14:solidFill>
                </w14:textFill>
              </w:rPr>
              <w:t>全</w:t>
            </w:r>
            <w:r>
              <w:rPr>
                <w:rFonts w:hint="eastAsia"/>
                <w:color w:val="000000" w:themeColor="text1"/>
                <w:szCs w:val="21"/>
                <w:highlight w:val="none"/>
                <w14:textFill>
                  <w14:solidFill>
                    <w14:schemeClr w14:val="tx1"/>
                  </w14:solidFill>
                </w14:textFill>
              </w:rPr>
              <w:t>封闭</w:t>
            </w:r>
            <w:r>
              <w:rPr>
                <w:rFonts w:hint="eastAsia"/>
                <w:color w:val="000000" w:themeColor="text1"/>
                <w:szCs w:val="21"/>
                <w:highlight w:val="none"/>
                <w:lang w:val="en-US" w:eastAsia="zh-CN"/>
                <w14:textFill>
                  <w14:solidFill>
                    <w14:schemeClr w14:val="tx1"/>
                  </w14:solidFill>
                </w14:textFill>
              </w:rPr>
              <w:t>堆棚</w:t>
            </w:r>
            <w:r>
              <w:rPr>
                <w:rFonts w:hint="eastAsia" w:ascii="Times New Roman" w:hAnsi="Times New Roman" w:cs="Times New Roman"/>
                <w:color w:val="000000" w:themeColor="text1"/>
                <w:szCs w:val="21"/>
                <w:highlight w:val="none"/>
                <w:lang w:val="en-US" w:eastAsia="zh-CN"/>
                <w14:textFill>
                  <w14:solidFill>
                    <w14:schemeClr w14:val="tx1"/>
                  </w14:solidFill>
                </w14:textFill>
              </w:rPr>
              <w:t>内设置5个成品仓，9条包装生产线</w:t>
            </w:r>
            <w:r>
              <w:rPr>
                <w:rFonts w:hint="default" w:ascii="Times New Roman" w:hAnsi="Times New Roman" w:cs="Times New Roman"/>
                <w:color w:val="000000" w:themeColor="text1"/>
                <w:szCs w:val="21"/>
                <w:highlight w:val="none"/>
                <w14:textFill>
                  <w14:solidFill>
                    <w14:schemeClr w14:val="tx1"/>
                  </w14:solidFill>
                </w14:textFill>
              </w:rPr>
              <w:t>。</w:t>
            </w:r>
          </w:p>
        </w:tc>
        <w:tc>
          <w:tcPr>
            <w:tcW w:w="1799" w:type="dxa"/>
            <w:vMerge w:val="continue"/>
            <w:noWrap w:val="0"/>
            <w:vAlign w:val="center"/>
          </w:tcPr>
          <w:p w14:paraId="5BD71644">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color w:val="000000" w:themeColor="text1"/>
                <w:szCs w:val="21"/>
                <w:highlight w:val="none"/>
                <w14:textFill>
                  <w14:solidFill>
                    <w14:schemeClr w14:val="tx1"/>
                  </w14:solidFill>
                </w14:textFill>
              </w:rPr>
            </w:pPr>
          </w:p>
        </w:tc>
      </w:tr>
      <w:tr w14:paraId="1DC2DF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421" w:type="dxa"/>
            <w:vMerge w:val="restart"/>
            <w:noWrap w:val="0"/>
            <w:vAlign w:val="center"/>
          </w:tcPr>
          <w:p w14:paraId="75B457DA">
            <w:pPr>
              <w:adjustRightInd w:val="0"/>
              <w:snapToGrid w:val="0"/>
              <w:spacing w:line="240" w:lineRule="exact"/>
              <w:jc w:val="center"/>
              <w:rPr>
                <w:b/>
                <w:bCs/>
                <w:color w:val="000000" w:themeColor="text1"/>
                <w:szCs w:val="21"/>
                <w:highlight w:val="none"/>
                <w14:textFill>
                  <w14:solidFill>
                    <w14:schemeClr w14:val="tx1"/>
                  </w14:solidFill>
                </w14:textFill>
              </w:rPr>
            </w:pPr>
            <w:r>
              <w:rPr>
                <w:b/>
                <w:bCs/>
                <w:color w:val="000000" w:themeColor="text1"/>
                <w:szCs w:val="21"/>
                <w:highlight w:val="none"/>
                <w14:textFill>
                  <w14:solidFill>
                    <w14:schemeClr w14:val="tx1"/>
                  </w14:solidFill>
                </w14:textFill>
              </w:rPr>
              <w:t>地表水环境</w:t>
            </w:r>
          </w:p>
        </w:tc>
        <w:tc>
          <w:tcPr>
            <w:tcW w:w="742" w:type="dxa"/>
            <w:noWrap w:val="0"/>
            <w:vAlign w:val="center"/>
          </w:tcPr>
          <w:p w14:paraId="0D418735">
            <w:pPr>
              <w:keepNext w:val="0"/>
              <w:keepLines w:val="0"/>
              <w:pageBreakBefore w:val="0"/>
              <w:widowControl w:val="0"/>
              <w:kinsoku/>
              <w:wordWrap/>
              <w:overflowPunct/>
              <w:topLinePunct w:val="0"/>
              <w:autoSpaceDE/>
              <w:autoSpaceDN/>
              <w:bidi w:val="0"/>
              <w:spacing w:line="240" w:lineRule="exact"/>
              <w:jc w:val="center"/>
              <w:textAlignment w:val="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施工期</w:t>
            </w:r>
          </w:p>
        </w:tc>
        <w:tc>
          <w:tcPr>
            <w:tcW w:w="1244" w:type="dxa"/>
            <w:noWrap w:val="0"/>
            <w:vAlign w:val="center"/>
          </w:tcPr>
          <w:p w14:paraId="404C3351">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施工废水</w:t>
            </w:r>
          </w:p>
        </w:tc>
        <w:tc>
          <w:tcPr>
            <w:tcW w:w="1104" w:type="dxa"/>
            <w:noWrap w:val="0"/>
            <w:vAlign w:val="center"/>
          </w:tcPr>
          <w:p w14:paraId="6BF91B3C">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SS</w:t>
            </w:r>
          </w:p>
        </w:tc>
        <w:tc>
          <w:tcPr>
            <w:tcW w:w="3497" w:type="dxa"/>
            <w:noWrap w:val="0"/>
            <w:vAlign w:val="center"/>
          </w:tcPr>
          <w:p w14:paraId="132124D9">
            <w:pPr>
              <w:keepNext w:val="0"/>
              <w:keepLines w:val="0"/>
              <w:pageBreakBefore w:val="0"/>
              <w:widowControl w:val="0"/>
              <w:kinsoku/>
              <w:wordWrap/>
              <w:overflowPunct/>
              <w:topLinePunct w:val="0"/>
              <w:autoSpaceDE/>
              <w:autoSpaceDN/>
              <w:bidi w:val="0"/>
              <w:adjustRightInd w:val="0"/>
              <w:snapToGrid w:val="0"/>
              <w:spacing w:line="240" w:lineRule="exact"/>
              <w:jc w:val="both"/>
              <w:textAlignment w:val="auto"/>
              <w:rPr>
                <w:color w:val="000000" w:themeColor="text1"/>
                <w:szCs w:val="21"/>
                <w:highlight w:val="none"/>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施工废水沉淀后用于场地洒水抑尘。</w:t>
            </w:r>
          </w:p>
        </w:tc>
        <w:tc>
          <w:tcPr>
            <w:tcW w:w="1799" w:type="dxa"/>
            <w:noWrap w:val="0"/>
            <w:vAlign w:val="center"/>
          </w:tcPr>
          <w:p w14:paraId="15D7D1B1">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w:t>
            </w:r>
          </w:p>
        </w:tc>
      </w:tr>
      <w:tr w14:paraId="662077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421" w:type="dxa"/>
            <w:vMerge w:val="continue"/>
            <w:noWrap w:val="0"/>
            <w:vAlign w:val="center"/>
          </w:tcPr>
          <w:p w14:paraId="5FD4A98A">
            <w:pPr>
              <w:adjustRightInd w:val="0"/>
              <w:snapToGrid w:val="0"/>
              <w:spacing w:line="240" w:lineRule="exact"/>
              <w:rPr>
                <w:color w:val="000000" w:themeColor="text1"/>
                <w:szCs w:val="21"/>
                <w:highlight w:val="none"/>
                <w14:textFill>
                  <w14:solidFill>
                    <w14:schemeClr w14:val="tx1"/>
                  </w14:solidFill>
                </w14:textFill>
              </w:rPr>
            </w:pPr>
          </w:p>
        </w:tc>
        <w:tc>
          <w:tcPr>
            <w:tcW w:w="742" w:type="dxa"/>
            <w:vMerge w:val="restart"/>
            <w:noWrap w:val="0"/>
            <w:vAlign w:val="center"/>
          </w:tcPr>
          <w:p w14:paraId="280045DD">
            <w:pPr>
              <w:keepNext w:val="0"/>
              <w:keepLines w:val="0"/>
              <w:pageBreakBefore w:val="0"/>
              <w:widowControl w:val="0"/>
              <w:kinsoku/>
              <w:wordWrap/>
              <w:overflowPunct/>
              <w:topLinePunct w:val="0"/>
              <w:autoSpaceDE/>
              <w:autoSpaceDN/>
              <w:bidi w:val="0"/>
              <w:spacing w:line="240" w:lineRule="exact"/>
              <w:jc w:val="center"/>
              <w:textAlignment w:val="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运营期</w:t>
            </w:r>
          </w:p>
        </w:tc>
        <w:tc>
          <w:tcPr>
            <w:tcW w:w="1244" w:type="dxa"/>
            <w:vMerge w:val="restart"/>
            <w:noWrap w:val="0"/>
            <w:vAlign w:val="center"/>
          </w:tcPr>
          <w:p w14:paraId="289030C0">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生活污水</w:t>
            </w:r>
          </w:p>
        </w:tc>
        <w:tc>
          <w:tcPr>
            <w:tcW w:w="1104" w:type="dxa"/>
            <w:noWrap w:val="0"/>
            <w:vAlign w:val="center"/>
          </w:tcPr>
          <w:p w14:paraId="7B83CDD5">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color w:val="000000" w:themeColor="text1"/>
                <w:szCs w:val="21"/>
                <w:highlight w:val="none"/>
                <w:lang w:bidi="ar"/>
                <w14:textFill>
                  <w14:solidFill>
                    <w14:schemeClr w14:val="tx1"/>
                  </w14:solidFill>
                </w14:textFill>
              </w:rPr>
            </w:pPr>
            <w:r>
              <w:rPr>
                <w:color w:val="000000" w:themeColor="text1"/>
                <w:szCs w:val="21"/>
                <w:highlight w:val="none"/>
                <w14:textFill>
                  <w14:solidFill>
                    <w14:schemeClr w14:val="tx1"/>
                  </w14:solidFill>
                </w14:textFill>
              </w:rPr>
              <w:t>COD</w:t>
            </w:r>
          </w:p>
        </w:tc>
        <w:tc>
          <w:tcPr>
            <w:tcW w:w="3497" w:type="dxa"/>
            <w:vMerge w:val="restart"/>
            <w:noWrap w:val="0"/>
            <w:vAlign w:val="center"/>
          </w:tcPr>
          <w:p w14:paraId="42480B7E">
            <w:pPr>
              <w:adjustRightInd w:val="0"/>
              <w:snapToGrid w:val="0"/>
              <w:jc w:val="both"/>
              <w:rPr>
                <w:rFonts w:hint="default" w:ascii="Times New Roman" w:hAnsi="Times New Roman" w:cs="Times New Roman"/>
                <w:color w:val="000000" w:themeColor="text1"/>
                <w:szCs w:val="21"/>
                <w:highlight w:val="none"/>
                <w:lang w:val="en-US" w:eastAsia="zh-CN"/>
                <w14:textFill>
                  <w14:solidFill>
                    <w14:schemeClr w14:val="tx1"/>
                  </w14:solidFill>
                </w14:textFill>
              </w:rPr>
            </w:pPr>
            <w:r>
              <w:rPr>
                <w:rFonts w:hint="eastAsia" w:ascii="Times New Roman" w:hAnsi="Times New Roman" w:cs="Times New Roman"/>
                <w:color w:val="000000" w:themeColor="text1"/>
                <w:szCs w:val="21"/>
                <w:highlight w:val="none"/>
                <w:lang w:val="en-US" w:eastAsia="zh-CN"/>
                <w14:textFill>
                  <w14:solidFill>
                    <w14:schemeClr w14:val="tx1"/>
                  </w14:solidFill>
                </w14:textFill>
              </w:rPr>
              <w:t>防渗化粪池收集后通过罐车拉运至园区污水处理厂处理。</w:t>
            </w:r>
          </w:p>
        </w:tc>
        <w:tc>
          <w:tcPr>
            <w:tcW w:w="1799" w:type="dxa"/>
            <w:vMerge w:val="restart"/>
            <w:noWrap w:val="0"/>
            <w:vAlign w:val="center"/>
          </w:tcPr>
          <w:p w14:paraId="466D1FE6">
            <w:pPr>
              <w:keepNext w:val="0"/>
              <w:keepLines w:val="0"/>
              <w:pageBreakBefore w:val="0"/>
              <w:widowControl w:val="0"/>
              <w:kinsoku/>
              <w:wordWrap/>
              <w:overflowPunct/>
              <w:topLinePunct w:val="0"/>
              <w:autoSpaceDE/>
              <w:autoSpaceDN/>
              <w:bidi w:val="0"/>
              <w:adjustRightInd w:val="0"/>
              <w:snapToGrid w:val="0"/>
              <w:spacing w:line="240" w:lineRule="exact"/>
              <w:jc w:val="both"/>
              <w:textAlignment w:val="auto"/>
              <w:rPr>
                <w:color w:val="000000" w:themeColor="text1"/>
                <w:szCs w:val="21"/>
                <w:highlight w:val="none"/>
                <w14:textFill>
                  <w14:solidFill>
                    <w14:schemeClr w14:val="tx1"/>
                  </w14:solidFill>
                </w14:textFill>
              </w:rPr>
            </w:pPr>
            <w:r>
              <w:rPr>
                <w:rFonts w:hint="default"/>
                <w:color w:val="000000" w:themeColor="text1"/>
                <w:szCs w:val="21"/>
                <w:highlight w:val="none"/>
                <w:lang w:val="en-US" w:eastAsia="zh-CN"/>
                <w14:textFill>
                  <w14:solidFill>
                    <w14:schemeClr w14:val="tx1"/>
                  </w14:solidFill>
                </w14:textFill>
              </w:rPr>
              <w:t>污水处理厂废水水质接纳标准</w:t>
            </w:r>
            <w:r>
              <w:rPr>
                <w:rFonts w:hint="eastAsia"/>
                <w:color w:val="000000" w:themeColor="text1"/>
                <w:szCs w:val="21"/>
                <w:highlight w:val="none"/>
                <w:lang w:val="en-US" w:eastAsia="zh-CN"/>
                <w14:textFill>
                  <w14:solidFill>
                    <w14:schemeClr w14:val="tx1"/>
                  </w14:solidFill>
                </w14:textFill>
              </w:rPr>
              <w:t>，详见4-18</w:t>
            </w:r>
          </w:p>
        </w:tc>
      </w:tr>
      <w:tr w14:paraId="6D119A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421" w:type="dxa"/>
            <w:vMerge w:val="continue"/>
            <w:noWrap w:val="0"/>
            <w:vAlign w:val="center"/>
          </w:tcPr>
          <w:p w14:paraId="0D488E4B">
            <w:pPr>
              <w:adjustRightInd w:val="0"/>
              <w:snapToGrid w:val="0"/>
              <w:spacing w:line="240" w:lineRule="exact"/>
              <w:rPr>
                <w:color w:val="000000" w:themeColor="text1"/>
                <w:szCs w:val="21"/>
                <w:highlight w:val="none"/>
                <w14:textFill>
                  <w14:solidFill>
                    <w14:schemeClr w14:val="tx1"/>
                  </w14:solidFill>
                </w14:textFill>
              </w:rPr>
            </w:pPr>
          </w:p>
        </w:tc>
        <w:tc>
          <w:tcPr>
            <w:tcW w:w="742" w:type="dxa"/>
            <w:vMerge w:val="continue"/>
            <w:noWrap w:val="0"/>
            <w:vAlign w:val="center"/>
          </w:tcPr>
          <w:p w14:paraId="10924ADC">
            <w:pPr>
              <w:keepNext w:val="0"/>
              <w:keepLines w:val="0"/>
              <w:pageBreakBefore w:val="0"/>
              <w:widowControl w:val="0"/>
              <w:kinsoku/>
              <w:wordWrap/>
              <w:overflowPunct/>
              <w:topLinePunct w:val="0"/>
              <w:autoSpaceDE/>
              <w:autoSpaceDN/>
              <w:bidi w:val="0"/>
              <w:spacing w:line="240" w:lineRule="exact"/>
              <w:jc w:val="center"/>
              <w:textAlignment w:val="auto"/>
              <w:rPr>
                <w:color w:val="000000" w:themeColor="text1"/>
                <w:szCs w:val="21"/>
                <w:highlight w:val="none"/>
                <w14:textFill>
                  <w14:solidFill>
                    <w14:schemeClr w14:val="tx1"/>
                  </w14:solidFill>
                </w14:textFill>
              </w:rPr>
            </w:pPr>
          </w:p>
        </w:tc>
        <w:tc>
          <w:tcPr>
            <w:tcW w:w="1244" w:type="dxa"/>
            <w:vMerge w:val="continue"/>
            <w:noWrap w:val="0"/>
            <w:vAlign w:val="center"/>
          </w:tcPr>
          <w:p w14:paraId="5E49B8BD">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color w:val="000000" w:themeColor="text1"/>
                <w:szCs w:val="21"/>
                <w:highlight w:val="none"/>
                <w14:textFill>
                  <w14:solidFill>
                    <w14:schemeClr w14:val="tx1"/>
                  </w14:solidFill>
                </w14:textFill>
              </w:rPr>
            </w:pPr>
          </w:p>
        </w:tc>
        <w:tc>
          <w:tcPr>
            <w:tcW w:w="1104" w:type="dxa"/>
            <w:noWrap w:val="0"/>
            <w:vAlign w:val="center"/>
          </w:tcPr>
          <w:p w14:paraId="5FDA4B4D">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氨氮</w:t>
            </w:r>
          </w:p>
        </w:tc>
        <w:tc>
          <w:tcPr>
            <w:tcW w:w="3497" w:type="dxa"/>
            <w:vMerge w:val="continue"/>
            <w:noWrap w:val="0"/>
            <w:vAlign w:val="center"/>
          </w:tcPr>
          <w:p w14:paraId="33A6D800">
            <w:pPr>
              <w:adjustRightInd w:val="0"/>
              <w:snapToGrid w:val="0"/>
              <w:jc w:val="both"/>
              <w:rPr>
                <w:rFonts w:hint="eastAsia" w:ascii="Times New Roman" w:hAnsi="Times New Roman" w:cs="Times New Roman"/>
                <w:color w:val="000000" w:themeColor="text1"/>
                <w:szCs w:val="21"/>
                <w:highlight w:val="none"/>
                <w:lang w:val="en-US" w:eastAsia="zh-CN"/>
                <w14:textFill>
                  <w14:solidFill>
                    <w14:schemeClr w14:val="tx1"/>
                  </w14:solidFill>
                </w14:textFill>
              </w:rPr>
            </w:pPr>
          </w:p>
        </w:tc>
        <w:tc>
          <w:tcPr>
            <w:tcW w:w="1799" w:type="dxa"/>
            <w:vMerge w:val="continue"/>
            <w:noWrap w:val="0"/>
            <w:vAlign w:val="center"/>
          </w:tcPr>
          <w:p w14:paraId="6B507884">
            <w:pPr>
              <w:keepNext w:val="0"/>
              <w:keepLines w:val="0"/>
              <w:pageBreakBefore w:val="0"/>
              <w:widowControl w:val="0"/>
              <w:kinsoku/>
              <w:wordWrap/>
              <w:overflowPunct/>
              <w:topLinePunct w:val="0"/>
              <w:autoSpaceDE/>
              <w:autoSpaceDN/>
              <w:bidi w:val="0"/>
              <w:adjustRightInd w:val="0"/>
              <w:snapToGrid w:val="0"/>
              <w:spacing w:line="240" w:lineRule="exact"/>
              <w:jc w:val="both"/>
              <w:textAlignment w:val="auto"/>
              <w:rPr>
                <w:rFonts w:hint="eastAsia"/>
                <w:color w:val="000000" w:themeColor="text1"/>
                <w:szCs w:val="21"/>
                <w:highlight w:val="none"/>
                <w14:textFill>
                  <w14:solidFill>
                    <w14:schemeClr w14:val="tx1"/>
                  </w14:solidFill>
                </w14:textFill>
              </w:rPr>
            </w:pPr>
          </w:p>
        </w:tc>
      </w:tr>
      <w:tr w14:paraId="3BBFED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421" w:type="dxa"/>
            <w:vMerge w:val="continue"/>
            <w:noWrap w:val="0"/>
            <w:vAlign w:val="center"/>
          </w:tcPr>
          <w:p w14:paraId="361E01DC">
            <w:pPr>
              <w:adjustRightInd w:val="0"/>
              <w:snapToGrid w:val="0"/>
              <w:spacing w:line="240" w:lineRule="exact"/>
              <w:rPr>
                <w:color w:val="000000" w:themeColor="text1"/>
                <w:szCs w:val="21"/>
                <w:highlight w:val="none"/>
                <w14:textFill>
                  <w14:solidFill>
                    <w14:schemeClr w14:val="tx1"/>
                  </w14:solidFill>
                </w14:textFill>
              </w:rPr>
            </w:pPr>
          </w:p>
        </w:tc>
        <w:tc>
          <w:tcPr>
            <w:tcW w:w="742" w:type="dxa"/>
            <w:vMerge w:val="continue"/>
            <w:noWrap w:val="0"/>
            <w:vAlign w:val="center"/>
          </w:tcPr>
          <w:p w14:paraId="1551A61A">
            <w:pPr>
              <w:keepNext w:val="0"/>
              <w:keepLines w:val="0"/>
              <w:pageBreakBefore w:val="0"/>
              <w:widowControl w:val="0"/>
              <w:kinsoku/>
              <w:wordWrap/>
              <w:overflowPunct/>
              <w:topLinePunct w:val="0"/>
              <w:autoSpaceDE/>
              <w:autoSpaceDN/>
              <w:bidi w:val="0"/>
              <w:spacing w:line="240" w:lineRule="exact"/>
              <w:jc w:val="center"/>
              <w:textAlignment w:val="auto"/>
              <w:rPr>
                <w:color w:val="000000" w:themeColor="text1"/>
                <w:szCs w:val="21"/>
                <w:highlight w:val="none"/>
                <w14:textFill>
                  <w14:solidFill>
                    <w14:schemeClr w14:val="tx1"/>
                  </w14:solidFill>
                </w14:textFill>
              </w:rPr>
            </w:pPr>
          </w:p>
        </w:tc>
        <w:tc>
          <w:tcPr>
            <w:tcW w:w="1244" w:type="dxa"/>
            <w:noWrap w:val="0"/>
            <w:vAlign w:val="center"/>
          </w:tcPr>
          <w:p w14:paraId="0A4300DF">
            <w:pPr>
              <w:adjustRightInd w:val="0"/>
              <w:snapToGrid w:val="0"/>
              <w:jc w:val="both"/>
              <w:rPr>
                <w:rFonts w:hint="default" w:ascii="Times New Roman" w:hAnsi="Times New Roman" w:cs="Times New Roman"/>
                <w:color w:val="000000" w:themeColor="text1"/>
                <w:szCs w:val="21"/>
                <w:highlight w:val="none"/>
                <w:lang w:val="en-US" w:eastAsia="zh-CN"/>
                <w14:textFill>
                  <w14:solidFill>
                    <w14:schemeClr w14:val="tx1"/>
                  </w14:solidFill>
                </w14:textFill>
              </w:rPr>
            </w:pPr>
            <w:r>
              <w:rPr>
                <w:rFonts w:hint="eastAsia" w:cs="Times New Roman"/>
                <w:color w:val="000000" w:themeColor="text1"/>
                <w:szCs w:val="21"/>
                <w:highlight w:val="none"/>
                <w:lang w:val="en-US" w:eastAsia="zh-CN"/>
                <w14:textFill>
                  <w14:solidFill>
                    <w14:schemeClr w14:val="tx1"/>
                  </w14:solidFill>
                </w14:textFill>
              </w:rPr>
              <w:t>冷却水排水</w:t>
            </w:r>
          </w:p>
        </w:tc>
        <w:tc>
          <w:tcPr>
            <w:tcW w:w="1104" w:type="dxa"/>
            <w:noWrap w:val="0"/>
            <w:vAlign w:val="center"/>
          </w:tcPr>
          <w:p w14:paraId="0B216F84">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w:t>
            </w:r>
          </w:p>
        </w:tc>
        <w:tc>
          <w:tcPr>
            <w:tcW w:w="3497" w:type="dxa"/>
            <w:noWrap w:val="0"/>
            <w:vAlign w:val="center"/>
          </w:tcPr>
          <w:p w14:paraId="5D3591BE">
            <w:pPr>
              <w:adjustRightInd w:val="0"/>
              <w:snapToGrid w:val="0"/>
              <w:jc w:val="both"/>
              <w:rPr>
                <w:rFonts w:hint="default" w:ascii="Times New Roman" w:hAnsi="Times New Roman" w:cs="Times New Roman"/>
                <w:color w:val="000000" w:themeColor="text1"/>
                <w:szCs w:val="21"/>
                <w:highlight w:val="none"/>
                <w:lang w:val="en-US" w:eastAsia="zh-CN"/>
                <w14:textFill>
                  <w14:solidFill>
                    <w14:schemeClr w14:val="tx1"/>
                  </w14:solidFill>
                </w14:textFill>
              </w:rPr>
            </w:pPr>
            <w:r>
              <w:rPr>
                <w:rFonts w:hint="eastAsia" w:ascii="Times New Roman" w:hAnsi="Times New Roman" w:cs="Times New Roman"/>
                <w:color w:val="000000" w:themeColor="text1"/>
                <w:szCs w:val="21"/>
                <w:highlight w:val="none"/>
                <w:lang w:val="en-US" w:eastAsia="zh-CN"/>
                <w14:textFill>
                  <w14:solidFill>
                    <w14:schemeClr w14:val="tx1"/>
                  </w14:solidFill>
                </w14:textFill>
              </w:rPr>
              <w:t>项目循环冷却水系统排水</w:t>
            </w:r>
            <w:r>
              <w:rPr>
                <w:rFonts w:hint="default" w:ascii="Times New Roman" w:hAnsi="Times New Roman" w:cs="Times New Roman"/>
                <w:color w:val="000000" w:themeColor="text1"/>
                <w:szCs w:val="21"/>
                <w:highlight w:val="none"/>
                <w:lang w:val="en-US" w:eastAsia="zh-CN"/>
                <w14:textFill>
                  <w14:solidFill>
                    <w14:schemeClr w14:val="tx1"/>
                  </w14:solidFill>
                </w14:textFill>
              </w:rPr>
              <w:t>通过罐车拉运至污水处理厂</w:t>
            </w:r>
            <w:r>
              <w:rPr>
                <w:rFonts w:hint="eastAsia" w:ascii="Times New Roman" w:hAnsi="Times New Roman" w:cs="Times New Roman"/>
                <w:color w:val="000000" w:themeColor="text1"/>
                <w:szCs w:val="21"/>
                <w:highlight w:val="none"/>
                <w:lang w:val="en-US" w:eastAsia="zh-CN"/>
                <w14:textFill>
                  <w14:solidFill>
                    <w14:schemeClr w14:val="tx1"/>
                  </w14:solidFill>
                </w14:textFill>
              </w:rPr>
              <w:t>。</w:t>
            </w:r>
          </w:p>
        </w:tc>
        <w:tc>
          <w:tcPr>
            <w:tcW w:w="1799" w:type="dxa"/>
            <w:vMerge w:val="continue"/>
            <w:noWrap w:val="0"/>
            <w:vAlign w:val="center"/>
          </w:tcPr>
          <w:p w14:paraId="2B4B0C70">
            <w:pPr>
              <w:keepNext w:val="0"/>
              <w:keepLines w:val="0"/>
              <w:pageBreakBefore w:val="0"/>
              <w:widowControl w:val="0"/>
              <w:kinsoku/>
              <w:wordWrap/>
              <w:overflowPunct/>
              <w:topLinePunct w:val="0"/>
              <w:autoSpaceDE/>
              <w:autoSpaceDN/>
              <w:bidi w:val="0"/>
              <w:adjustRightInd w:val="0"/>
              <w:snapToGrid w:val="0"/>
              <w:spacing w:line="240" w:lineRule="exact"/>
              <w:jc w:val="both"/>
              <w:textAlignment w:val="auto"/>
              <w:rPr>
                <w:color w:val="000000" w:themeColor="text1"/>
                <w:szCs w:val="21"/>
                <w:highlight w:val="none"/>
                <w14:textFill>
                  <w14:solidFill>
                    <w14:schemeClr w14:val="tx1"/>
                  </w14:solidFill>
                </w14:textFill>
              </w:rPr>
            </w:pPr>
          </w:p>
        </w:tc>
      </w:tr>
      <w:tr w14:paraId="4A32D6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421" w:type="dxa"/>
            <w:vMerge w:val="continue"/>
            <w:noWrap w:val="0"/>
            <w:vAlign w:val="center"/>
          </w:tcPr>
          <w:p w14:paraId="626F9618">
            <w:pPr>
              <w:adjustRightInd w:val="0"/>
              <w:snapToGrid w:val="0"/>
              <w:spacing w:line="240" w:lineRule="exact"/>
              <w:rPr>
                <w:color w:val="000000" w:themeColor="text1"/>
                <w:szCs w:val="21"/>
                <w:highlight w:val="none"/>
                <w14:textFill>
                  <w14:solidFill>
                    <w14:schemeClr w14:val="tx1"/>
                  </w14:solidFill>
                </w14:textFill>
              </w:rPr>
            </w:pPr>
          </w:p>
        </w:tc>
        <w:tc>
          <w:tcPr>
            <w:tcW w:w="742" w:type="dxa"/>
            <w:vMerge w:val="continue"/>
            <w:noWrap w:val="0"/>
            <w:vAlign w:val="center"/>
          </w:tcPr>
          <w:p w14:paraId="33C913BA">
            <w:pPr>
              <w:keepNext w:val="0"/>
              <w:keepLines w:val="0"/>
              <w:pageBreakBefore w:val="0"/>
              <w:widowControl w:val="0"/>
              <w:kinsoku/>
              <w:wordWrap/>
              <w:overflowPunct/>
              <w:topLinePunct w:val="0"/>
              <w:autoSpaceDE/>
              <w:autoSpaceDN/>
              <w:bidi w:val="0"/>
              <w:spacing w:line="240" w:lineRule="exact"/>
              <w:jc w:val="center"/>
              <w:textAlignment w:val="auto"/>
              <w:rPr>
                <w:color w:val="000000" w:themeColor="text1"/>
                <w:szCs w:val="21"/>
                <w:highlight w:val="none"/>
                <w14:textFill>
                  <w14:solidFill>
                    <w14:schemeClr w14:val="tx1"/>
                  </w14:solidFill>
                </w14:textFill>
              </w:rPr>
            </w:pPr>
          </w:p>
        </w:tc>
        <w:tc>
          <w:tcPr>
            <w:tcW w:w="1244" w:type="dxa"/>
            <w:noWrap w:val="0"/>
            <w:vAlign w:val="center"/>
          </w:tcPr>
          <w:p w14:paraId="5EC5A7CD">
            <w:pPr>
              <w:adjustRightInd w:val="0"/>
              <w:snapToGrid w:val="0"/>
              <w:jc w:val="center"/>
              <w:rPr>
                <w:rFonts w:hint="eastAsia" w:eastAsia="宋体"/>
                <w:color w:val="000000" w:themeColor="text1"/>
                <w:szCs w:val="21"/>
                <w:highlight w:val="none"/>
                <w:lang w:eastAsia="zh-CN"/>
                <w14:textFill>
                  <w14:solidFill>
                    <w14:schemeClr w14:val="tx1"/>
                  </w14:solidFill>
                </w14:textFill>
              </w:rPr>
            </w:pPr>
            <w:r>
              <w:rPr>
                <w:rFonts w:hint="eastAsia" w:ascii="Times New Roman" w:hAnsi="Times New Roman" w:cs="Times New Roman"/>
                <w:color w:val="000000" w:themeColor="text1"/>
                <w:szCs w:val="21"/>
                <w:highlight w:val="none"/>
                <w:lang w:val="en-US" w:eastAsia="zh-CN"/>
                <w14:textFill>
                  <w14:solidFill>
                    <w14:schemeClr w14:val="tx1"/>
                  </w14:solidFill>
                </w14:textFill>
              </w:rPr>
              <w:t>软水排水</w:t>
            </w:r>
          </w:p>
        </w:tc>
        <w:tc>
          <w:tcPr>
            <w:tcW w:w="1104" w:type="dxa"/>
            <w:noWrap w:val="0"/>
            <w:vAlign w:val="center"/>
          </w:tcPr>
          <w:p w14:paraId="0B2630CD">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eastAsia="宋体"/>
                <w:color w:val="000000" w:themeColor="text1"/>
                <w:szCs w:val="21"/>
                <w:highlight w:val="none"/>
                <w:lang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SS、TDS</w:t>
            </w:r>
          </w:p>
        </w:tc>
        <w:tc>
          <w:tcPr>
            <w:tcW w:w="3497" w:type="dxa"/>
            <w:noWrap w:val="0"/>
            <w:vAlign w:val="center"/>
          </w:tcPr>
          <w:p w14:paraId="72BF7F5F">
            <w:pPr>
              <w:adjustRightInd w:val="0"/>
              <w:snapToGrid w:val="0"/>
              <w:jc w:val="both"/>
              <w:rPr>
                <w:rFonts w:hint="default" w:ascii="Times New Roman" w:hAnsi="Times New Roman" w:cs="Times New Roman"/>
                <w:color w:val="000000" w:themeColor="text1"/>
                <w:szCs w:val="21"/>
                <w:highlight w:val="none"/>
                <w:lang w:val="en-US" w:eastAsia="zh-CN"/>
                <w14:textFill>
                  <w14:solidFill>
                    <w14:schemeClr w14:val="tx1"/>
                  </w14:solidFill>
                </w14:textFill>
              </w:rPr>
            </w:pPr>
            <w:r>
              <w:rPr>
                <w:rFonts w:hint="eastAsia" w:ascii="Times New Roman" w:hAnsi="Times New Roman" w:cs="Times New Roman"/>
                <w:color w:val="000000" w:themeColor="text1"/>
                <w:szCs w:val="21"/>
                <w:highlight w:val="none"/>
                <w:lang w:val="en-US" w:eastAsia="zh-CN"/>
                <w14:textFill>
                  <w14:solidFill>
                    <w14:schemeClr w14:val="tx1"/>
                  </w14:solidFill>
                </w14:textFill>
              </w:rPr>
              <w:t>罐车拉运</w:t>
            </w:r>
            <w:r>
              <w:rPr>
                <w:rFonts w:hint="default" w:ascii="Times New Roman" w:hAnsi="Times New Roman" w:cs="Times New Roman"/>
                <w:color w:val="000000" w:themeColor="text1"/>
                <w:szCs w:val="21"/>
                <w:highlight w:val="none"/>
                <w:lang w:val="en-US" w:eastAsia="zh-CN"/>
                <w14:textFill>
                  <w14:solidFill>
                    <w14:schemeClr w14:val="tx1"/>
                  </w14:solidFill>
                </w14:textFill>
              </w:rPr>
              <w:t>至园区生产废水处理厂处理</w:t>
            </w:r>
            <w:r>
              <w:rPr>
                <w:rFonts w:hint="eastAsia" w:ascii="Times New Roman" w:hAnsi="Times New Roman" w:cs="Times New Roman"/>
                <w:color w:val="000000" w:themeColor="text1"/>
                <w:szCs w:val="21"/>
                <w:highlight w:val="none"/>
                <w:lang w:val="en-US" w:eastAsia="zh-CN"/>
                <w14:textFill>
                  <w14:solidFill>
                    <w14:schemeClr w14:val="tx1"/>
                  </w14:solidFill>
                </w14:textFill>
              </w:rPr>
              <w:t>。</w:t>
            </w:r>
          </w:p>
        </w:tc>
        <w:tc>
          <w:tcPr>
            <w:tcW w:w="1799" w:type="dxa"/>
            <w:vMerge w:val="continue"/>
            <w:noWrap w:val="0"/>
            <w:vAlign w:val="center"/>
          </w:tcPr>
          <w:p w14:paraId="769E11A0">
            <w:pPr>
              <w:keepNext w:val="0"/>
              <w:keepLines w:val="0"/>
              <w:pageBreakBefore w:val="0"/>
              <w:widowControl w:val="0"/>
              <w:kinsoku/>
              <w:wordWrap/>
              <w:overflowPunct/>
              <w:topLinePunct w:val="0"/>
              <w:autoSpaceDE/>
              <w:autoSpaceDN/>
              <w:bidi w:val="0"/>
              <w:adjustRightInd w:val="0"/>
              <w:snapToGrid w:val="0"/>
              <w:spacing w:line="240" w:lineRule="exact"/>
              <w:jc w:val="both"/>
              <w:textAlignment w:val="auto"/>
              <w:rPr>
                <w:color w:val="000000" w:themeColor="text1"/>
                <w:szCs w:val="21"/>
                <w:highlight w:val="none"/>
                <w14:textFill>
                  <w14:solidFill>
                    <w14:schemeClr w14:val="tx1"/>
                  </w14:solidFill>
                </w14:textFill>
              </w:rPr>
            </w:pPr>
          </w:p>
        </w:tc>
      </w:tr>
      <w:tr w14:paraId="521A77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421" w:type="dxa"/>
            <w:vMerge w:val="continue"/>
            <w:noWrap w:val="0"/>
            <w:vAlign w:val="center"/>
          </w:tcPr>
          <w:p w14:paraId="543881B6">
            <w:pPr>
              <w:adjustRightInd w:val="0"/>
              <w:snapToGrid w:val="0"/>
              <w:spacing w:line="240" w:lineRule="exact"/>
              <w:rPr>
                <w:color w:val="000000" w:themeColor="text1"/>
                <w:szCs w:val="21"/>
                <w:highlight w:val="none"/>
                <w14:textFill>
                  <w14:solidFill>
                    <w14:schemeClr w14:val="tx1"/>
                  </w14:solidFill>
                </w14:textFill>
              </w:rPr>
            </w:pPr>
          </w:p>
        </w:tc>
        <w:tc>
          <w:tcPr>
            <w:tcW w:w="742" w:type="dxa"/>
            <w:vMerge w:val="continue"/>
            <w:noWrap w:val="0"/>
            <w:vAlign w:val="center"/>
          </w:tcPr>
          <w:p w14:paraId="71A2034E">
            <w:pPr>
              <w:keepNext w:val="0"/>
              <w:keepLines w:val="0"/>
              <w:pageBreakBefore w:val="0"/>
              <w:widowControl w:val="0"/>
              <w:kinsoku/>
              <w:wordWrap/>
              <w:overflowPunct/>
              <w:topLinePunct w:val="0"/>
              <w:autoSpaceDE/>
              <w:autoSpaceDN/>
              <w:bidi w:val="0"/>
              <w:spacing w:line="240" w:lineRule="exact"/>
              <w:jc w:val="center"/>
              <w:textAlignment w:val="auto"/>
              <w:rPr>
                <w:color w:val="000000" w:themeColor="text1"/>
                <w:szCs w:val="21"/>
                <w:highlight w:val="none"/>
                <w14:textFill>
                  <w14:solidFill>
                    <w14:schemeClr w14:val="tx1"/>
                  </w14:solidFill>
                </w14:textFill>
              </w:rPr>
            </w:pPr>
          </w:p>
        </w:tc>
        <w:tc>
          <w:tcPr>
            <w:tcW w:w="1244" w:type="dxa"/>
            <w:noWrap w:val="0"/>
            <w:vAlign w:val="center"/>
          </w:tcPr>
          <w:p w14:paraId="3F60C8DF">
            <w:pPr>
              <w:adjustRightInd w:val="0"/>
              <w:snapToGrid w:val="0"/>
              <w:jc w:val="center"/>
              <w:rPr>
                <w:rFonts w:hint="eastAsia"/>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余热</w:t>
            </w: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锅炉排水</w:t>
            </w:r>
          </w:p>
        </w:tc>
        <w:tc>
          <w:tcPr>
            <w:tcW w:w="1104" w:type="dxa"/>
            <w:noWrap w:val="0"/>
            <w:vAlign w:val="center"/>
          </w:tcPr>
          <w:p w14:paraId="4ECE9FCA">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color w:val="000000" w:themeColor="text1"/>
                <w:szCs w:val="21"/>
                <w:highlight w:val="none"/>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SS、TDS</w:t>
            </w:r>
          </w:p>
        </w:tc>
        <w:tc>
          <w:tcPr>
            <w:tcW w:w="3497" w:type="dxa"/>
            <w:noWrap w:val="0"/>
            <w:vAlign w:val="center"/>
          </w:tcPr>
          <w:p w14:paraId="508C2D89">
            <w:pPr>
              <w:adjustRightInd w:val="0"/>
              <w:snapToGrid w:val="0"/>
              <w:jc w:val="both"/>
              <w:rPr>
                <w:rFonts w:hint="eastAsia" w:ascii="Times New Roman" w:hAnsi="Times New Roman" w:cs="Times New Roman"/>
                <w:color w:val="000000" w:themeColor="text1"/>
                <w:szCs w:val="21"/>
                <w:highlight w:val="none"/>
                <w:lang w:val="en-US" w:eastAsia="zh-CN"/>
                <w14:textFill>
                  <w14:solidFill>
                    <w14:schemeClr w14:val="tx1"/>
                  </w14:solidFill>
                </w14:textFill>
              </w:rPr>
            </w:pPr>
            <w:r>
              <w:rPr>
                <w:rFonts w:hint="eastAsia" w:ascii="Times New Roman" w:hAnsi="Times New Roman" w:cs="Times New Roman"/>
                <w:color w:val="000000" w:themeColor="text1"/>
                <w:szCs w:val="21"/>
                <w:highlight w:val="none"/>
                <w:lang w:val="en-US" w:eastAsia="zh-CN"/>
                <w14:textFill>
                  <w14:solidFill>
                    <w14:schemeClr w14:val="tx1"/>
                  </w14:solidFill>
                </w14:textFill>
              </w:rPr>
              <w:t>罐车拉运</w:t>
            </w:r>
            <w:r>
              <w:rPr>
                <w:rFonts w:hint="default" w:ascii="Times New Roman" w:hAnsi="Times New Roman" w:cs="Times New Roman"/>
                <w:color w:val="000000" w:themeColor="text1"/>
                <w:szCs w:val="21"/>
                <w:highlight w:val="none"/>
                <w:lang w:val="en-US" w:eastAsia="zh-CN"/>
                <w14:textFill>
                  <w14:solidFill>
                    <w14:schemeClr w14:val="tx1"/>
                  </w14:solidFill>
                </w14:textFill>
              </w:rPr>
              <w:t>至园区生产废水处理厂处理</w:t>
            </w:r>
            <w:r>
              <w:rPr>
                <w:rFonts w:hint="eastAsia" w:ascii="Times New Roman" w:hAnsi="Times New Roman" w:cs="Times New Roman"/>
                <w:color w:val="000000" w:themeColor="text1"/>
                <w:szCs w:val="21"/>
                <w:highlight w:val="none"/>
                <w:lang w:val="en-US" w:eastAsia="zh-CN"/>
                <w14:textFill>
                  <w14:solidFill>
                    <w14:schemeClr w14:val="tx1"/>
                  </w14:solidFill>
                </w14:textFill>
              </w:rPr>
              <w:t>。</w:t>
            </w:r>
          </w:p>
        </w:tc>
        <w:tc>
          <w:tcPr>
            <w:tcW w:w="1799" w:type="dxa"/>
            <w:vMerge w:val="continue"/>
            <w:noWrap w:val="0"/>
            <w:vAlign w:val="center"/>
          </w:tcPr>
          <w:p w14:paraId="02BF0BC1">
            <w:pPr>
              <w:keepNext w:val="0"/>
              <w:keepLines w:val="0"/>
              <w:pageBreakBefore w:val="0"/>
              <w:widowControl w:val="0"/>
              <w:kinsoku/>
              <w:wordWrap/>
              <w:overflowPunct/>
              <w:topLinePunct w:val="0"/>
              <w:autoSpaceDE/>
              <w:autoSpaceDN/>
              <w:bidi w:val="0"/>
              <w:adjustRightInd w:val="0"/>
              <w:snapToGrid w:val="0"/>
              <w:spacing w:line="240" w:lineRule="exact"/>
              <w:jc w:val="both"/>
              <w:textAlignment w:val="auto"/>
              <w:rPr>
                <w:color w:val="000000" w:themeColor="text1"/>
                <w:szCs w:val="21"/>
                <w:highlight w:val="none"/>
                <w14:textFill>
                  <w14:solidFill>
                    <w14:schemeClr w14:val="tx1"/>
                  </w14:solidFill>
                </w14:textFill>
              </w:rPr>
            </w:pPr>
          </w:p>
        </w:tc>
      </w:tr>
      <w:tr w14:paraId="3D354F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76" w:hRule="atLeast"/>
          <w:jc w:val="center"/>
        </w:trPr>
        <w:tc>
          <w:tcPr>
            <w:tcW w:w="421" w:type="dxa"/>
            <w:vMerge w:val="continue"/>
            <w:noWrap w:val="0"/>
            <w:vAlign w:val="center"/>
          </w:tcPr>
          <w:p w14:paraId="5CC1B12A">
            <w:pPr>
              <w:adjustRightInd w:val="0"/>
              <w:snapToGrid w:val="0"/>
              <w:spacing w:line="240" w:lineRule="exact"/>
              <w:rPr>
                <w:color w:val="000000" w:themeColor="text1"/>
                <w:szCs w:val="21"/>
                <w:highlight w:val="none"/>
                <w14:textFill>
                  <w14:solidFill>
                    <w14:schemeClr w14:val="tx1"/>
                  </w14:solidFill>
                </w14:textFill>
              </w:rPr>
            </w:pPr>
          </w:p>
        </w:tc>
        <w:tc>
          <w:tcPr>
            <w:tcW w:w="742" w:type="dxa"/>
            <w:vMerge w:val="continue"/>
            <w:noWrap w:val="0"/>
            <w:vAlign w:val="center"/>
          </w:tcPr>
          <w:p w14:paraId="45B65FD3">
            <w:pPr>
              <w:keepNext w:val="0"/>
              <w:keepLines w:val="0"/>
              <w:pageBreakBefore w:val="0"/>
              <w:widowControl w:val="0"/>
              <w:kinsoku/>
              <w:wordWrap/>
              <w:overflowPunct/>
              <w:topLinePunct w:val="0"/>
              <w:autoSpaceDE/>
              <w:autoSpaceDN/>
              <w:bidi w:val="0"/>
              <w:spacing w:line="240" w:lineRule="exact"/>
              <w:jc w:val="center"/>
              <w:textAlignment w:val="auto"/>
              <w:rPr>
                <w:color w:val="000000" w:themeColor="text1"/>
                <w:szCs w:val="21"/>
                <w:highlight w:val="none"/>
                <w14:textFill>
                  <w14:solidFill>
                    <w14:schemeClr w14:val="tx1"/>
                  </w14:solidFill>
                </w14:textFill>
              </w:rPr>
            </w:pPr>
          </w:p>
        </w:tc>
        <w:tc>
          <w:tcPr>
            <w:tcW w:w="1244" w:type="dxa"/>
            <w:noWrap w:val="0"/>
            <w:vAlign w:val="center"/>
          </w:tcPr>
          <w:p w14:paraId="6FE5282A">
            <w:pPr>
              <w:adjustRightInd w:val="0"/>
              <w:snapToGrid w:val="0"/>
              <w:jc w:val="center"/>
              <w:rPr>
                <w:rFonts w:hint="eastAsia"/>
                <w:color w:val="000000" w:themeColor="text1"/>
                <w:szCs w:val="21"/>
                <w:highlight w:val="none"/>
                <w14:textFill>
                  <w14:solidFill>
                    <w14:schemeClr w14:val="tx1"/>
                  </w14:solidFill>
                </w14:textFill>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脱硫废水</w:t>
            </w:r>
          </w:p>
        </w:tc>
        <w:tc>
          <w:tcPr>
            <w:tcW w:w="1104" w:type="dxa"/>
            <w:noWrap w:val="0"/>
            <w:vAlign w:val="center"/>
          </w:tcPr>
          <w:p w14:paraId="482047DE">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color w:val="000000" w:themeColor="text1"/>
                <w:szCs w:val="21"/>
                <w:highlight w:val="none"/>
                <w:lang w:val="en-US"/>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SS、TDS、重金属</w:t>
            </w:r>
          </w:p>
        </w:tc>
        <w:tc>
          <w:tcPr>
            <w:tcW w:w="3497" w:type="dxa"/>
            <w:noWrap w:val="0"/>
            <w:vAlign w:val="center"/>
          </w:tcPr>
          <w:p w14:paraId="59895494">
            <w:pPr>
              <w:keepNext w:val="0"/>
              <w:keepLines w:val="0"/>
              <w:pageBreakBefore w:val="0"/>
              <w:widowControl w:val="0"/>
              <w:kinsoku/>
              <w:wordWrap/>
              <w:overflowPunct/>
              <w:topLinePunct w:val="0"/>
              <w:autoSpaceDE/>
              <w:autoSpaceDN/>
              <w:bidi w:val="0"/>
              <w:adjustRightInd w:val="0"/>
              <w:snapToGrid w:val="0"/>
              <w:spacing w:line="240" w:lineRule="exact"/>
              <w:jc w:val="both"/>
              <w:textAlignment w:val="auto"/>
              <w:rPr>
                <w:color w:val="000000" w:themeColor="text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lang w:val="en-US" w:eastAsia="zh-CN" w:bidi="ar"/>
                <w14:textFill>
                  <w14:solidFill>
                    <w14:schemeClr w14:val="tx1"/>
                  </w14:solidFill>
                </w14:textFill>
              </w:rPr>
              <w:t>经三联箱装置处理后</w:t>
            </w:r>
            <w:r>
              <w:rPr>
                <w:rFonts w:hint="eastAsia" w:ascii="宋体" w:hAnsi="宋体" w:cs="宋体"/>
                <w:color w:val="000000" w:themeColor="text1"/>
                <w:kern w:val="0"/>
                <w:sz w:val="21"/>
                <w:szCs w:val="21"/>
                <w:highlight w:val="none"/>
                <w:lang w:val="en-US" w:eastAsia="zh-CN" w:bidi="ar"/>
                <w14:textFill>
                  <w14:solidFill>
                    <w14:schemeClr w14:val="tx1"/>
                  </w14:solidFill>
                </w14:textFill>
              </w:rPr>
              <w:t>回用。</w:t>
            </w:r>
          </w:p>
        </w:tc>
        <w:tc>
          <w:tcPr>
            <w:tcW w:w="1799" w:type="dxa"/>
            <w:noWrap w:val="0"/>
            <w:vAlign w:val="center"/>
          </w:tcPr>
          <w:p w14:paraId="7BFED393">
            <w:pPr>
              <w:keepNext w:val="0"/>
              <w:keepLines w:val="0"/>
              <w:pageBreakBefore w:val="0"/>
              <w:widowControl w:val="0"/>
              <w:kinsoku/>
              <w:wordWrap/>
              <w:overflowPunct/>
              <w:topLinePunct w:val="0"/>
              <w:autoSpaceDE/>
              <w:autoSpaceDN/>
              <w:bidi w:val="0"/>
              <w:adjustRightInd w:val="0"/>
              <w:snapToGrid w:val="0"/>
              <w:spacing w:line="240" w:lineRule="exact"/>
              <w:jc w:val="both"/>
              <w:textAlignment w:val="auto"/>
              <w:rPr>
                <w:color w:val="000000" w:themeColor="text1"/>
                <w:szCs w:val="21"/>
                <w:highlight w:val="none"/>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满足《城市污水再生利用 工业用水水质》（GB/T 19923-2024）</w:t>
            </w:r>
          </w:p>
        </w:tc>
      </w:tr>
      <w:tr w14:paraId="023056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421" w:type="dxa"/>
            <w:vMerge w:val="restart"/>
            <w:noWrap w:val="0"/>
            <w:vAlign w:val="center"/>
          </w:tcPr>
          <w:p w14:paraId="6C35EC9F">
            <w:pPr>
              <w:adjustRightInd w:val="0"/>
              <w:snapToGrid w:val="0"/>
              <w:jc w:val="center"/>
              <w:rPr>
                <w:color w:val="000000" w:themeColor="text1"/>
                <w:szCs w:val="21"/>
                <w:highlight w:val="none"/>
                <w14:textFill>
                  <w14:solidFill>
                    <w14:schemeClr w14:val="tx1"/>
                  </w14:solidFill>
                </w14:textFill>
              </w:rPr>
            </w:pPr>
            <w:r>
              <w:rPr>
                <w:b/>
                <w:bCs/>
                <w:color w:val="000000" w:themeColor="text1"/>
                <w:szCs w:val="21"/>
                <w:highlight w:val="none"/>
                <w14:textFill>
                  <w14:solidFill>
                    <w14:schemeClr w14:val="tx1"/>
                  </w14:solidFill>
                </w14:textFill>
              </w:rPr>
              <w:t>声环境</w:t>
            </w:r>
          </w:p>
        </w:tc>
        <w:tc>
          <w:tcPr>
            <w:tcW w:w="742" w:type="dxa"/>
            <w:noWrap w:val="0"/>
            <w:vAlign w:val="center"/>
          </w:tcPr>
          <w:p w14:paraId="053CE272">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施工期</w:t>
            </w:r>
          </w:p>
        </w:tc>
        <w:tc>
          <w:tcPr>
            <w:tcW w:w="1244" w:type="dxa"/>
            <w:noWrap w:val="0"/>
            <w:vAlign w:val="center"/>
          </w:tcPr>
          <w:p w14:paraId="73E453B4">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土石方开挖和</w:t>
            </w:r>
            <w:r>
              <w:rPr>
                <w:rFonts w:hint="eastAsia"/>
                <w:color w:val="000000" w:themeColor="text1"/>
                <w:szCs w:val="21"/>
                <w:highlight w:val="none"/>
                <w14:textFill>
                  <w14:solidFill>
                    <w14:schemeClr w14:val="tx1"/>
                  </w14:solidFill>
                </w14:textFill>
              </w:rPr>
              <w:t>工程建设</w:t>
            </w:r>
          </w:p>
        </w:tc>
        <w:tc>
          <w:tcPr>
            <w:tcW w:w="1104" w:type="dxa"/>
            <w:noWrap w:val="0"/>
            <w:vAlign w:val="center"/>
          </w:tcPr>
          <w:p w14:paraId="0F8BDD6E">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噪声</w:t>
            </w:r>
          </w:p>
        </w:tc>
        <w:tc>
          <w:tcPr>
            <w:tcW w:w="3497" w:type="dxa"/>
            <w:noWrap w:val="0"/>
            <w:vAlign w:val="center"/>
          </w:tcPr>
          <w:p w14:paraId="24C5CA40">
            <w:pPr>
              <w:keepNext w:val="0"/>
              <w:keepLines w:val="0"/>
              <w:pageBreakBefore w:val="0"/>
              <w:widowControl w:val="0"/>
              <w:kinsoku/>
              <w:wordWrap/>
              <w:overflowPunct/>
              <w:topLinePunct w:val="0"/>
              <w:autoSpaceDE/>
              <w:autoSpaceDN/>
              <w:bidi w:val="0"/>
              <w:adjustRightInd w:val="0"/>
              <w:snapToGrid w:val="0"/>
              <w:spacing w:line="240" w:lineRule="exact"/>
              <w:jc w:val="both"/>
              <w:textAlignment w:val="auto"/>
              <w:rPr>
                <w:rFonts w:hint="eastAsia" w:eastAsia="宋体"/>
                <w:color w:val="000000" w:themeColor="text1"/>
                <w:szCs w:val="21"/>
                <w:highlight w:val="none"/>
                <w:lang w:eastAsia="zh-CN"/>
                <w14:textFill>
                  <w14:solidFill>
                    <w14:schemeClr w14:val="tx1"/>
                  </w14:solidFill>
                </w14:textFill>
              </w:rPr>
            </w:pPr>
            <w:r>
              <w:rPr>
                <w:color w:val="000000" w:themeColor="text1"/>
                <w:szCs w:val="21"/>
                <w:highlight w:val="none"/>
                <w14:textFill>
                  <w14:solidFill>
                    <w14:schemeClr w14:val="tx1"/>
                  </w14:solidFill>
                </w14:textFill>
              </w:rPr>
              <w:t>设置围挡、加强设备维护</w:t>
            </w:r>
            <w:r>
              <w:rPr>
                <w:rFonts w:hint="eastAsia"/>
                <w:color w:val="000000" w:themeColor="text1"/>
                <w:szCs w:val="21"/>
                <w:highlight w:val="none"/>
                <w:lang w:eastAsia="zh-CN"/>
                <w14:textFill>
                  <w14:solidFill>
                    <w14:schemeClr w14:val="tx1"/>
                  </w14:solidFill>
                </w14:textFill>
              </w:rPr>
              <w:t>。</w:t>
            </w:r>
          </w:p>
        </w:tc>
        <w:tc>
          <w:tcPr>
            <w:tcW w:w="1799" w:type="dxa"/>
            <w:noWrap w:val="0"/>
            <w:vAlign w:val="center"/>
          </w:tcPr>
          <w:p w14:paraId="2B4214B4">
            <w:pPr>
              <w:keepNext w:val="0"/>
              <w:keepLines w:val="0"/>
              <w:pageBreakBefore w:val="0"/>
              <w:widowControl w:val="0"/>
              <w:kinsoku/>
              <w:wordWrap/>
              <w:overflowPunct/>
              <w:topLinePunct w:val="0"/>
              <w:autoSpaceDE/>
              <w:autoSpaceDN/>
              <w:bidi w:val="0"/>
              <w:adjustRightInd w:val="0"/>
              <w:snapToGrid w:val="0"/>
              <w:spacing w:line="240" w:lineRule="exact"/>
              <w:jc w:val="both"/>
              <w:textAlignment w:val="auto"/>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《建筑施工噪声排放标准》（GB12523-20</w:t>
            </w:r>
            <w:r>
              <w:rPr>
                <w:rFonts w:hint="eastAsia"/>
                <w:color w:val="000000" w:themeColor="text1"/>
                <w:szCs w:val="21"/>
                <w:highlight w:val="none"/>
                <w:lang w:val="en-US" w:eastAsia="zh-CN"/>
                <w14:textFill>
                  <w14:solidFill>
                    <w14:schemeClr w14:val="tx1"/>
                  </w14:solidFill>
                </w14:textFill>
              </w:rPr>
              <w:t>25</w:t>
            </w:r>
            <w:r>
              <w:rPr>
                <w:rFonts w:hint="eastAsia"/>
                <w:color w:val="000000" w:themeColor="text1"/>
                <w:szCs w:val="21"/>
                <w:highlight w:val="none"/>
                <w14:textFill>
                  <w14:solidFill>
                    <w14:schemeClr w14:val="tx1"/>
                  </w14:solidFill>
                </w14:textFill>
              </w:rPr>
              <w:t>）</w:t>
            </w:r>
          </w:p>
        </w:tc>
      </w:tr>
      <w:tr w14:paraId="02A890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421" w:type="dxa"/>
            <w:vMerge w:val="continue"/>
            <w:noWrap w:val="0"/>
            <w:vAlign w:val="center"/>
          </w:tcPr>
          <w:p w14:paraId="39E137B2">
            <w:pPr>
              <w:adjustRightInd w:val="0"/>
              <w:snapToGrid w:val="0"/>
              <w:jc w:val="center"/>
              <w:rPr>
                <w:color w:val="000000" w:themeColor="text1"/>
                <w:szCs w:val="21"/>
                <w:highlight w:val="none"/>
                <w14:textFill>
                  <w14:solidFill>
                    <w14:schemeClr w14:val="tx1"/>
                  </w14:solidFill>
                </w14:textFill>
              </w:rPr>
            </w:pPr>
          </w:p>
        </w:tc>
        <w:tc>
          <w:tcPr>
            <w:tcW w:w="742" w:type="dxa"/>
            <w:noWrap w:val="0"/>
            <w:vAlign w:val="center"/>
          </w:tcPr>
          <w:p w14:paraId="7F544EA4">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运营期</w:t>
            </w:r>
          </w:p>
        </w:tc>
        <w:tc>
          <w:tcPr>
            <w:tcW w:w="1244" w:type="dxa"/>
            <w:noWrap w:val="0"/>
            <w:vAlign w:val="center"/>
          </w:tcPr>
          <w:p w14:paraId="5404F8BD">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color w:val="000000" w:themeColor="text1"/>
                <w:szCs w:val="21"/>
                <w:highlight w:val="none"/>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风机、泵</w:t>
            </w:r>
            <w:r>
              <w:rPr>
                <w:rFonts w:hint="eastAsia"/>
                <w:color w:val="000000" w:themeColor="text1"/>
                <w:szCs w:val="21"/>
                <w:highlight w:val="none"/>
                <w14:textFill>
                  <w14:solidFill>
                    <w14:schemeClr w14:val="tx1"/>
                  </w14:solidFill>
                </w14:textFill>
              </w:rPr>
              <w:t>等</w:t>
            </w:r>
          </w:p>
        </w:tc>
        <w:tc>
          <w:tcPr>
            <w:tcW w:w="1104" w:type="dxa"/>
            <w:noWrap w:val="0"/>
            <w:vAlign w:val="center"/>
          </w:tcPr>
          <w:p w14:paraId="346BA672">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噪声</w:t>
            </w:r>
          </w:p>
        </w:tc>
        <w:tc>
          <w:tcPr>
            <w:tcW w:w="3497" w:type="dxa"/>
            <w:noWrap w:val="0"/>
            <w:vAlign w:val="center"/>
          </w:tcPr>
          <w:p w14:paraId="3C468F61">
            <w:pPr>
              <w:keepNext w:val="0"/>
              <w:keepLines w:val="0"/>
              <w:pageBreakBefore w:val="0"/>
              <w:widowControl w:val="0"/>
              <w:kinsoku/>
              <w:wordWrap/>
              <w:overflowPunct/>
              <w:topLinePunct w:val="0"/>
              <w:autoSpaceDE/>
              <w:autoSpaceDN/>
              <w:bidi w:val="0"/>
              <w:adjustRightInd w:val="0"/>
              <w:snapToGrid w:val="0"/>
              <w:spacing w:line="240" w:lineRule="exact"/>
              <w:jc w:val="both"/>
              <w:textAlignment w:val="auto"/>
              <w:rPr>
                <w:rFonts w:hint="eastAsia" w:eastAsia="宋体"/>
                <w:color w:val="000000" w:themeColor="text1"/>
                <w:szCs w:val="21"/>
                <w:highlight w:val="none"/>
                <w:lang w:eastAsia="zh-CN"/>
                <w14:textFill>
                  <w14:solidFill>
                    <w14:schemeClr w14:val="tx1"/>
                  </w14:solidFill>
                </w14:textFill>
              </w:rPr>
            </w:pPr>
            <w:r>
              <w:rPr>
                <w:color w:val="000000" w:themeColor="text1"/>
                <w:szCs w:val="21"/>
                <w:highlight w:val="none"/>
                <w14:textFill>
                  <w14:solidFill>
                    <w14:schemeClr w14:val="tx1"/>
                  </w14:solidFill>
                </w14:textFill>
              </w:rPr>
              <w:t>机械设备的基底加厚、铺置隔声垫、采用低噪音设备以防振动产生二次噪声污染</w:t>
            </w:r>
            <w:r>
              <w:rPr>
                <w:rFonts w:hint="eastAsia"/>
                <w:color w:val="000000" w:themeColor="text1"/>
                <w:szCs w:val="21"/>
                <w:highlight w:val="none"/>
                <w:lang w:eastAsia="zh-CN"/>
                <w14:textFill>
                  <w14:solidFill>
                    <w14:schemeClr w14:val="tx1"/>
                  </w14:solidFill>
                </w14:textFill>
              </w:rPr>
              <w:t>。</w:t>
            </w:r>
          </w:p>
        </w:tc>
        <w:tc>
          <w:tcPr>
            <w:tcW w:w="1799" w:type="dxa"/>
            <w:noWrap w:val="0"/>
            <w:vAlign w:val="center"/>
          </w:tcPr>
          <w:p w14:paraId="348A129D">
            <w:pPr>
              <w:keepNext w:val="0"/>
              <w:keepLines w:val="0"/>
              <w:pageBreakBefore w:val="0"/>
              <w:widowControl w:val="0"/>
              <w:kinsoku/>
              <w:wordWrap/>
              <w:overflowPunct/>
              <w:topLinePunct w:val="0"/>
              <w:autoSpaceDE/>
              <w:autoSpaceDN/>
              <w:bidi w:val="0"/>
              <w:adjustRightInd w:val="0"/>
              <w:snapToGrid w:val="0"/>
              <w:spacing w:line="240" w:lineRule="exact"/>
              <w:jc w:val="both"/>
              <w:textAlignment w:val="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《工业企业厂界环境噪声排放标准》</w:t>
            </w:r>
            <w:r>
              <w:rPr>
                <w:rFonts w:hint="eastAsia"/>
                <w:color w:val="000000" w:themeColor="text1"/>
                <w:szCs w:val="21"/>
                <w:highlight w:val="none"/>
                <w:lang w:eastAsia="zh-CN"/>
                <w14:textFill>
                  <w14:solidFill>
                    <w14:schemeClr w14:val="tx1"/>
                  </w14:solidFill>
                </w14:textFill>
              </w:rPr>
              <w:t>（</w:t>
            </w:r>
            <w:r>
              <w:rPr>
                <w:color w:val="000000" w:themeColor="text1"/>
                <w:szCs w:val="21"/>
                <w:highlight w:val="none"/>
                <w14:textFill>
                  <w14:solidFill>
                    <w14:schemeClr w14:val="tx1"/>
                  </w14:solidFill>
                </w14:textFill>
              </w:rPr>
              <w:t>GB12348-2008）3类标准</w:t>
            </w:r>
          </w:p>
        </w:tc>
      </w:tr>
      <w:tr w14:paraId="597AEE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1163" w:type="dxa"/>
            <w:gridSpan w:val="2"/>
            <w:noWrap w:val="0"/>
            <w:vAlign w:val="center"/>
          </w:tcPr>
          <w:p w14:paraId="10B56750">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color w:val="000000" w:themeColor="text1"/>
                <w:szCs w:val="21"/>
                <w:highlight w:val="none"/>
                <w14:textFill>
                  <w14:solidFill>
                    <w14:schemeClr w14:val="tx1"/>
                  </w14:solidFill>
                </w14:textFill>
              </w:rPr>
            </w:pPr>
            <w:r>
              <w:rPr>
                <w:b/>
                <w:bCs/>
                <w:color w:val="000000" w:themeColor="text1"/>
                <w:szCs w:val="21"/>
                <w:highlight w:val="none"/>
                <w14:textFill>
                  <w14:solidFill>
                    <w14:schemeClr w14:val="tx1"/>
                  </w14:solidFill>
                </w14:textFill>
              </w:rPr>
              <w:t>电磁辐射</w:t>
            </w:r>
          </w:p>
        </w:tc>
        <w:tc>
          <w:tcPr>
            <w:tcW w:w="7644" w:type="dxa"/>
            <w:gridSpan w:val="4"/>
            <w:noWrap w:val="0"/>
            <w:vAlign w:val="center"/>
          </w:tcPr>
          <w:p w14:paraId="760BD125">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w:t>
            </w:r>
          </w:p>
        </w:tc>
      </w:tr>
      <w:tr w14:paraId="58BF8B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421" w:type="dxa"/>
            <w:vMerge w:val="restart"/>
            <w:noWrap w:val="0"/>
            <w:vAlign w:val="center"/>
          </w:tcPr>
          <w:p w14:paraId="528CB2A9">
            <w:pPr>
              <w:adjustRightInd w:val="0"/>
              <w:snapToGrid w:val="0"/>
              <w:jc w:val="center"/>
              <w:rPr>
                <w:color w:val="000000" w:themeColor="text1"/>
                <w:szCs w:val="21"/>
                <w:highlight w:val="none"/>
                <w14:textFill>
                  <w14:solidFill>
                    <w14:schemeClr w14:val="tx1"/>
                  </w14:solidFill>
                </w14:textFill>
              </w:rPr>
            </w:pPr>
            <w:r>
              <w:rPr>
                <w:b/>
                <w:bCs/>
                <w:color w:val="000000" w:themeColor="text1"/>
                <w:szCs w:val="21"/>
                <w:highlight w:val="none"/>
                <w14:textFill>
                  <w14:solidFill>
                    <w14:schemeClr w14:val="tx1"/>
                  </w14:solidFill>
                </w14:textFill>
              </w:rPr>
              <w:t>固体废物</w:t>
            </w:r>
          </w:p>
        </w:tc>
        <w:tc>
          <w:tcPr>
            <w:tcW w:w="742" w:type="dxa"/>
            <w:noWrap w:val="0"/>
            <w:vAlign w:val="center"/>
          </w:tcPr>
          <w:p w14:paraId="7AE4B39F">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施工期</w:t>
            </w:r>
          </w:p>
        </w:tc>
        <w:tc>
          <w:tcPr>
            <w:tcW w:w="1244" w:type="dxa"/>
            <w:noWrap w:val="0"/>
            <w:vAlign w:val="center"/>
          </w:tcPr>
          <w:p w14:paraId="200729A2">
            <w:pPr>
              <w:keepNext w:val="0"/>
              <w:keepLines w:val="0"/>
              <w:pageBreakBefore w:val="0"/>
              <w:widowControl w:val="0"/>
              <w:kinsoku/>
              <w:wordWrap/>
              <w:overflowPunct/>
              <w:topLinePunct w:val="0"/>
              <w:autoSpaceDE/>
              <w:autoSpaceDN/>
              <w:bidi w:val="0"/>
              <w:adjustRightInd w:val="0"/>
              <w:spacing w:line="240" w:lineRule="exact"/>
              <w:jc w:val="center"/>
              <w:textAlignment w:val="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施工建设</w:t>
            </w:r>
          </w:p>
        </w:tc>
        <w:tc>
          <w:tcPr>
            <w:tcW w:w="1104" w:type="dxa"/>
            <w:noWrap w:val="0"/>
            <w:vAlign w:val="center"/>
          </w:tcPr>
          <w:p w14:paraId="6FA57ED2">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建筑垃圾和生活垃圾</w:t>
            </w:r>
          </w:p>
        </w:tc>
        <w:tc>
          <w:tcPr>
            <w:tcW w:w="3497" w:type="dxa"/>
            <w:noWrap w:val="0"/>
            <w:vAlign w:val="top"/>
          </w:tcPr>
          <w:p w14:paraId="2D84662F">
            <w:pPr>
              <w:keepNext w:val="0"/>
              <w:keepLines w:val="0"/>
              <w:pageBreakBefore w:val="0"/>
              <w:widowControl w:val="0"/>
              <w:kinsoku/>
              <w:wordWrap/>
              <w:overflowPunct/>
              <w:topLinePunct w:val="0"/>
              <w:autoSpaceDE/>
              <w:autoSpaceDN/>
              <w:bidi w:val="0"/>
              <w:adjustRightInd w:val="0"/>
              <w:snapToGrid w:val="0"/>
              <w:spacing w:line="240" w:lineRule="auto"/>
              <w:ind w:right="0"/>
              <w:jc w:val="both"/>
              <w:textAlignment w:val="auto"/>
              <w:rPr>
                <w:rFonts w:hint="eastAsia" w:eastAsia="宋体"/>
                <w:color w:val="000000" w:themeColor="text1"/>
                <w:szCs w:val="21"/>
                <w:highlight w:val="none"/>
                <w:lang w:eastAsia="zh-CN"/>
                <w14:textFill>
                  <w14:solidFill>
                    <w14:schemeClr w14:val="tx1"/>
                  </w14:solidFill>
                </w14:textFill>
              </w:rPr>
            </w:pPr>
            <w:r>
              <w:rPr>
                <w:color w:val="000000" w:themeColor="text1"/>
                <w:szCs w:val="21"/>
                <w:highlight w:val="none"/>
                <w14:textFill>
                  <w14:solidFill>
                    <w14:schemeClr w14:val="tx1"/>
                  </w14:solidFill>
                </w14:textFill>
              </w:rPr>
              <w:t>土石方回填、建筑垃圾及时清运、生活垃圾委托环卫部门处理</w:t>
            </w:r>
            <w:r>
              <w:rPr>
                <w:rFonts w:hint="eastAsia"/>
                <w:color w:val="000000" w:themeColor="text1"/>
                <w:szCs w:val="21"/>
                <w:highlight w:val="none"/>
                <w:lang w:eastAsia="zh-CN"/>
                <w14:textFill>
                  <w14:solidFill>
                    <w14:schemeClr w14:val="tx1"/>
                  </w14:solidFill>
                </w14:textFill>
              </w:rPr>
              <w:t>。</w:t>
            </w:r>
          </w:p>
        </w:tc>
        <w:tc>
          <w:tcPr>
            <w:tcW w:w="1799" w:type="dxa"/>
            <w:noWrap w:val="0"/>
            <w:vAlign w:val="center"/>
          </w:tcPr>
          <w:p w14:paraId="084FDB8B">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w:t>
            </w:r>
          </w:p>
        </w:tc>
      </w:tr>
      <w:tr w14:paraId="18580C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421" w:type="dxa"/>
            <w:vMerge w:val="continue"/>
            <w:noWrap w:val="0"/>
            <w:vAlign w:val="center"/>
          </w:tcPr>
          <w:p w14:paraId="71585D98">
            <w:pPr>
              <w:adjustRightInd w:val="0"/>
              <w:snapToGrid w:val="0"/>
              <w:jc w:val="center"/>
              <w:rPr>
                <w:color w:val="000000" w:themeColor="text1"/>
                <w:szCs w:val="21"/>
                <w:highlight w:val="none"/>
                <w14:textFill>
                  <w14:solidFill>
                    <w14:schemeClr w14:val="tx1"/>
                  </w14:solidFill>
                </w14:textFill>
              </w:rPr>
            </w:pPr>
          </w:p>
        </w:tc>
        <w:tc>
          <w:tcPr>
            <w:tcW w:w="742" w:type="dxa"/>
            <w:vMerge w:val="restart"/>
            <w:noWrap w:val="0"/>
            <w:vAlign w:val="center"/>
          </w:tcPr>
          <w:p w14:paraId="0F4F69FE">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运营期</w:t>
            </w:r>
          </w:p>
        </w:tc>
        <w:tc>
          <w:tcPr>
            <w:tcW w:w="1244" w:type="dxa"/>
            <w:noWrap w:val="0"/>
            <w:vAlign w:val="center"/>
          </w:tcPr>
          <w:p w14:paraId="702FEEFB">
            <w:pPr>
              <w:keepNext w:val="0"/>
              <w:keepLines w:val="0"/>
              <w:pageBreakBefore w:val="0"/>
              <w:widowControl w:val="0"/>
              <w:kinsoku/>
              <w:wordWrap/>
              <w:overflowPunct/>
              <w:topLinePunct w:val="0"/>
              <w:autoSpaceDE/>
              <w:autoSpaceDN/>
              <w:bidi w:val="0"/>
              <w:spacing w:line="240" w:lineRule="exact"/>
              <w:jc w:val="center"/>
              <w:textAlignment w:val="auto"/>
              <w:rPr>
                <w:bCs/>
                <w:color w:val="000000" w:themeColor="text1"/>
                <w:kern w:val="2"/>
                <w:sz w:val="21"/>
                <w:szCs w:val="21"/>
                <w:highlight w:val="none"/>
                <w:lang w:val="en-US" w:eastAsia="zh-CN" w:bidi="ar-SA"/>
                <w14:textFill>
                  <w14:solidFill>
                    <w14:schemeClr w14:val="tx1"/>
                  </w14:solidFill>
                </w14:textFill>
              </w:rPr>
            </w:pPr>
            <w:r>
              <w:rPr>
                <w:rFonts w:hint="eastAsia"/>
                <w:bCs/>
                <w:color w:val="000000" w:themeColor="text1"/>
                <w:szCs w:val="21"/>
                <w:highlight w:val="none"/>
                <w14:textFill>
                  <w14:solidFill>
                    <w14:schemeClr w14:val="tx1"/>
                  </w14:solidFill>
                </w14:textFill>
              </w:rPr>
              <w:t>员工</w:t>
            </w:r>
          </w:p>
        </w:tc>
        <w:tc>
          <w:tcPr>
            <w:tcW w:w="1104" w:type="dxa"/>
            <w:noWrap w:val="0"/>
            <w:vAlign w:val="center"/>
          </w:tcPr>
          <w:p w14:paraId="5620F63A">
            <w:pPr>
              <w:keepNext w:val="0"/>
              <w:keepLines w:val="0"/>
              <w:pageBreakBefore w:val="0"/>
              <w:widowControl w:val="0"/>
              <w:kinsoku/>
              <w:wordWrap/>
              <w:overflowPunct/>
              <w:topLinePunct w:val="0"/>
              <w:autoSpaceDE/>
              <w:autoSpaceDN/>
              <w:bidi w:val="0"/>
              <w:spacing w:line="240" w:lineRule="exact"/>
              <w:jc w:val="center"/>
              <w:textAlignment w:val="auto"/>
              <w:rPr>
                <w:rFonts w:hint="eastAsia"/>
                <w:bCs/>
                <w:color w:val="000000" w:themeColor="text1"/>
                <w:kern w:val="2"/>
                <w:sz w:val="21"/>
                <w:szCs w:val="21"/>
                <w:highlight w:val="none"/>
                <w:lang w:val="en-US" w:eastAsia="zh-CN" w:bidi="ar-SA"/>
                <w14:textFill>
                  <w14:solidFill>
                    <w14:schemeClr w14:val="tx1"/>
                  </w14:solidFill>
                </w14:textFill>
              </w:rPr>
            </w:pPr>
            <w:r>
              <w:rPr>
                <w:rFonts w:hint="eastAsia"/>
                <w:bCs/>
                <w:color w:val="000000" w:themeColor="text1"/>
                <w:szCs w:val="21"/>
                <w:highlight w:val="none"/>
                <w14:textFill>
                  <w14:solidFill>
                    <w14:schemeClr w14:val="tx1"/>
                  </w14:solidFill>
                </w14:textFill>
              </w:rPr>
              <w:t>生活垃圾</w:t>
            </w:r>
          </w:p>
        </w:tc>
        <w:tc>
          <w:tcPr>
            <w:tcW w:w="3497" w:type="dxa"/>
            <w:noWrap w:val="0"/>
            <w:vAlign w:val="center"/>
          </w:tcPr>
          <w:p w14:paraId="3D6ACC45">
            <w:pPr>
              <w:keepNext w:val="0"/>
              <w:keepLines w:val="0"/>
              <w:pageBreakBefore w:val="0"/>
              <w:widowControl w:val="0"/>
              <w:kinsoku/>
              <w:wordWrap/>
              <w:overflowPunct/>
              <w:topLinePunct w:val="0"/>
              <w:autoSpaceDE/>
              <w:autoSpaceDN/>
              <w:bidi w:val="0"/>
              <w:spacing w:line="240" w:lineRule="auto"/>
              <w:ind w:right="0"/>
              <w:jc w:val="both"/>
              <w:textAlignment w:val="auto"/>
              <w:rPr>
                <w:rFonts w:hint="eastAsia" w:eastAsia="宋体"/>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Cs w:val="21"/>
                <w:highlight w:val="none"/>
                <w14:textFill>
                  <w14:solidFill>
                    <w14:schemeClr w14:val="tx1"/>
                  </w14:solidFill>
                </w14:textFill>
              </w:rPr>
              <w:t>收集后委托环卫部门处理</w:t>
            </w:r>
            <w:r>
              <w:rPr>
                <w:rFonts w:hint="eastAsia"/>
                <w:color w:val="000000" w:themeColor="text1"/>
                <w:szCs w:val="21"/>
                <w:highlight w:val="none"/>
                <w:lang w:eastAsia="zh-CN"/>
                <w14:textFill>
                  <w14:solidFill>
                    <w14:schemeClr w14:val="tx1"/>
                  </w14:solidFill>
                </w14:textFill>
              </w:rPr>
              <w:t>。</w:t>
            </w:r>
          </w:p>
        </w:tc>
        <w:tc>
          <w:tcPr>
            <w:tcW w:w="1799" w:type="dxa"/>
            <w:noWrap w:val="0"/>
            <w:vAlign w:val="center"/>
          </w:tcPr>
          <w:p w14:paraId="546366A5">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w:t>
            </w:r>
          </w:p>
        </w:tc>
      </w:tr>
      <w:tr w14:paraId="6FA45C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8" w:hRule="atLeast"/>
          <w:jc w:val="center"/>
        </w:trPr>
        <w:tc>
          <w:tcPr>
            <w:tcW w:w="421" w:type="dxa"/>
            <w:vMerge w:val="continue"/>
            <w:noWrap w:val="0"/>
            <w:vAlign w:val="center"/>
          </w:tcPr>
          <w:p w14:paraId="6A51DF10">
            <w:pPr>
              <w:adjustRightInd w:val="0"/>
              <w:snapToGrid w:val="0"/>
              <w:jc w:val="center"/>
              <w:rPr>
                <w:color w:val="000000" w:themeColor="text1"/>
                <w:szCs w:val="21"/>
                <w:highlight w:val="none"/>
                <w14:textFill>
                  <w14:solidFill>
                    <w14:schemeClr w14:val="tx1"/>
                  </w14:solidFill>
                </w14:textFill>
              </w:rPr>
            </w:pPr>
          </w:p>
        </w:tc>
        <w:tc>
          <w:tcPr>
            <w:tcW w:w="742" w:type="dxa"/>
            <w:vMerge w:val="continue"/>
            <w:noWrap w:val="0"/>
            <w:vAlign w:val="center"/>
          </w:tcPr>
          <w:p w14:paraId="267D854F">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color w:val="000000" w:themeColor="text1"/>
                <w:szCs w:val="21"/>
                <w:highlight w:val="none"/>
                <w14:textFill>
                  <w14:solidFill>
                    <w14:schemeClr w14:val="tx1"/>
                  </w14:solidFill>
                </w14:textFill>
              </w:rPr>
            </w:pPr>
          </w:p>
        </w:tc>
        <w:tc>
          <w:tcPr>
            <w:tcW w:w="1244" w:type="dxa"/>
            <w:noWrap w:val="0"/>
            <w:vAlign w:val="center"/>
          </w:tcPr>
          <w:p w14:paraId="3CC4B052">
            <w:pPr>
              <w:keepNext w:val="0"/>
              <w:keepLines w:val="0"/>
              <w:pageBreakBefore w:val="0"/>
              <w:widowControl w:val="0"/>
              <w:kinsoku/>
              <w:wordWrap/>
              <w:overflowPunct/>
              <w:topLinePunct w:val="0"/>
              <w:autoSpaceDE/>
              <w:autoSpaceDN/>
              <w:bidi w:val="0"/>
              <w:spacing w:line="240" w:lineRule="exact"/>
              <w:jc w:val="center"/>
              <w:textAlignment w:val="auto"/>
              <w:rPr>
                <w:rFonts w:hint="eastAsia"/>
                <w:color w:val="000000" w:themeColor="text1"/>
                <w:kern w:val="2"/>
                <w:sz w:val="21"/>
                <w:szCs w:val="21"/>
                <w:highlight w:val="none"/>
                <w:lang w:val="en-US" w:eastAsia="zh-CN" w:bidi="ar-SA"/>
                <w14:textFill>
                  <w14:solidFill>
                    <w14:schemeClr w14:val="tx1"/>
                  </w14:solidFill>
                </w14:textFill>
              </w:rPr>
            </w:pPr>
            <w:r>
              <w:rPr>
                <w:rFonts w:hint="eastAsia"/>
                <w:bCs/>
                <w:color w:val="000000" w:themeColor="text1"/>
                <w:szCs w:val="21"/>
                <w:highlight w:val="none"/>
                <w14:textFill>
                  <w14:solidFill>
                    <w14:schemeClr w14:val="tx1"/>
                  </w14:solidFill>
                </w14:textFill>
              </w:rPr>
              <w:t>除尘器</w:t>
            </w:r>
          </w:p>
        </w:tc>
        <w:tc>
          <w:tcPr>
            <w:tcW w:w="1104" w:type="dxa"/>
            <w:noWrap w:val="0"/>
            <w:vAlign w:val="center"/>
          </w:tcPr>
          <w:p w14:paraId="7E96AF83">
            <w:pPr>
              <w:keepNext w:val="0"/>
              <w:keepLines w:val="0"/>
              <w:pageBreakBefore w:val="0"/>
              <w:widowControl w:val="0"/>
              <w:kinsoku/>
              <w:wordWrap/>
              <w:overflowPunct/>
              <w:topLinePunct w:val="0"/>
              <w:autoSpaceDE/>
              <w:autoSpaceDN/>
              <w:bidi w:val="0"/>
              <w:spacing w:line="240" w:lineRule="exact"/>
              <w:jc w:val="center"/>
              <w:textAlignment w:val="auto"/>
              <w:rPr>
                <w:rFonts w:hint="eastAsia" w:eastAsia="宋体"/>
                <w:color w:val="000000" w:themeColor="text1"/>
                <w:kern w:val="2"/>
                <w:sz w:val="21"/>
                <w:szCs w:val="21"/>
                <w:highlight w:val="none"/>
                <w:lang w:val="en-US" w:eastAsia="zh-CN" w:bidi="ar-SA"/>
                <w14:textFill>
                  <w14:solidFill>
                    <w14:schemeClr w14:val="tx1"/>
                  </w14:solidFill>
                </w14:textFill>
              </w:rPr>
            </w:pPr>
            <w:r>
              <w:rPr>
                <w:rFonts w:hint="eastAsia" w:eastAsia="宋体"/>
                <w:color w:val="000000" w:themeColor="text1"/>
                <w:szCs w:val="21"/>
                <w:highlight w:val="none"/>
                <w:lang w:eastAsia="zh-CN"/>
                <w14:textFill>
                  <w14:solidFill>
                    <w14:schemeClr w14:val="tx1"/>
                  </w14:solidFill>
                </w14:textFill>
              </w:rPr>
              <w:t>除尘器回收尘</w:t>
            </w:r>
          </w:p>
        </w:tc>
        <w:tc>
          <w:tcPr>
            <w:tcW w:w="3497" w:type="dxa"/>
            <w:noWrap w:val="0"/>
            <w:vAlign w:val="center"/>
          </w:tcPr>
          <w:p w14:paraId="11D857B4">
            <w:pPr>
              <w:keepNext w:val="0"/>
              <w:keepLines w:val="0"/>
              <w:pageBreakBefore w:val="0"/>
              <w:widowControl w:val="0"/>
              <w:kinsoku/>
              <w:wordWrap/>
              <w:overflowPunct/>
              <w:topLinePunct w:val="0"/>
              <w:autoSpaceDE/>
              <w:autoSpaceDN/>
              <w:bidi w:val="0"/>
              <w:spacing w:line="240" w:lineRule="auto"/>
              <w:ind w:right="0"/>
              <w:jc w:val="both"/>
              <w:textAlignment w:val="auto"/>
              <w:rPr>
                <w:rFonts w:hint="eastAsia" w:eastAsia="宋体"/>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cs="Times New Roman"/>
                <w:color w:val="000000" w:themeColor="text1"/>
                <w:kern w:val="0"/>
                <w:szCs w:val="21"/>
                <w:highlight w:val="none"/>
                <w:lang w:val="en-US" w:eastAsia="zh-CN"/>
                <w14:textFill>
                  <w14:solidFill>
                    <w14:schemeClr w14:val="tx1"/>
                  </w14:solidFill>
                </w14:textFill>
              </w:rPr>
              <w:t>定期外售综合利用，</w:t>
            </w:r>
            <w:r>
              <w:rPr>
                <w:rFonts w:hint="default" w:ascii="Times New Roman" w:hAnsi="Times New Roman" w:cs="Times New Roman"/>
                <w:color w:val="000000" w:themeColor="text1"/>
                <w:kern w:val="0"/>
                <w:szCs w:val="21"/>
                <w:highlight w:val="none"/>
                <w:lang w:eastAsia="zh-CN"/>
                <w14:textFill>
                  <w14:solidFill>
                    <w14:schemeClr w14:val="tx1"/>
                  </w14:solidFill>
                </w14:textFill>
              </w:rPr>
              <w:t>不外排</w:t>
            </w:r>
            <w:r>
              <w:rPr>
                <w:rFonts w:hint="default" w:ascii="Times New Roman" w:hAnsi="Times New Roman" w:cs="Times New Roman"/>
                <w:color w:val="000000" w:themeColor="text1"/>
                <w:szCs w:val="21"/>
                <w:highlight w:val="none"/>
                <w14:textFill>
                  <w14:solidFill>
                    <w14:schemeClr w14:val="tx1"/>
                  </w14:solidFill>
                </w14:textFill>
              </w:rPr>
              <w:t>。</w:t>
            </w:r>
          </w:p>
        </w:tc>
        <w:tc>
          <w:tcPr>
            <w:tcW w:w="1799" w:type="dxa"/>
            <w:noWrap w:val="0"/>
            <w:vAlign w:val="center"/>
          </w:tcPr>
          <w:p w14:paraId="0324A8EA">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eastAsia="宋体"/>
                <w:color w:val="000000" w:themeColor="text1"/>
                <w:szCs w:val="21"/>
                <w:highlight w:val="none"/>
                <w:lang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w:t>
            </w:r>
          </w:p>
        </w:tc>
      </w:tr>
      <w:tr w14:paraId="45E212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8" w:hRule="atLeast"/>
          <w:jc w:val="center"/>
        </w:trPr>
        <w:tc>
          <w:tcPr>
            <w:tcW w:w="421" w:type="dxa"/>
            <w:vMerge w:val="continue"/>
            <w:noWrap w:val="0"/>
            <w:vAlign w:val="center"/>
          </w:tcPr>
          <w:p w14:paraId="33D72E4D">
            <w:pPr>
              <w:adjustRightInd w:val="0"/>
              <w:snapToGrid w:val="0"/>
              <w:jc w:val="center"/>
              <w:rPr>
                <w:color w:val="000000" w:themeColor="text1"/>
                <w:szCs w:val="21"/>
                <w:highlight w:val="none"/>
                <w14:textFill>
                  <w14:solidFill>
                    <w14:schemeClr w14:val="tx1"/>
                  </w14:solidFill>
                </w14:textFill>
              </w:rPr>
            </w:pPr>
          </w:p>
        </w:tc>
        <w:tc>
          <w:tcPr>
            <w:tcW w:w="742" w:type="dxa"/>
            <w:vMerge w:val="continue"/>
            <w:noWrap w:val="0"/>
            <w:vAlign w:val="center"/>
          </w:tcPr>
          <w:p w14:paraId="6AE7FBA0">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color w:val="000000" w:themeColor="text1"/>
                <w:szCs w:val="21"/>
                <w:highlight w:val="none"/>
                <w14:textFill>
                  <w14:solidFill>
                    <w14:schemeClr w14:val="tx1"/>
                  </w14:solidFill>
                </w14:textFill>
              </w:rPr>
            </w:pPr>
          </w:p>
        </w:tc>
        <w:tc>
          <w:tcPr>
            <w:tcW w:w="1244" w:type="dxa"/>
            <w:noWrap w:val="0"/>
            <w:vAlign w:val="center"/>
          </w:tcPr>
          <w:p w14:paraId="7FCEE3E6">
            <w:pPr>
              <w:keepNext w:val="0"/>
              <w:keepLines w:val="0"/>
              <w:pageBreakBefore w:val="0"/>
              <w:widowControl w:val="0"/>
              <w:kinsoku/>
              <w:wordWrap/>
              <w:overflowPunct/>
              <w:topLinePunct w:val="0"/>
              <w:autoSpaceDE/>
              <w:autoSpaceDN/>
              <w:bidi w:val="0"/>
              <w:spacing w:line="240" w:lineRule="exact"/>
              <w:jc w:val="center"/>
              <w:textAlignment w:val="auto"/>
              <w:rPr>
                <w:rFonts w:hint="eastAsia"/>
                <w:bCs/>
                <w:color w:val="000000" w:themeColor="text1"/>
                <w:kern w:val="2"/>
                <w:sz w:val="21"/>
                <w:szCs w:val="21"/>
                <w:highlight w:val="none"/>
                <w:lang w:val="en-US" w:eastAsia="zh-CN" w:bidi="ar-SA"/>
                <w14:textFill>
                  <w14:solidFill>
                    <w14:schemeClr w14:val="tx1"/>
                  </w14:solidFill>
                </w14:textFill>
              </w:rPr>
            </w:pPr>
            <w:r>
              <w:rPr>
                <w:rFonts w:hint="eastAsia"/>
                <w:bCs/>
                <w:color w:val="000000" w:themeColor="text1"/>
                <w:szCs w:val="21"/>
                <w:highlight w:val="none"/>
                <w14:textFill>
                  <w14:solidFill>
                    <w14:schemeClr w14:val="tx1"/>
                  </w14:solidFill>
                </w14:textFill>
              </w:rPr>
              <w:t>生产</w:t>
            </w:r>
          </w:p>
        </w:tc>
        <w:tc>
          <w:tcPr>
            <w:tcW w:w="1104" w:type="dxa"/>
            <w:noWrap w:val="0"/>
            <w:vAlign w:val="center"/>
          </w:tcPr>
          <w:p w14:paraId="1B0CCEC3">
            <w:pPr>
              <w:keepNext w:val="0"/>
              <w:keepLines w:val="0"/>
              <w:pageBreakBefore w:val="0"/>
              <w:widowControl w:val="0"/>
              <w:kinsoku/>
              <w:wordWrap/>
              <w:overflowPunct/>
              <w:topLinePunct w:val="0"/>
              <w:autoSpaceDE/>
              <w:autoSpaceDN/>
              <w:bidi w:val="0"/>
              <w:spacing w:line="240" w:lineRule="exact"/>
              <w:jc w:val="center"/>
              <w:textAlignment w:val="auto"/>
              <w:rPr>
                <w:rFonts w:hint="default" w:eastAsia="宋体"/>
                <w:bCs/>
                <w:color w:val="000000" w:themeColor="text1"/>
                <w:kern w:val="2"/>
                <w:sz w:val="21"/>
                <w:szCs w:val="21"/>
                <w:highlight w:val="none"/>
                <w:lang w:val="en-US" w:eastAsia="zh-CN" w:bidi="ar-SA"/>
                <w14:textFill>
                  <w14:solidFill>
                    <w14:schemeClr w14:val="tx1"/>
                  </w14:solidFill>
                </w14:textFill>
              </w:rPr>
            </w:pPr>
            <w:r>
              <w:rPr>
                <w:rFonts w:hint="eastAsia"/>
                <w:bCs/>
                <w:color w:val="000000" w:themeColor="text1"/>
                <w:szCs w:val="21"/>
                <w:highlight w:val="none"/>
                <w14:textFill>
                  <w14:solidFill>
                    <w14:schemeClr w14:val="tx1"/>
                  </w14:solidFill>
                </w14:textFill>
              </w:rPr>
              <w:t>不合格品</w:t>
            </w:r>
            <w:r>
              <w:rPr>
                <w:rFonts w:hint="eastAsia"/>
                <w:bCs/>
                <w:color w:val="000000" w:themeColor="text1"/>
                <w:szCs w:val="21"/>
                <w:highlight w:val="none"/>
                <w:lang w:eastAsia="zh-CN"/>
                <w14:textFill>
                  <w14:solidFill>
                    <w14:schemeClr w14:val="tx1"/>
                  </w14:solidFill>
                </w14:textFill>
              </w:rPr>
              <w:t>（</w:t>
            </w:r>
            <w:r>
              <w:rPr>
                <w:rFonts w:hint="eastAsia"/>
                <w:bCs/>
                <w:color w:val="000000" w:themeColor="text1"/>
                <w:szCs w:val="21"/>
                <w:highlight w:val="none"/>
                <w:lang w:val="en-US" w:eastAsia="zh-CN"/>
                <w14:textFill>
                  <w14:solidFill>
                    <w14:schemeClr w14:val="tx1"/>
                  </w14:solidFill>
                </w14:textFill>
              </w:rPr>
              <w:t>黄料）</w:t>
            </w:r>
          </w:p>
        </w:tc>
        <w:tc>
          <w:tcPr>
            <w:tcW w:w="3497" w:type="dxa"/>
            <w:noWrap w:val="0"/>
            <w:vAlign w:val="center"/>
          </w:tcPr>
          <w:p w14:paraId="23137CD7">
            <w:pPr>
              <w:keepNext w:val="0"/>
              <w:keepLines w:val="0"/>
              <w:pageBreakBefore w:val="0"/>
              <w:widowControl w:val="0"/>
              <w:kinsoku/>
              <w:wordWrap/>
              <w:overflowPunct/>
              <w:topLinePunct w:val="0"/>
              <w:autoSpaceDE/>
              <w:autoSpaceDN/>
              <w:bidi w:val="0"/>
              <w:spacing w:line="240" w:lineRule="auto"/>
              <w:ind w:right="0"/>
              <w:jc w:val="both"/>
              <w:textAlignment w:val="auto"/>
              <w:rPr>
                <w:rFonts w:hint="eastAsia"/>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cs="Times New Roman"/>
                <w:color w:val="000000" w:themeColor="text1"/>
                <w:kern w:val="0"/>
                <w:szCs w:val="21"/>
                <w:highlight w:val="none"/>
                <w:lang w:val="en-US" w:eastAsia="zh-CN"/>
                <w14:textFill>
                  <w14:solidFill>
                    <w14:schemeClr w14:val="tx1"/>
                  </w14:solidFill>
                </w14:textFill>
              </w:rPr>
              <w:t>暂存2个筒仓，定期外售综合利用，</w:t>
            </w:r>
            <w:r>
              <w:rPr>
                <w:rFonts w:hint="default" w:ascii="Times New Roman" w:hAnsi="Times New Roman" w:cs="Times New Roman"/>
                <w:color w:val="000000" w:themeColor="text1"/>
                <w:kern w:val="0"/>
                <w:szCs w:val="21"/>
                <w:highlight w:val="none"/>
                <w:lang w:eastAsia="zh-CN"/>
                <w14:textFill>
                  <w14:solidFill>
                    <w14:schemeClr w14:val="tx1"/>
                  </w14:solidFill>
                </w14:textFill>
              </w:rPr>
              <w:t>不外排</w:t>
            </w:r>
            <w:r>
              <w:rPr>
                <w:rFonts w:hint="default" w:ascii="Times New Roman" w:hAnsi="Times New Roman" w:cs="Times New Roman"/>
                <w:color w:val="000000" w:themeColor="text1"/>
                <w:szCs w:val="21"/>
                <w:highlight w:val="none"/>
                <w14:textFill>
                  <w14:solidFill>
                    <w14:schemeClr w14:val="tx1"/>
                  </w14:solidFill>
                </w14:textFill>
              </w:rPr>
              <w:t>。</w:t>
            </w:r>
          </w:p>
        </w:tc>
        <w:tc>
          <w:tcPr>
            <w:tcW w:w="1799" w:type="dxa"/>
            <w:noWrap w:val="0"/>
            <w:vAlign w:val="center"/>
          </w:tcPr>
          <w:p w14:paraId="4262367C">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eastAsia="宋体"/>
                <w:color w:val="000000" w:themeColor="text1"/>
                <w:szCs w:val="21"/>
                <w:highlight w:val="none"/>
                <w:lang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w:t>
            </w:r>
          </w:p>
        </w:tc>
      </w:tr>
      <w:tr w14:paraId="2E62BF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8" w:hRule="atLeast"/>
          <w:jc w:val="center"/>
        </w:trPr>
        <w:tc>
          <w:tcPr>
            <w:tcW w:w="421" w:type="dxa"/>
            <w:vMerge w:val="continue"/>
            <w:noWrap w:val="0"/>
            <w:vAlign w:val="center"/>
          </w:tcPr>
          <w:p w14:paraId="796FCC4B">
            <w:pPr>
              <w:adjustRightInd w:val="0"/>
              <w:snapToGrid w:val="0"/>
              <w:jc w:val="center"/>
              <w:rPr>
                <w:color w:val="000000" w:themeColor="text1"/>
                <w:szCs w:val="21"/>
                <w:highlight w:val="none"/>
                <w14:textFill>
                  <w14:solidFill>
                    <w14:schemeClr w14:val="tx1"/>
                  </w14:solidFill>
                </w14:textFill>
              </w:rPr>
            </w:pPr>
          </w:p>
        </w:tc>
        <w:tc>
          <w:tcPr>
            <w:tcW w:w="742" w:type="dxa"/>
            <w:vMerge w:val="continue"/>
            <w:noWrap w:val="0"/>
            <w:vAlign w:val="center"/>
          </w:tcPr>
          <w:p w14:paraId="595ADC2D">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color w:val="000000" w:themeColor="text1"/>
                <w:szCs w:val="21"/>
                <w:highlight w:val="none"/>
                <w14:textFill>
                  <w14:solidFill>
                    <w14:schemeClr w14:val="tx1"/>
                  </w14:solidFill>
                </w14:textFill>
              </w:rPr>
            </w:pPr>
          </w:p>
        </w:tc>
        <w:tc>
          <w:tcPr>
            <w:tcW w:w="1244" w:type="dxa"/>
            <w:vMerge w:val="restart"/>
            <w:noWrap w:val="0"/>
            <w:vAlign w:val="center"/>
          </w:tcPr>
          <w:p w14:paraId="39A8E11D">
            <w:pPr>
              <w:keepNext w:val="0"/>
              <w:keepLines w:val="0"/>
              <w:pageBreakBefore w:val="0"/>
              <w:widowControl w:val="0"/>
              <w:kinsoku/>
              <w:wordWrap/>
              <w:overflowPunct/>
              <w:topLinePunct w:val="0"/>
              <w:autoSpaceDE/>
              <w:autoSpaceDN/>
              <w:bidi w:val="0"/>
              <w:spacing w:line="240" w:lineRule="exact"/>
              <w:jc w:val="center"/>
              <w:textAlignment w:val="auto"/>
              <w:rPr>
                <w:rFonts w:hint="default" w:eastAsia="宋体"/>
                <w:bCs/>
                <w:color w:val="000000" w:themeColor="text1"/>
                <w:szCs w:val="21"/>
                <w:highlight w:val="none"/>
                <w:lang w:val="en-US" w:eastAsia="zh-CN"/>
                <w14:textFill>
                  <w14:solidFill>
                    <w14:schemeClr w14:val="tx1"/>
                  </w14:solidFill>
                </w14:textFill>
              </w:rPr>
            </w:pPr>
            <w:r>
              <w:rPr>
                <w:rFonts w:hint="eastAsia"/>
                <w:bCs/>
                <w:color w:val="000000" w:themeColor="text1"/>
                <w:szCs w:val="21"/>
                <w:highlight w:val="none"/>
                <w:lang w:val="en-US" w:eastAsia="zh-CN"/>
                <w14:textFill>
                  <w14:solidFill>
                    <w14:schemeClr w14:val="tx1"/>
                  </w14:solidFill>
                </w14:textFill>
              </w:rPr>
              <w:t>辅助工程</w:t>
            </w:r>
          </w:p>
        </w:tc>
        <w:tc>
          <w:tcPr>
            <w:tcW w:w="1104" w:type="dxa"/>
            <w:noWrap w:val="0"/>
            <w:vAlign w:val="center"/>
          </w:tcPr>
          <w:p w14:paraId="0C016742">
            <w:pPr>
              <w:adjustRightInd w:val="0"/>
              <w:snapToGrid w:val="0"/>
              <w:jc w:val="center"/>
              <w:rPr>
                <w:bCs/>
                <w:color w:val="000000" w:themeColor="text1"/>
                <w:szCs w:val="21"/>
                <w:highlight w:val="none"/>
                <w14:textFill>
                  <w14:solidFill>
                    <w14:schemeClr w14:val="tx1"/>
                  </w14:solidFill>
                </w14:textFill>
              </w:rPr>
            </w:pPr>
            <w:r>
              <w:rPr>
                <w:rFonts w:hint="eastAsia" w:ascii="Times New Roman" w:hAnsi="Times New Roman" w:cs="Times New Roman"/>
                <w:color w:val="000000" w:themeColor="text1"/>
                <w:szCs w:val="21"/>
                <w:highlight w:val="none"/>
                <w:lang w:val="en-US" w:eastAsia="zh-CN"/>
                <w14:textFill>
                  <w14:solidFill>
                    <w14:schemeClr w14:val="tx1"/>
                  </w14:solidFill>
                </w14:textFill>
              </w:rPr>
              <w:t>废滤材</w:t>
            </w:r>
          </w:p>
        </w:tc>
        <w:tc>
          <w:tcPr>
            <w:tcW w:w="3497" w:type="dxa"/>
            <w:noWrap w:val="0"/>
            <w:vAlign w:val="center"/>
          </w:tcPr>
          <w:p w14:paraId="3A0FA00A">
            <w:pPr>
              <w:keepNext w:val="0"/>
              <w:keepLines w:val="0"/>
              <w:pageBreakBefore w:val="0"/>
              <w:widowControl w:val="0"/>
              <w:kinsoku/>
              <w:wordWrap/>
              <w:overflowPunct/>
              <w:topLinePunct w:val="0"/>
              <w:autoSpaceDE/>
              <w:autoSpaceDN/>
              <w:bidi w:val="0"/>
              <w:adjustRightInd w:val="0"/>
              <w:snapToGrid w:val="0"/>
              <w:spacing w:line="240" w:lineRule="auto"/>
              <w:ind w:right="0"/>
              <w:jc w:val="both"/>
              <w:textAlignment w:val="auto"/>
              <w:rPr>
                <w:color w:val="000000" w:themeColor="text1"/>
                <w:szCs w:val="21"/>
                <w:highlight w:val="none"/>
                <w14:textFill>
                  <w14:solidFill>
                    <w14:schemeClr w14:val="tx1"/>
                  </w14:solidFill>
                </w14:textFill>
              </w:rPr>
            </w:pPr>
            <w:r>
              <w:rPr>
                <w:rFonts w:hint="eastAsia" w:ascii="Times New Roman" w:hAnsi="Times New Roman" w:cs="Times New Roman"/>
                <w:color w:val="000000" w:themeColor="text1"/>
                <w:kern w:val="0"/>
                <w:szCs w:val="21"/>
                <w:highlight w:val="none"/>
                <w:lang w:val="en-US" w:eastAsia="zh-CN"/>
                <w14:textFill>
                  <w14:solidFill>
                    <w14:schemeClr w14:val="tx1"/>
                  </w14:solidFill>
                </w14:textFill>
              </w:rPr>
              <w:t>软水制备产生的废弃滤材，一般固废库暂存，定期送综合利用</w:t>
            </w:r>
            <w:r>
              <w:rPr>
                <w:rFonts w:hint="eastAsia" w:cs="Times New Roman"/>
                <w:color w:val="000000" w:themeColor="text1"/>
                <w:kern w:val="0"/>
                <w:szCs w:val="21"/>
                <w:highlight w:val="none"/>
                <w:lang w:val="en-US" w:eastAsia="zh-CN"/>
                <w14:textFill>
                  <w14:solidFill>
                    <w14:schemeClr w14:val="tx1"/>
                  </w14:solidFill>
                </w14:textFill>
              </w:rPr>
              <w:t>。</w:t>
            </w:r>
          </w:p>
        </w:tc>
        <w:tc>
          <w:tcPr>
            <w:tcW w:w="1799" w:type="dxa"/>
            <w:noWrap w:val="0"/>
            <w:vAlign w:val="center"/>
          </w:tcPr>
          <w:p w14:paraId="09FDDC70">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w:t>
            </w:r>
          </w:p>
        </w:tc>
      </w:tr>
      <w:tr w14:paraId="30112F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421" w:type="dxa"/>
            <w:vMerge w:val="continue"/>
            <w:noWrap w:val="0"/>
            <w:vAlign w:val="center"/>
          </w:tcPr>
          <w:p w14:paraId="6E39728E">
            <w:pPr>
              <w:adjustRightInd w:val="0"/>
              <w:snapToGrid w:val="0"/>
              <w:jc w:val="center"/>
              <w:rPr>
                <w:color w:val="000000" w:themeColor="text1"/>
                <w:szCs w:val="21"/>
                <w:highlight w:val="none"/>
                <w14:textFill>
                  <w14:solidFill>
                    <w14:schemeClr w14:val="tx1"/>
                  </w14:solidFill>
                </w14:textFill>
              </w:rPr>
            </w:pPr>
          </w:p>
        </w:tc>
        <w:tc>
          <w:tcPr>
            <w:tcW w:w="742" w:type="dxa"/>
            <w:vMerge w:val="continue"/>
            <w:noWrap w:val="0"/>
            <w:vAlign w:val="center"/>
          </w:tcPr>
          <w:p w14:paraId="7F5E6682">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color w:val="000000" w:themeColor="text1"/>
                <w:szCs w:val="21"/>
                <w:highlight w:val="none"/>
                <w14:textFill>
                  <w14:solidFill>
                    <w14:schemeClr w14:val="tx1"/>
                  </w14:solidFill>
                </w14:textFill>
              </w:rPr>
            </w:pPr>
          </w:p>
        </w:tc>
        <w:tc>
          <w:tcPr>
            <w:tcW w:w="1244" w:type="dxa"/>
            <w:vMerge w:val="continue"/>
            <w:noWrap w:val="0"/>
            <w:vAlign w:val="center"/>
          </w:tcPr>
          <w:p w14:paraId="36E44DB0">
            <w:pPr>
              <w:keepNext w:val="0"/>
              <w:keepLines w:val="0"/>
              <w:pageBreakBefore w:val="0"/>
              <w:widowControl w:val="0"/>
              <w:kinsoku/>
              <w:wordWrap/>
              <w:overflowPunct/>
              <w:topLinePunct w:val="0"/>
              <w:autoSpaceDE/>
              <w:autoSpaceDN/>
              <w:bidi w:val="0"/>
              <w:spacing w:line="240" w:lineRule="exact"/>
              <w:jc w:val="center"/>
              <w:textAlignment w:val="auto"/>
              <w:rPr>
                <w:bCs/>
                <w:color w:val="000000" w:themeColor="text1"/>
                <w:szCs w:val="21"/>
                <w:highlight w:val="none"/>
                <w14:textFill>
                  <w14:solidFill>
                    <w14:schemeClr w14:val="tx1"/>
                  </w14:solidFill>
                </w14:textFill>
              </w:rPr>
            </w:pPr>
          </w:p>
        </w:tc>
        <w:tc>
          <w:tcPr>
            <w:tcW w:w="1104" w:type="dxa"/>
            <w:noWrap w:val="0"/>
            <w:vAlign w:val="center"/>
          </w:tcPr>
          <w:p w14:paraId="7336343B">
            <w:pPr>
              <w:adjustRightInd w:val="0"/>
              <w:snapToGrid w:val="0"/>
              <w:jc w:val="center"/>
              <w:rPr>
                <w:bCs/>
                <w:color w:val="000000" w:themeColor="text1"/>
                <w:szCs w:val="21"/>
                <w:highlight w:val="none"/>
                <w14:textFill>
                  <w14:solidFill>
                    <w14:schemeClr w14:val="tx1"/>
                  </w14:solidFill>
                </w14:textFill>
              </w:rPr>
            </w:pPr>
            <w:r>
              <w:rPr>
                <w:rFonts w:hint="eastAsia" w:ascii="Times New Roman" w:hAnsi="Times New Roman" w:cs="Times New Roman"/>
                <w:color w:val="000000" w:themeColor="text1"/>
                <w:szCs w:val="21"/>
                <w:highlight w:val="none"/>
                <w:lang w:val="en-US" w:eastAsia="zh-CN"/>
                <w14:textFill>
                  <w14:solidFill>
                    <w14:schemeClr w14:val="tx1"/>
                  </w14:solidFill>
                </w14:textFill>
              </w:rPr>
              <w:t>废滤芯</w:t>
            </w:r>
          </w:p>
        </w:tc>
        <w:tc>
          <w:tcPr>
            <w:tcW w:w="3497" w:type="dxa"/>
            <w:noWrap w:val="0"/>
            <w:vAlign w:val="center"/>
          </w:tcPr>
          <w:p w14:paraId="0013735D">
            <w:pPr>
              <w:keepNext w:val="0"/>
              <w:keepLines w:val="0"/>
              <w:pageBreakBefore w:val="0"/>
              <w:widowControl w:val="0"/>
              <w:kinsoku/>
              <w:wordWrap/>
              <w:overflowPunct/>
              <w:topLinePunct w:val="0"/>
              <w:autoSpaceDE/>
              <w:autoSpaceDN/>
              <w:bidi w:val="0"/>
              <w:adjustRightInd w:val="0"/>
              <w:snapToGrid w:val="0"/>
              <w:spacing w:line="240" w:lineRule="auto"/>
              <w:ind w:right="0"/>
              <w:jc w:val="both"/>
              <w:textAlignment w:val="auto"/>
              <w:rPr>
                <w:color w:val="000000" w:themeColor="text1"/>
                <w:szCs w:val="21"/>
                <w:highlight w:val="none"/>
                <w14:textFill>
                  <w14:solidFill>
                    <w14:schemeClr w14:val="tx1"/>
                  </w14:solidFill>
                </w14:textFill>
              </w:rPr>
            </w:pPr>
            <w:r>
              <w:rPr>
                <w:rFonts w:hint="eastAsia" w:ascii="Times New Roman" w:hAnsi="Times New Roman" w:cs="Times New Roman"/>
                <w:color w:val="000000" w:themeColor="text1"/>
                <w:kern w:val="0"/>
                <w:szCs w:val="21"/>
                <w:highlight w:val="none"/>
                <w:lang w:val="en-US" w:eastAsia="zh-CN"/>
                <w14:textFill>
                  <w14:solidFill>
                    <w14:schemeClr w14:val="tx1"/>
                  </w14:solidFill>
                </w14:textFill>
              </w:rPr>
              <w:t>空压站废滤芯一般固废库暂存，定期送综合利用</w:t>
            </w:r>
            <w:r>
              <w:rPr>
                <w:rFonts w:hint="eastAsia" w:cs="Times New Roman"/>
                <w:color w:val="000000" w:themeColor="text1"/>
                <w:kern w:val="0"/>
                <w:szCs w:val="21"/>
                <w:highlight w:val="none"/>
                <w:lang w:val="en-US" w:eastAsia="zh-CN"/>
                <w14:textFill>
                  <w14:solidFill>
                    <w14:schemeClr w14:val="tx1"/>
                  </w14:solidFill>
                </w14:textFill>
              </w:rPr>
              <w:t>。</w:t>
            </w:r>
          </w:p>
        </w:tc>
        <w:tc>
          <w:tcPr>
            <w:tcW w:w="1799" w:type="dxa"/>
            <w:noWrap w:val="0"/>
            <w:vAlign w:val="center"/>
          </w:tcPr>
          <w:p w14:paraId="380516AD">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w:t>
            </w:r>
          </w:p>
        </w:tc>
      </w:tr>
      <w:tr w14:paraId="2FDCCD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421" w:type="dxa"/>
            <w:vMerge w:val="continue"/>
            <w:noWrap w:val="0"/>
            <w:vAlign w:val="center"/>
          </w:tcPr>
          <w:p w14:paraId="3042F035">
            <w:pPr>
              <w:adjustRightInd w:val="0"/>
              <w:snapToGrid w:val="0"/>
              <w:jc w:val="center"/>
              <w:rPr>
                <w:color w:val="000000" w:themeColor="text1"/>
                <w:szCs w:val="21"/>
                <w:highlight w:val="none"/>
                <w14:textFill>
                  <w14:solidFill>
                    <w14:schemeClr w14:val="tx1"/>
                  </w14:solidFill>
                </w14:textFill>
              </w:rPr>
            </w:pPr>
          </w:p>
        </w:tc>
        <w:tc>
          <w:tcPr>
            <w:tcW w:w="742" w:type="dxa"/>
            <w:vMerge w:val="continue"/>
            <w:noWrap w:val="0"/>
            <w:vAlign w:val="center"/>
          </w:tcPr>
          <w:p w14:paraId="46010160">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color w:val="000000" w:themeColor="text1"/>
                <w:szCs w:val="21"/>
                <w:highlight w:val="none"/>
                <w14:textFill>
                  <w14:solidFill>
                    <w14:schemeClr w14:val="tx1"/>
                  </w14:solidFill>
                </w14:textFill>
              </w:rPr>
            </w:pPr>
          </w:p>
        </w:tc>
        <w:tc>
          <w:tcPr>
            <w:tcW w:w="1244" w:type="dxa"/>
            <w:noWrap w:val="0"/>
            <w:vAlign w:val="center"/>
          </w:tcPr>
          <w:p w14:paraId="4511133A">
            <w:pPr>
              <w:keepNext w:val="0"/>
              <w:keepLines w:val="0"/>
              <w:pageBreakBefore w:val="0"/>
              <w:widowControl w:val="0"/>
              <w:kinsoku/>
              <w:wordWrap/>
              <w:overflowPunct/>
              <w:topLinePunct w:val="0"/>
              <w:autoSpaceDE/>
              <w:autoSpaceDN/>
              <w:bidi w:val="0"/>
              <w:spacing w:line="240" w:lineRule="exact"/>
              <w:jc w:val="center"/>
              <w:textAlignment w:val="auto"/>
              <w:rPr>
                <w:rFonts w:hint="eastAsia" w:eastAsia="宋体"/>
                <w:bCs/>
                <w:color w:val="000000" w:themeColor="text1"/>
                <w:kern w:val="2"/>
                <w:sz w:val="21"/>
                <w:szCs w:val="21"/>
                <w:highlight w:val="none"/>
                <w:lang w:val="en-US" w:eastAsia="zh-CN" w:bidi="ar-SA"/>
                <w14:textFill>
                  <w14:solidFill>
                    <w14:schemeClr w14:val="tx1"/>
                  </w14:solidFill>
                </w14:textFill>
              </w:rPr>
            </w:pPr>
            <w:r>
              <w:rPr>
                <w:rFonts w:hint="eastAsia"/>
                <w:bCs/>
                <w:color w:val="000000" w:themeColor="text1"/>
                <w:szCs w:val="21"/>
                <w:highlight w:val="none"/>
                <w:lang w:val="en-US" w:eastAsia="zh-CN"/>
                <w14:textFill>
                  <w14:solidFill>
                    <w14:schemeClr w14:val="tx1"/>
                  </w14:solidFill>
                </w14:textFill>
              </w:rPr>
              <w:t>废气治理</w:t>
            </w:r>
          </w:p>
        </w:tc>
        <w:tc>
          <w:tcPr>
            <w:tcW w:w="1104" w:type="dxa"/>
            <w:noWrap w:val="0"/>
            <w:vAlign w:val="center"/>
          </w:tcPr>
          <w:p w14:paraId="6F4E3960">
            <w:pPr>
              <w:keepNext w:val="0"/>
              <w:keepLines w:val="0"/>
              <w:pageBreakBefore w:val="0"/>
              <w:widowControl w:val="0"/>
              <w:kinsoku/>
              <w:wordWrap/>
              <w:overflowPunct/>
              <w:topLinePunct w:val="0"/>
              <w:autoSpaceDE/>
              <w:autoSpaceDN/>
              <w:bidi w:val="0"/>
              <w:spacing w:line="240" w:lineRule="exact"/>
              <w:jc w:val="center"/>
              <w:textAlignment w:val="auto"/>
              <w:rPr>
                <w:rFonts w:hint="eastAsia" w:eastAsia="宋体"/>
                <w:bCs/>
                <w:color w:val="000000" w:themeColor="text1"/>
                <w:kern w:val="2"/>
                <w:sz w:val="21"/>
                <w:szCs w:val="21"/>
                <w:highlight w:val="none"/>
                <w:lang w:val="en-US" w:eastAsia="zh-CN" w:bidi="ar-SA"/>
                <w14:textFill>
                  <w14:solidFill>
                    <w14:schemeClr w14:val="tx1"/>
                  </w14:solidFill>
                </w14:textFill>
              </w:rPr>
            </w:pPr>
            <w:r>
              <w:rPr>
                <w:rFonts w:hint="eastAsia"/>
                <w:bCs/>
                <w:color w:val="000000" w:themeColor="text1"/>
                <w:szCs w:val="21"/>
                <w:highlight w:val="none"/>
                <w:lang w:val="en-US" w:eastAsia="zh-CN"/>
                <w14:textFill>
                  <w14:solidFill>
                    <w14:schemeClr w14:val="tx1"/>
                  </w14:solidFill>
                </w14:textFill>
              </w:rPr>
              <w:t>脱硫石膏</w:t>
            </w:r>
          </w:p>
        </w:tc>
        <w:tc>
          <w:tcPr>
            <w:tcW w:w="3497" w:type="dxa"/>
            <w:noWrap w:val="0"/>
            <w:vAlign w:val="center"/>
          </w:tcPr>
          <w:p w14:paraId="157029AE">
            <w:pPr>
              <w:keepNext w:val="0"/>
              <w:keepLines w:val="0"/>
              <w:pageBreakBefore w:val="0"/>
              <w:widowControl w:val="0"/>
              <w:kinsoku/>
              <w:wordWrap/>
              <w:overflowPunct/>
              <w:topLinePunct w:val="0"/>
              <w:autoSpaceDE/>
              <w:autoSpaceDN/>
              <w:bidi w:val="0"/>
              <w:spacing w:line="240" w:lineRule="auto"/>
              <w:ind w:right="0"/>
              <w:jc w:val="both"/>
              <w:textAlignment w:val="auto"/>
              <w:rPr>
                <w:rFonts w:hint="eastAsia"/>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cs="Times New Roman"/>
                <w:color w:val="000000" w:themeColor="text1"/>
                <w:kern w:val="0"/>
                <w:szCs w:val="21"/>
                <w:highlight w:val="none"/>
                <w:lang w:val="en-US" w:eastAsia="zh-CN"/>
                <w14:textFill>
                  <w14:solidFill>
                    <w14:schemeClr w14:val="tx1"/>
                  </w14:solidFill>
                </w14:textFill>
              </w:rPr>
              <w:t>1座50m</w:t>
            </w:r>
            <w:r>
              <w:rPr>
                <w:rFonts w:hint="eastAsia" w:ascii="Times New Roman" w:hAnsi="Times New Roman" w:cs="Times New Roman"/>
                <w:color w:val="000000" w:themeColor="text1"/>
                <w:kern w:val="0"/>
                <w:szCs w:val="21"/>
                <w:highlight w:val="none"/>
                <w:vertAlign w:val="superscript"/>
                <w:lang w:val="en-US" w:eastAsia="zh-CN"/>
                <w14:textFill>
                  <w14:solidFill>
                    <w14:schemeClr w14:val="tx1"/>
                  </w14:solidFill>
                </w14:textFill>
              </w:rPr>
              <w:t>2</w:t>
            </w:r>
            <w:r>
              <w:rPr>
                <w:rFonts w:hint="eastAsia" w:ascii="Times New Roman" w:hAnsi="Times New Roman" w:cs="Times New Roman"/>
                <w:color w:val="000000" w:themeColor="text1"/>
                <w:kern w:val="0"/>
                <w:szCs w:val="21"/>
                <w:highlight w:val="none"/>
                <w:lang w:val="en-US" w:eastAsia="zh-CN"/>
                <w14:textFill>
                  <w14:solidFill>
                    <w14:schemeClr w14:val="tx1"/>
                  </w14:solidFill>
                </w14:textFill>
              </w:rPr>
              <w:t>的一般固废库暂存，定期外售</w:t>
            </w:r>
            <w:r>
              <w:rPr>
                <w:rFonts w:hint="default" w:ascii="Times New Roman" w:hAnsi="Times New Roman" w:cs="Times New Roman"/>
                <w:color w:val="000000" w:themeColor="text1"/>
                <w:kern w:val="0"/>
                <w:szCs w:val="21"/>
                <w:highlight w:val="none"/>
                <w14:textFill>
                  <w14:solidFill>
                    <w14:schemeClr w14:val="tx1"/>
                  </w14:solidFill>
                </w14:textFill>
              </w:rPr>
              <w:t>作为原材料</w:t>
            </w:r>
            <w:r>
              <w:rPr>
                <w:rFonts w:hint="eastAsia" w:ascii="Times New Roman" w:hAnsi="Times New Roman" w:cs="Times New Roman"/>
                <w:color w:val="000000" w:themeColor="text1"/>
                <w:kern w:val="0"/>
                <w:szCs w:val="21"/>
                <w:highlight w:val="none"/>
                <w:lang w:val="en-US" w:eastAsia="zh-CN"/>
                <w14:textFill>
                  <w14:solidFill>
                    <w14:schemeClr w14:val="tx1"/>
                  </w14:solidFill>
                </w14:textFill>
              </w:rPr>
              <w:t>综合利用</w:t>
            </w:r>
            <w:r>
              <w:rPr>
                <w:rFonts w:hint="eastAsia" w:ascii="Times New Roman" w:hAnsi="Times New Roman" w:cs="Times New Roman"/>
                <w:color w:val="000000" w:themeColor="text1"/>
                <w:kern w:val="0"/>
                <w:szCs w:val="21"/>
                <w:highlight w:val="none"/>
                <w:lang w:eastAsia="zh-CN"/>
                <w14:textFill>
                  <w14:solidFill>
                    <w14:schemeClr w14:val="tx1"/>
                  </w14:solidFill>
                </w14:textFill>
              </w:rPr>
              <w:t>，</w:t>
            </w:r>
            <w:r>
              <w:rPr>
                <w:rFonts w:hint="default" w:ascii="Times New Roman" w:hAnsi="Times New Roman" w:cs="Times New Roman"/>
                <w:color w:val="000000" w:themeColor="text1"/>
                <w:kern w:val="0"/>
                <w:szCs w:val="21"/>
                <w:highlight w:val="none"/>
                <w:lang w:eastAsia="zh-CN"/>
                <w14:textFill>
                  <w14:solidFill>
                    <w14:schemeClr w14:val="tx1"/>
                  </w14:solidFill>
                </w14:textFill>
              </w:rPr>
              <w:t>不外排</w:t>
            </w:r>
            <w:r>
              <w:rPr>
                <w:rFonts w:hint="default" w:ascii="Times New Roman" w:hAnsi="Times New Roman" w:cs="Times New Roman"/>
                <w:color w:val="000000" w:themeColor="text1"/>
                <w:szCs w:val="21"/>
                <w:highlight w:val="none"/>
                <w14:textFill>
                  <w14:solidFill>
                    <w14:schemeClr w14:val="tx1"/>
                  </w14:solidFill>
                </w14:textFill>
              </w:rPr>
              <w:t>。</w:t>
            </w:r>
          </w:p>
        </w:tc>
        <w:tc>
          <w:tcPr>
            <w:tcW w:w="1799" w:type="dxa"/>
            <w:noWrap w:val="0"/>
            <w:vAlign w:val="center"/>
          </w:tcPr>
          <w:p w14:paraId="562B9EA2">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w:t>
            </w:r>
          </w:p>
        </w:tc>
      </w:tr>
      <w:tr w14:paraId="7A8918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421" w:type="dxa"/>
            <w:vMerge w:val="continue"/>
            <w:noWrap w:val="0"/>
            <w:vAlign w:val="center"/>
          </w:tcPr>
          <w:p w14:paraId="258CD325">
            <w:pPr>
              <w:adjustRightInd w:val="0"/>
              <w:snapToGrid w:val="0"/>
              <w:jc w:val="center"/>
              <w:rPr>
                <w:color w:val="000000" w:themeColor="text1"/>
                <w:szCs w:val="21"/>
                <w:highlight w:val="none"/>
                <w14:textFill>
                  <w14:solidFill>
                    <w14:schemeClr w14:val="tx1"/>
                  </w14:solidFill>
                </w14:textFill>
              </w:rPr>
            </w:pPr>
          </w:p>
        </w:tc>
        <w:tc>
          <w:tcPr>
            <w:tcW w:w="742" w:type="dxa"/>
            <w:vMerge w:val="continue"/>
            <w:noWrap w:val="0"/>
            <w:vAlign w:val="center"/>
          </w:tcPr>
          <w:p w14:paraId="3E6C529E">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color w:val="000000" w:themeColor="text1"/>
                <w:szCs w:val="21"/>
                <w:highlight w:val="none"/>
                <w14:textFill>
                  <w14:solidFill>
                    <w14:schemeClr w14:val="tx1"/>
                  </w14:solidFill>
                </w14:textFill>
              </w:rPr>
            </w:pPr>
          </w:p>
        </w:tc>
        <w:tc>
          <w:tcPr>
            <w:tcW w:w="1244" w:type="dxa"/>
            <w:vMerge w:val="restart"/>
            <w:noWrap w:val="0"/>
            <w:vAlign w:val="center"/>
          </w:tcPr>
          <w:p w14:paraId="4F87B06C">
            <w:pPr>
              <w:keepNext w:val="0"/>
              <w:keepLines w:val="0"/>
              <w:pageBreakBefore w:val="0"/>
              <w:widowControl w:val="0"/>
              <w:kinsoku/>
              <w:wordWrap/>
              <w:overflowPunct/>
              <w:topLinePunct w:val="0"/>
              <w:autoSpaceDE/>
              <w:autoSpaceDN/>
              <w:bidi w:val="0"/>
              <w:spacing w:line="240" w:lineRule="exact"/>
              <w:jc w:val="center"/>
              <w:textAlignment w:val="auto"/>
              <w:rPr>
                <w:rFonts w:hint="default"/>
                <w:bCs/>
                <w:color w:val="000000" w:themeColor="text1"/>
                <w:szCs w:val="21"/>
                <w:highlight w:val="none"/>
                <w:lang w:val="en-US" w:eastAsia="zh-CN"/>
                <w14:textFill>
                  <w14:solidFill>
                    <w14:schemeClr w14:val="tx1"/>
                  </w14:solidFill>
                </w14:textFill>
              </w:rPr>
            </w:pPr>
            <w:r>
              <w:rPr>
                <w:rFonts w:hint="eastAsia"/>
                <w:bCs/>
                <w:color w:val="000000" w:themeColor="text1"/>
                <w:szCs w:val="21"/>
                <w:highlight w:val="none"/>
                <w:lang w:val="en-US" w:eastAsia="zh-CN"/>
                <w14:textFill>
                  <w14:solidFill>
                    <w14:schemeClr w14:val="tx1"/>
                  </w14:solidFill>
                </w14:textFill>
              </w:rPr>
              <w:t>机修</w:t>
            </w:r>
          </w:p>
        </w:tc>
        <w:tc>
          <w:tcPr>
            <w:tcW w:w="1104" w:type="dxa"/>
            <w:noWrap w:val="0"/>
            <w:vAlign w:val="center"/>
          </w:tcPr>
          <w:p w14:paraId="268BB785">
            <w:pPr>
              <w:keepNext w:val="0"/>
              <w:keepLines w:val="0"/>
              <w:pageBreakBefore w:val="0"/>
              <w:widowControl w:val="0"/>
              <w:kinsoku/>
              <w:wordWrap/>
              <w:overflowPunct/>
              <w:topLinePunct w:val="0"/>
              <w:autoSpaceDE/>
              <w:autoSpaceDN/>
              <w:bidi w:val="0"/>
              <w:spacing w:line="240" w:lineRule="exact"/>
              <w:jc w:val="center"/>
              <w:textAlignment w:val="auto"/>
              <w:rPr>
                <w:rFonts w:hint="eastAsia"/>
                <w:bCs/>
                <w:color w:val="000000" w:themeColor="text1"/>
                <w:szCs w:val="21"/>
                <w:highlight w:val="none"/>
                <w:lang w:val="en-US" w:eastAsia="zh-CN"/>
                <w14:textFill>
                  <w14:solidFill>
                    <w14:schemeClr w14:val="tx1"/>
                  </w14:solidFill>
                </w14:textFill>
              </w:rPr>
            </w:pPr>
            <w:r>
              <w:rPr>
                <w:rFonts w:hint="eastAsia"/>
                <w:bCs/>
                <w:color w:val="000000" w:themeColor="text1"/>
                <w:szCs w:val="21"/>
                <w:highlight w:val="none"/>
                <w:lang w:val="en-US" w:eastAsia="zh-CN"/>
                <w14:textFill>
                  <w14:solidFill>
                    <w14:schemeClr w14:val="tx1"/>
                  </w14:solidFill>
                </w14:textFill>
              </w:rPr>
              <w:t>废机油</w:t>
            </w:r>
          </w:p>
        </w:tc>
        <w:tc>
          <w:tcPr>
            <w:tcW w:w="3497" w:type="dxa"/>
            <w:vMerge w:val="restart"/>
            <w:noWrap w:val="0"/>
            <w:vAlign w:val="center"/>
          </w:tcPr>
          <w:p w14:paraId="4C0C9B7D">
            <w:pPr>
              <w:keepNext w:val="0"/>
              <w:keepLines w:val="0"/>
              <w:pageBreakBefore w:val="0"/>
              <w:widowControl w:val="0"/>
              <w:kinsoku/>
              <w:wordWrap/>
              <w:overflowPunct/>
              <w:topLinePunct w:val="0"/>
              <w:autoSpaceDE/>
              <w:autoSpaceDN/>
              <w:bidi w:val="0"/>
              <w:spacing w:line="240" w:lineRule="auto"/>
              <w:ind w:right="0"/>
              <w:jc w:val="both"/>
              <w:textAlignment w:val="auto"/>
              <w:rPr>
                <w:rFonts w:hint="eastAsia" w:ascii="Times New Roman" w:hAnsi="Times New Roman" w:cs="Times New Roman"/>
                <w:color w:val="000000" w:themeColor="text1"/>
                <w:kern w:val="0"/>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eastAsia="zh-CN"/>
                <w14:textFill>
                  <w14:solidFill>
                    <w14:schemeClr w14:val="tx1"/>
                  </w14:solidFill>
                </w14:textFill>
              </w:rPr>
              <w:t>收集后暂存于</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30m</w:t>
            </w:r>
            <w:r>
              <w:rPr>
                <w:rFonts w:hint="default" w:ascii="Times New Roman" w:hAnsi="Times New Roman" w:cs="Times New Roman"/>
                <w:b w:val="0"/>
                <w:bCs w:val="0"/>
                <w:color w:val="000000" w:themeColor="text1"/>
                <w:sz w:val="21"/>
                <w:szCs w:val="21"/>
                <w:highlight w:val="none"/>
                <w:vertAlign w:val="superscript"/>
                <w:lang w:val="en-US" w:eastAsia="zh-CN"/>
                <w14:textFill>
                  <w14:solidFill>
                    <w14:schemeClr w14:val="tx1"/>
                  </w14:solidFill>
                </w14:textFill>
              </w:rPr>
              <w:t>3</w:t>
            </w:r>
            <w:r>
              <w:rPr>
                <w:rFonts w:hint="default" w:ascii="Times New Roman" w:hAnsi="Times New Roman" w:cs="Times New Roman"/>
                <w:b w:val="0"/>
                <w:bCs w:val="0"/>
                <w:color w:val="000000" w:themeColor="text1"/>
                <w:sz w:val="21"/>
                <w:szCs w:val="21"/>
                <w:highlight w:val="none"/>
                <w:lang w:eastAsia="zh-CN"/>
                <w14:textFill>
                  <w14:solidFill>
                    <w14:schemeClr w14:val="tx1"/>
                  </w14:solidFill>
                </w14:textFill>
              </w:rPr>
              <w:t>危废暂存间，定期委托有危废处理资质的单位处理。</w:t>
            </w:r>
          </w:p>
        </w:tc>
        <w:tc>
          <w:tcPr>
            <w:tcW w:w="1799" w:type="dxa"/>
            <w:noWrap w:val="0"/>
            <w:vAlign w:val="center"/>
          </w:tcPr>
          <w:p w14:paraId="1EAE0136">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color w:val="000000" w:themeColor="text1"/>
                <w:szCs w:val="21"/>
                <w:highlight w:val="none"/>
                <w:lang w:val="en-US" w:eastAsia="zh-CN"/>
                <w14:textFill>
                  <w14:solidFill>
                    <w14:schemeClr w14:val="tx1"/>
                  </w14:solidFill>
                </w14:textFill>
              </w:rPr>
            </w:pPr>
          </w:p>
        </w:tc>
      </w:tr>
      <w:tr w14:paraId="57A3BA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421" w:type="dxa"/>
            <w:vMerge w:val="continue"/>
            <w:noWrap w:val="0"/>
            <w:vAlign w:val="center"/>
          </w:tcPr>
          <w:p w14:paraId="1A9A0D39">
            <w:pPr>
              <w:adjustRightInd w:val="0"/>
              <w:snapToGrid w:val="0"/>
              <w:jc w:val="center"/>
              <w:rPr>
                <w:color w:val="000000" w:themeColor="text1"/>
                <w:szCs w:val="21"/>
                <w:highlight w:val="none"/>
                <w14:textFill>
                  <w14:solidFill>
                    <w14:schemeClr w14:val="tx1"/>
                  </w14:solidFill>
                </w14:textFill>
              </w:rPr>
            </w:pPr>
          </w:p>
        </w:tc>
        <w:tc>
          <w:tcPr>
            <w:tcW w:w="742" w:type="dxa"/>
            <w:vMerge w:val="continue"/>
            <w:noWrap w:val="0"/>
            <w:vAlign w:val="center"/>
          </w:tcPr>
          <w:p w14:paraId="60E543F8">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color w:val="000000" w:themeColor="text1"/>
                <w:szCs w:val="21"/>
                <w:highlight w:val="none"/>
                <w14:textFill>
                  <w14:solidFill>
                    <w14:schemeClr w14:val="tx1"/>
                  </w14:solidFill>
                </w14:textFill>
              </w:rPr>
            </w:pPr>
          </w:p>
        </w:tc>
        <w:tc>
          <w:tcPr>
            <w:tcW w:w="1244" w:type="dxa"/>
            <w:vMerge w:val="continue"/>
            <w:noWrap w:val="0"/>
            <w:vAlign w:val="center"/>
          </w:tcPr>
          <w:p w14:paraId="26C826E4">
            <w:pPr>
              <w:keepNext w:val="0"/>
              <w:keepLines w:val="0"/>
              <w:pageBreakBefore w:val="0"/>
              <w:widowControl w:val="0"/>
              <w:kinsoku/>
              <w:wordWrap/>
              <w:overflowPunct/>
              <w:topLinePunct w:val="0"/>
              <w:autoSpaceDE/>
              <w:autoSpaceDN/>
              <w:bidi w:val="0"/>
              <w:spacing w:line="240" w:lineRule="exact"/>
              <w:jc w:val="center"/>
              <w:textAlignment w:val="auto"/>
              <w:rPr>
                <w:rFonts w:hint="default"/>
                <w:bCs/>
                <w:color w:val="000000" w:themeColor="text1"/>
                <w:szCs w:val="21"/>
                <w:highlight w:val="none"/>
                <w:lang w:val="en-US" w:eastAsia="zh-CN"/>
                <w14:textFill>
                  <w14:solidFill>
                    <w14:schemeClr w14:val="tx1"/>
                  </w14:solidFill>
                </w14:textFill>
              </w:rPr>
            </w:pPr>
          </w:p>
        </w:tc>
        <w:tc>
          <w:tcPr>
            <w:tcW w:w="1104" w:type="dxa"/>
            <w:noWrap w:val="0"/>
            <w:vAlign w:val="center"/>
          </w:tcPr>
          <w:p w14:paraId="322AA344">
            <w:pPr>
              <w:keepNext w:val="0"/>
              <w:keepLines w:val="0"/>
              <w:pageBreakBefore w:val="0"/>
              <w:widowControl w:val="0"/>
              <w:kinsoku/>
              <w:wordWrap/>
              <w:overflowPunct/>
              <w:topLinePunct w:val="0"/>
              <w:autoSpaceDE/>
              <w:autoSpaceDN/>
              <w:bidi w:val="0"/>
              <w:spacing w:line="240" w:lineRule="exact"/>
              <w:jc w:val="center"/>
              <w:textAlignment w:val="auto"/>
              <w:rPr>
                <w:rFonts w:hint="default"/>
                <w:bCs/>
                <w:color w:val="000000" w:themeColor="text1"/>
                <w:szCs w:val="21"/>
                <w:highlight w:val="none"/>
                <w:lang w:val="en-US" w:eastAsia="zh-CN"/>
                <w14:textFill>
                  <w14:solidFill>
                    <w14:schemeClr w14:val="tx1"/>
                  </w14:solidFill>
                </w14:textFill>
              </w:rPr>
            </w:pPr>
            <w:r>
              <w:rPr>
                <w:rFonts w:hint="eastAsia"/>
                <w:bCs/>
                <w:color w:val="000000" w:themeColor="text1"/>
                <w:szCs w:val="21"/>
                <w:highlight w:val="none"/>
                <w:lang w:val="en-US" w:eastAsia="zh-CN"/>
                <w14:textFill>
                  <w14:solidFill>
                    <w14:schemeClr w14:val="tx1"/>
                  </w14:solidFill>
                </w14:textFill>
              </w:rPr>
              <w:t>废油桶</w:t>
            </w:r>
          </w:p>
        </w:tc>
        <w:tc>
          <w:tcPr>
            <w:tcW w:w="3497" w:type="dxa"/>
            <w:vMerge w:val="continue"/>
            <w:noWrap w:val="0"/>
            <w:vAlign w:val="center"/>
          </w:tcPr>
          <w:p w14:paraId="722FFC13">
            <w:pPr>
              <w:keepNext w:val="0"/>
              <w:keepLines w:val="0"/>
              <w:pageBreakBefore w:val="0"/>
              <w:widowControl w:val="0"/>
              <w:kinsoku/>
              <w:wordWrap/>
              <w:overflowPunct/>
              <w:topLinePunct w:val="0"/>
              <w:autoSpaceDE/>
              <w:autoSpaceDN/>
              <w:bidi w:val="0"/>
              <w:spacing w:line="240" w:lineRule="auto"/>
              <w:ind w:right="0"/>
              <w:jc w:val="both"/>
              <w:textAlignment w:val="auto"/>
              <w:rPr>
                <w:rFonts w:hint="default" w:ascii="Times New Roman" w:hAnsi="Times New Roman" w:cs="Times New Roman"/>
                <w:b w:val="0"/>
                <w:bCs w:val="0"/>
                <w:color w:val="000000" w:themeColor="text1"/>
                <w:sz w:val="21"/>
                <w:szCs w:val="21"/>
                <w:highlight w:val="none"/>
                <w:lang w:eastAsia="zh-CN"/>
                <w14:textFill>
                  <w14:solidFill>
                    <w14:schemeClr w14:val="tx1"/>
                  </w14:solidFill>
                </w14:textFill>
              </w:rPr>
            </w:pPr>
          </w:p>
        </w:tc>
        <w:tc>
          <w:tcPr>
            <w:tcW w:w="1799" w:type="dxa"/>
            <w:noWrap w:val="0"/>
            <w:vAlign w:val="center"/>
          </w:tcPr>
          <w:p w14:paraId="6B820AF5">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color w:val="000000" w:themeColor="text1"/>
                <w:szCs w:val="21"/>
                <w:highlight w:val="none"/>
                <w:lang w:val="en-US" w:eastAsia="zh-CN"/>
                <w14:textFill>
                  <w14:solidFill>
                    <w14:schemeClr w14:val="tx1"/>
                  </w14:solidFill>
                </w14:textFill>
              </w:rPr>
            </w:pPr>
          </w:p>
        </w:tc>
      </w:tr>
      <w:tr w14:paraId="78743F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421" w:type="dxa"/>
            <w:vMerge w:val="continue"/>
            <w:noWrap w:val="0"/>
            <w:vAlign w:val="center"/>
          </w:tcPr>
          <w:p w14:paraId="2269D181">
            <w:pPr>
              <w:adjustRightInd w:val="0"/>
              <w:snapToGrid w:val="0"/>
              <w:jc w:val="center"/>
              <w:rPr>
                <w:color w:val="000000" w:themeColor="text1"/>
                <w:szCs w:val="21"/>
                <w:highlight w:val="none"/>
                <w14:textFill>
                  <w14:solidFill>
                    <w14:schemeClr w14:val="tx1"/>
                  </w14:solidFill>
                </w14:textFill>
              </w:rPr>
            </w:pPr>
          </w:p>
        </w:tc>
        <w:tc>
          <w:tcPr>
            <w:tcW w:w="742" w:type="dxa"/>
            <w:vMerge w:val="continue"/>
            <w:noWrap w:val="0"/>
            <w:vAlign w:val="center"/>
          </w:tcPr>
          <w:p w14:paraId="07126CEF">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color w:val="000000" w:themeColor="text1"/>
                <w:szCs w:val="21"/>
                <w:highlight w:val="none"/>
                <w14:textFill>
                  <w14:solidFill>
                    <w14:schemeClr w14:val="tx1"/>
                  </w14:solidFill>
                </w14:textFill>
              </w:rPr>
            </w:pPr>
          </w:p>
        </w:tc>
        <w:tc>
          <w:tcPr>
            <w:tcW w:w="1244" w:type="dxa"/>
            <w:noWrap w:val="0"/>
            <w:vAlign w:val="center"/>
          </w:tcPr>
          <w:p w14:paraId="5B4C1142">
            <w:pPr>
              <w:keepNext w:val="0"/>
              <w:keepLines w:val="0"/>
              <w:pageBreakBefore w:val="0"/>
              <w:widowControl w:val="0"/>
              <w:kinsoku/>
              <w:wordWrap/>
              <w:overflowPunct/>
              <w:topLinePunct w:val="0"/>
              <w:autoSpaceDE/>
              <w:autoSpaceDN/>
              <w:bidi w:val="0"/>
              <w:spacing w:line="240" w:lineRule="exact"/>
              <w:jc w:val="center"/>
              <w:textAlignment w:val="auto"/>
              <w:rPr>
                <w:rFonts w:hint="default" w:eastAsia="宋体"/>
                <w:bCs/>
                <w:color w:val="000000" w:themeColor="text1"/>
                <w:szCs w:val="21"/>
                <w:highlight w:val="none"/>
                <w:lang w:val="en-US" w:eastAsia="zh-CN"/>
                <w14:textFill>
                  <w14:solidFill>
                    <w14:schemeClr w14:val="tx1"/>
                  </w14:solidFill>
                </w14:textFill>
              </w:rPr>
            </w:pPr>
            <w:r>
              <w:rPr>
                <w:rFonts w:hint="eastAsia" w:eastAsia="宋体"/>
                <w:bCs/>
                <w:color w:val="000000" w:themeColor="text1"/>
                <w:szCs w:val="21"/>
                <w:highlight w:val="none"/>
                <w:lang w:val="en-US" w:eastAsia="zh-CN"/>
                <w14:textFill>
                  <w14:solidFill>
                    <w14:schemeClr w14:val="tx1"/>
                  </w14:solidFill>
                </w14:textFill>
              </w:rPr>
              <w:t>废水处理</w:t>
            </w:r>
          </w:p>
        </w:tc>
        <w:tc>
          <w:tcPr>
            <w:tcW w:w="1104" w:type="dxa"/>
            <w:noWrap w:val="0"/>
            <w:vAlign w:val="center"/>
          </w:tcPr>
          <w:p w14:paraId="67E459F4">
            <w:pPr>
              <w:keepNext w:val="0"/>
              <w:keepLines w:val="0"/>
              <w:pageBreakBefore w:val="0"/>
              <w:widowControl w:val="0"/>
              <w:kinsoku/>
              <w:wordWrap/>
              <w:overflowPunct/>
              <w:topLinePunct w:val="0"/>
              <w:autoSpaceDE/>
              <w:autoSpaceDN/>
              <w:bidi w:val="0"/>
              <w:spacing w:line="240" w:lineRule="exact"/>
              <w:jc w:val="center"/>
              <w:textAlignment w:val="auto"/>
              <w:rPr>
                <w:rFonts w:hint="default" w:eastAsia="宋体"/>
                <w:bCs/>
                <w:color w:val="000000" w:themeColor="text1"/>
                <w:szCs w:val="21"/>
                <w:highlight w:val="none"/>
                <w:lang w:val="en-US" w:eastAsia="zh-CN"/>
                <w14:textFill>
                  <w14:solidFill>
                    <w14:schemeClr w14:val="tx1"/>
                  </w14:solidFill>
                </w14:textFill>
              </w:rPr>
            </w:pPr>
            <w:r>
              <w:rPr>
                <w:rFonts w:hint="eastAsia" w:eastAsia="宋体"/>
                <w:bCs/>
                <w:color w:val="000000" w:themeColor="text1"/>
                <w:szCs w:val="21"/>
                <w:highlight w:val="none"/>
                <w:lang w:val="en-US" w:eastAsia="zh-CN"/>
                <w14:textFill>
                  <w14:solidFill>
                    <w14:schemeClr w14:val="tx1"/>
                  </w14:solidFill>
                </w14:textFill>
              </w:rPr>
              <w:t>脱硫废水污泥</w:t>
            </w:r>
          </w:p>
        </w:tc>
        <w:tc>
          <w:tcPr>
            <w:tcW w:w="3497" w:type="dxa"/>
            <w:noWrap w:val="0"/>
            <w:vAlign w:val="center"/>
          </w:tcPr>
          <w:p w14:paraId="665AAF77">
            <w:pPr>
              <w:pStyle w:val="116"/>
              <w:keepNext w:val="0"/>
              <w:keepLines w:val="0"/>
              <w:pageBreakBefore w:val="0"/>
              <w:widowControl w:val="0"/>
              <w:kinsoku/>
              <w:wordWrap/>
              <w:overflowPunct/>
              <w:topLinePunct w:val="0"/>
              <w:autoSpaceDE/>
              <w:autoSpaceDN/>
              <w:bidi w:val="0"/>
              <w:spacing w:line="240" w:lineRule="auto"/>
              <w:ind w:right="0"/>
              <w:jc w:val="both"/>
              <w:textAlignment w:val="auto"/>
              <w:rPr>
                <w:rFonts w:hint="eastAsia" w:eastAsia="宋体"/>
                <w:color w:val="000000" w:themeColor="text1"/>
                <w:szCs w:val="21"/>
                <w:highlight w:val="none"/>
                <w:lang w:eastAsia="zh-CN"/>
                <w14:textFill>
                  <w14:solidFill>
                    <w14:schemeClr w14:val="tx1"/>
                  </w14:solidFill>
                </w14:textFill>
              </w:rPr>
            </w:pPr>
            <w:r>
              <w:rPr>
                <w:rFonts w:hint="eastAsia" w:ascii="Times New Roman" w:hAnsi="Times New Roman" w:cs="Times New Roman"/>
                <w:color w:val="000000" w:themeColor="text1"/>
                <w:kern w:val="0"/>
                <w:szCs w:val="21"/>
                <w:highlight w:val="none"/>
                <w:lang w:val="en-US" w:eastAsia="zh-CN"/>
                <w14:textFill>
                  <w14:solidFill>
                    <w14:schemeClr w14:val="tx1"/>
                  </w14:solidFill>
                </w14:textFill>
              </w:rPr>
              <w:t>1座30m</w:t>
            </w:r>
            <w:r>
              <w:rPr>
                <w:rFonts w:hint="eastAsia" w:ascii="Times New Roman" w:hAnsi="Times New Roman" w:cs="Times New Roman"/>
                <w:color w:val="000000" w:themeColor="text1"/>
                <w:kern w:val="0"/>
                <w:szCs w:val="21"/>
                <w:highlight w:val="none"/>
                <w:vertAlign w:val="superscript"/>
                <w:lang w:val="en-US" w:eastAsia="zh-CN"/>
                <w14:textFill>
                  <w14:solidFill>
                    <w14:schemeClr w14:val="tx1"/>
                  </w14:solidFill>
                </w14:textFill>
              </w:rPr>
              <w:t>2</w:t>
            </w:r>
            <w:r>
              <w:rPr>
                <w:rFonts w:hint="eastAsia" w:ascii="Times New Roman" w:hAnsi="Times New Roman" w:cs="Times New Roman"/>
                <w:color w:val="000000" w:themeColor="text1"/>
                <w:kern w:val="0"/>
                <w:szCs w:val="21"/>
                <w:highlight w:val="none"/>
                <w:lang w:val="en-US" w:eastAsia="zh-CN"/>
                <w14:textFill>
                  <w14:solidFill>
                    <w14:schemeClr w14:val="tx1"/>
                  </w14:solidFill>
                </w14:textFill>
              </w:rPr>
              <w:t>的</w:t>
            </w:r>
            <w:r>
              <w:rPr>
                <w:rFonts w:hint="default" w:ascii="Times New Roman" w:hAnsi="Times New Roman" w:cs="Times New Roman"/>
                <w:color w:val="000000" w:themeColor="text1"/>
                <w:spacing w:val="1"/>
                <w:sz w:val="21"/>
                <w:szCs w:val="21"/>
                <w:highlight w:val="none"/>
                <w:lang w:val="en-US" w:eastAsia="zh-CN"/>
                <w14:textFill>
                  <w14:solidFill>
                    <w14:schemeClr w14:val="tx1"/>
                  </w14:solidFill>
                </w14:textFill>
              </w:rPr>
              <w:t>暂存危废库，</w:t>
            </w:r>
            <w:r>
              <w:rPr>
                <w:rFonts w:hint="eastAsia"/>
                <w:color w:val="000000" w:themeColor="text1"/>
                <w:highlight w:val="none"/>
                <w14:textFill>
                  <w14:solidFill>
                    <w14:schemeClr w14:val="tx1"/>
                  </w14:solidFill>
                </w14:textFill>
              </w:rPr>
              <w:t>暂时按照危废进行管理，鉴别为一般固废的，按照一般固废管理并处理</w:t>
            </w:r>
            <w:r>
              <w:rPr>
                <w:rFonts w:hint="eastAsia"/>
                <w:color w:val="000000" w:themeColor="text1"/>
                <w:highlight w:val="none"/>
                <w:lang w:eastAsia="zh-CN"/>
                <w14:textFill>
                  <w14:solidFill>
                    <w14:schemeClr w14:val="tx1"/>
                  </w14:solidFill>
                </w14:textFill>
              </w:rPr>
              <w:t>。</w:t>
            </w:r>
          </w:p>
        </w:tc>
        <w:tc>
          <w:tcPr>
            <w:tcW w:w="1799" w:type="dxa"/>
            <w:noWrap w:val="0"/>
            <w:vAlign w:val="center"/>
          </w:tcPr>
          <w:p w14:paraId="3CED8479">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w:t>
            </w:r>
          </w:p>
        </w:tc>
      </w:tr>
      <w:tr w14:paraId="24FA79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1163" w:type="dxa"/>
            <w:gridSpan w:val="2"/>
            <w:noWrap w:val="0"/>
            <w:vAlign w:val="center"/>
          </w:tcPr>
          <w:p w14:paraId="0C8D6B77">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color w:val="000000" w:themeColor="text1"/>
                <w:szCs w:val="21"/>
                <w:highlight w:val="none"/>
                <w14:textFill>
                  <w14:solidFill>
                    <w14:schemeClr w14:val="tx1"/>
                  </w14:solidFill>
                </w14:textFill>
              </w:rPr>
            </w:pPr>
            <w:r>
              <w:rPr>
                <w:b/>
                <w:bCs/>
                <w:color w:val="000000" w:themeColor="text1"/>
                <w:szCs w:val="21"/>
                <w:highlight w:val="none"/>
                <w14:textFill>
                  <w14:solidFill>
                    <w14:schemeClr w14:val="tx1"/>
                  </w14:solidFill>
                </w14:textFill>
              </w:rPr>
              <w:t>土壤及地下水污染防治措施</w:t>
            </w:r>
          </w:p>
        </w:tc>
        <w:tc>
          <w:tcPr>
            <w:tcW w:w="7644" w:type="dxa"/>
            <w:gridSpan w:val="4"/>
            <w:noWrap w:val="0"/>
            <w:vAlign w:val="center"/>
          </w:tcPr>
          <w:p w14:paraId="357534A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exact"/>
              <w:jc w:val="both"/>
              <w:textAlignment w:val="auto"/>
              <w:rPr>
                <w:rFonts w:hint="eastAsia" w:ascii="Times New Roman"/>
                <w:color w:val="000000" w:themeColor="text1"/>
                <w:highlight w:val="none"/>
                <w:lang w:eastAsia="zh-CN"/>
                <w14:textFill>
                  <w14:solidFill>
                    <w14:schemeClr w14:val="tx1"/>
                  </w14:solidFill>
                </w14:textFill>
              </w:rPr>
            </w:pPr>
            <w:r>
              <w:rPr>
                <w:rFonts w:hint="eastAsia" w:ascii="Times New Roman"/>
                <w:color w:val="000000" w:themeColor="text1"/>
                <w:highlight w:val="none"/>
                <w:lang w:val="en-US" w:eastAsia="zh-CN"/>
                <w14:textFill>
                  <w14:solidFill>
                    <w14:schemeClr w14:val="tx1"/>
                  </w14:solidFill>
                </w14:textFill>
              </w:rPr>
              <w:t>1）</w:t>
            </w:r>
            <w:r>
              <w:rPr>
                <w:rFonts w:hint="eastAsia" w:ascii="Times New Roman"/>
                <w:color w:val="000000" w:themeColor="text1"/>
                <w:highlight w:val="none"/>
                <w:lang w:eastAsia="zh-CN"/>
                <w14:textFill>
                  <w14:solidFill>
                    <w14:schemeClr w14:val="tx1"/>
                  </w14:solidFill>
                </w14:textFill>
              </w:rPr>
              <w:t>加强日常管理和维修维护工作，防止跑冒滴漏现象的发生；</w:t>
            </w:r>
          </w:p>
          <w:p w14:paraId="0E4B1A4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exact"/>
              <w:jc w:val="both"/>
              <w:textAlignment w:val="auto"/>
              <w:rPr>
                <w:rFonts w:hint="eastAsia" w:ascii="Times New Roman"/>
                <w:color w:val="000000" w:themeColor="text1"/>
                <w:highlight w:val="none"/>
                <w:lang w:eastAsia="zh-CN"/>
                <w14:textFill>
                  <w14:solidFill>
                    <w14:schemeClr w14:val="tx1"/>
                  </w14:solidFill>
                </w14:textFill>
              </w:rPr>
            </w:pPr>
            <w:r>
              <w:rPr>
                <w:rFonts w:hint="eastAsia" w:ascii="Times New Roman"/>
                <w:color w:val="000000" w:themeColor="text1"/>
                <w:highlight w:val="none"/>
                <w:lang w:val="en-US" w:eastAsia="zh-CN"/>
                <w14:textFill>
                  <w14:solidFill>
                    <w14:schemeClr w14:val="tx1"/>
                  </w14:solidFill>
                </w14:textFill>
              </w:rPr>
              <w:t>2）</w:t>
            </w:r>
            <w:r>
              <w:rPr>
                <w:rFonts w:hint="eastAsia" w:ascii="Times New Roman"/>
                <w:color w:val="000000" w:themeColor="text1"/>
                <w:highlight w:val="none"/>
                <w:lang w:eastAsia="zh-CN"/>
                <w14:textFill>
                  <w14:solidFill>
                    <w14:schemeClr w14:val="tx1"/>
                  </w14:solidFill>
                </w14:textFill>
              </w:rPr>
              <w:t>将</w:t>
            </w:r>
            <w:r>
              <w:rPr>
                <w:rFonts w:hint="eastAsia" w:cs="Times New Roman"/>
                <w:color w:val="000000" w:themeColor="text1"/>
                <w:spacing w:val="1"/>
                <w:sz w:val="21"/>
                <w:szCs w:val="21"/>
                <w:highlight w:val="none"/>
                <w:lang w:val="en-US" w:eastAsia="zh-CN"/>
                <w14:textFill>
                  <w14:solidFill>
                    <w14:schemeClr w14:val="tx1"/>
                  </w14:solidFill>
                </w14:textFill>
              </w:rPr>
              <w:t>原料粉</w:t>
            </w:r>
            <w:r>
              <w:rPr>
                <w:rFonts w:hint="default" w:ascii="Times New Roman" w:hAnsi="Times New Roman" w:eastAsia="宋体" w:cs="Times New Roman"/>
                <w:color w:val="000000" w:themeColor="text1"/>
                <w:spacing w:val="1"/>
                <w:sz w:val="21"/>
                <w:szCs w:val="21"/>
                <w:highlight w:val="none"/>
                <w:lang w:val="en-US" w:eastAsia="zh-CN"/>
                <w14:textFill>
                  <w14:solidFill>
                    <w14:schemeClr w14:val="tx1"/>
                  </w14:solidFill>
                </w14:textFill>
              </w:rPr>
              <w:t>筒仓、机修车间</w:t>
            </w:r>
            <w:r>
              <w:rPr>
                <w:rFonts w:hint="default" w:ascii="Times New Roman" w:hAnsi="Times New Roman" w:eastAsia="宋体" w:cs="Times New Roman"/>
                <w:color w:val="000000" w:themeColor="text1"/>
                <w:spacing w:val="1"/>
                <w:sz w:val="21"/>
                <w:szCs w:val="21"/>
                <w:highlight w:val="none"/>
                <w14:textFill>
                  <w14:solidFill>
                    <w14:schemeClr w14:val="tx1"/>
                  </w14:solidFill>
                </w14:textFill>
              </w:rPr>
              <w:t>、</w:t>
            </w:r>
            <w:r>
              <w:rPr>
                <w:rFonts w:hint="default" w:ascii="Times New Roman" w:hAnsi="Times New Roman" w:eastAsia="宋体" w:cs="Times New Roman"/>
                <w:color w:val="000000" w:themeColor="text1"/>
                <w:spacing w:val="1"/>
                <w:sz w:val="21"/>
                <w:szCs w:val="21"/>
                <w:highlight w:val="none"/>
                <w:lang w:val="en-US" w:eastAsia="zh-CN"/>
                <w14:textFill>
                  <w14:solidFill>
                    <w14:schemeClr w14:val="tx1"/>
                  </w14:solidFill>
                </w14:textFill>
              </w:rPr>
              <w:t>分选</w:t>
            </w:r>
            <w:r>
              <w:rPr>
                <w:rFonts w:hint="default" w:ascii="Times New Roman" w:hAnsi="Times New Roman" w:eastAsia="宋体" w:cs="Times New Roman"/>
                <w:color w:val="000000" w:themeColor="text1"/>
                <w:spacing w:val="1"/>
                <w:sz w:val="21"/>
                <w:szCs w:val="21"/>
                <w:highlight w:val="none"/>
                <w14:textFill>
                  <w14:solidFill>
                    <w14:schemeClr w14:val="tx1"/>
                  </w14:solidFill>
                </w14:textFill>
              </w:rPr>
              <w:t>车间、</w:t>
            </w:r>
            <w:r>
              <w:rPr>
                <w:rFonts w:hint="default" w:ascii="Times New Roman" w:hAnsi="Times New Roman" w:eastAsia="宋体" w:cs="Times New Roman"/>
                <w:color w:val="000000" w:themeColor="text1"/>
                <w:spacing w:val="1"/>
                <w:sz w:val="21"/>
                <w:szCs w:val="21"/>
                <w:highlight w:val="none"/>
                <w:lang w:val="en-US" w:eastAsia="zh-CN"/>
                <w14:textFill>
                  <w14:solidFill>
                    <w14:schemeClr w14:val="tx1"/>
                  </w14:solidFill>
                </w14:textFill>
              </w:rPr>
              <w:t>悬浮炉和回转窑区</w:t>
            </w:r>
            <w:r>
              <w:rPr>
                <w:rFonts w:hint="default" w:ascii="Times New Roman" w:hAnsi="Times New Roman" w:eastAsia="宋体" w:cs="Times New Roman"/>
                <w:color w:val="000000" w:themeColor="text1"/>
                <w:spacing w:val="1"/>
                <w:sz w:val="21"/>
                <w:szCs w:val="21"/>
                <w:highlight w:val="none"/>
                <w14:textFill>
                  <w14:solidFill>
                    <w14:schemeClr w14:val="tx1"/>
                  </w14:solidFill>
                </w14:textFill>
              </w:rPr>
              <w:t>、</w:t>
            </w:r>
            <w:r>
              <w:rPr>
                <w:rFonts w:hint="default" w:ascii="Times New Roman" w:hAnsi="Times New Roman" w:cs="Times New Roman"/>
                <w:color w:val="000000" w:themeColor="text1"/>
                <w:spacing w:val="1"/>
                <w:sz w:val="21"/>
                <w:szCs w:val="21"/>
                <w:highlight w:val="none"/>
                <w:lang w:val="en-US" w:eastAsia="zh-CN"/>
                <w14:textFill>
                  <w14:solidFill>
                    <w14:schemeClr w14:val="tx1"/>
                  </w14:solidFill>
                </w14:textFill>
              </w:rPr>
              <w:t>冷却系统区、</w:t>
            </w:r>
            <w:r>
              <w:rPr>
                <w:rFonts w:hint="default" w:ascii="Times New Roman" w:hAnsi="Times New Roman" w:eastAsia="宋体" w:cs="Times New Roman"/>
                <w:color w:val="000000" w:themeColor="text1"/>
                <w:spacing w:val="1"/>
                <w:sz w:val="21"/>
                <w:szCs w:val="21"/>
                <w:highlight w:val="none"/>
                <w:lang w:val="en-US" w:eastAsia="zh-CN"/>
                <w14:textFill>
                  <w14:solidFill>
                    <w14:schemeClr w14:val="tx1"/>
                  </w14:solidFill>
                </w14:textFill>
              </w:rPr>
              <w:t>成品</w:t>
            </w:r>
            <w:r>
              <w:rPr>
                <w:rFonts w:hint="default" w:ascii="Times New Roman" w:hAnsi="Times New Roman" w:eastAsia="宋体" w:cs="Times New Roman"/>
                <w:color w:val="000000" w:themeColor="text1"/>
                <w:spacing w:val="1"/>
                <w:sz w:val="21"/>
                <w:szCs w:val="21"/>
                <w:highlight w:val="none"/>
                <w14:textFill>
                  <w14:solidFill>
                    <w14:schemeClr w14:val="tx1"/>
                  </w14:solidFill>
                </w14:textFill>
              </w:rPr>
              <w:t>堆棚、</w:t>
            </w:r>
            <w:r>
              <w:rPr>
                <w:rFonts w:hint="default" w:ascii="Times New Roman" w:hAnsi="Times New Roman" w:eastAsia="宋体" w:cs="Times New Roman"/>
                <w:color w:val="000000" w:themeColor="text1"/>
                <w:spacing w:val="1"/>
                <w:sz w:val="21"/>
                <w:szCs w:val="21"/>
                <w:highlight w:val="none"/>
                <w:lang w:val="en-US" w:eastAsia="zh-CN"/>
                <w14:textFill>
                  <w14:solidFill>
                    <w14:schemeClr w14:val="tx1"/>
                  </w14:solidFill>
                </w14:textFill>
              </w:rPr>
              <w:t>黄料筒仓</w:t>
            </w:r>
            <w:r>
              <w:rPr>
                <w:rFonts w:hint="default" w:ascii="Times New Roman" w:hAnsi="Times New Roman" w:eastAsia="宋体" w:cs="Times New Roman"/>
                <w:color w:val="000000" w:themeColor="text1"/>
                <w:spacing w:val="1"/>
                <w:sz w:val="21"/>
                <w:szCs w:val="21"/>
                <w:highlight w:val="none"/>
                <w14:textFill>
                  <w14:solidFill>
                    <w14:schemeClr w14:val="tx1"/>
                  </w14:solidFill>
                </w14:textFill>
              </w:rPr>
              <w:t>等</w:t>
            </w:r>
            <w:r>
              <w:rPr>
                <w:rFonts w:hint="eastAsia" w:ascii="Times New Roman"/>
                <w:color w:val="000000" w:themeColor="text1"/>
                <w:highlight w:val="none"/>
                <w:lang w:eastAsia="zh-CN"/>
                <w14:textFill>
                  <w14:solidFill>
                    <w14:schemeClr w14:val="tx1"/>
                  </w14:solidFill>
                </w14:textFill>
              </w:rPr>
              <w:t>作为一般防渗区，防渗技术要求等效黏土防渗层Mb1.5m，K</w:t>
            </w:r>
            <w:r>
              <w:rPr>
                <w:rFonts w:hint="eastAsia" w:ascii="Times New Roman"/>
                <w:color w:val="000000" w:themeColor="text1"/>
                <w:highlight w:val="none"/>
                <w:vertAlign w:val="subscript"/>
                <w:lang w:eastAsia="zh-CN"/>
                <w14:textFill>
                  <w14:solidFill>
                    <w14:schemeClr w14:val="tx1"/>
                  </w14:solidFill>
                </w14:textFill>
              </w:rPr>
              <w:t>1</w:t>
            </w:r>
            <w:r>
              <w:rPr>
                <w:rFonts w:hint="eastAsia" w:ascii="Times New Roman"/>
                <w:color w:val="000000" w:themeColor="text1"/>
                <w:highlight w:val="none"/>
                <w:lang w:eastAsia="zh-CN"/>
                <w14:textFill>
                  <w14:solidFill>
                    <w14:schemeClr w14:val="tx1"/>
                  </w14:solidFill>
                </w14:textFill>
              </w:rPr>
              <w:t>x10</w:t>
            </w:r>
            <w:r>
              <w:rPr>
                <w:rFonts w:hint="eastAsia" w:ascii="Times New Roman"/>
                <w:color w:val="000000" w:themeColor="text1"/>
                <w:highlight w:val="none"/>
                <w:vertAlign w:val="superscript"/>
                <w:lang w:eastAsia="zh-CN"/>
                <w14:textFill>
                  <w14:solidFill>
                    <w14:schemeClr w14:val="tx1"/>
                  </w14:solidFill>
                </w14:textFill>
              </w:rPr>
              <w:t>-</w:t>
            </w:r>
            <w:r>
              <w:rPr>
                <w:rFonts w:hint="eastAsia" w:ascii="Times New Roman"/>
                <w:color w:val="000000" w:themeColor="text1"/>
                <w:highlight w:val="none"/>
                <w:vertAlign w:val="superscript"/>
                <w:lang w:val="en-US" w:eastAsia="zh-CN"/>
                <w14:textFill>
                  <w14:solidFill>
                    <w14:schemeClr w14:val="tx1"/>
                  </w14:solidFill>
                </w14:textFill>
              </w:rPr>
              <w:t>10</w:t>
            </w:r>
            <w:r>
              <w:rPr>
                <w:rFonts w:hint="eastAsia" w:ascii="Times New Roman"/>
                <w:color w:val="000000" w:themeColor="text1"/>
                <w:highlight w:val="none"/>
                <w:lang w:eastAsia="zh-CN"/>
                <w14:textFill>
                  <w14:solidFill>
                    <w14:schemeClr w14:val="tx1"/>
                  </w14:solidFill>
                </w14:textFill>
              </w:rPr>
              <w:t>cm/s；</w:t>
            </w:r>
          </w:p>
          <w:p w14:paraId="5FC2F800">
            <w:pPr>
              <w:keepNext w:val="0"/>
              <w:keepLines w:val="0"/>
              <w:pageBreakBefore w:val="0"/>
              <w:widowControl w:val="0"/>
              <w:kinsoku/>
              <w:wordWrap/>
              <w:overflowPunct/>
              <w:topLinePunct w:val="0"/>
              <w:autoSpaceDE/>
              <w:autoSpaceDN/>
              <w:bidi w:val="0"/>
              <w:adjustRightInd w:val="0"/>
              <w:snapToGrid w:val="0"/>
              <w:spacing w:line="240" w:lineRule="exact"/>
              <w:jc w:val="both"/>
              <w:textAlignment w:val="auto"/>
              <w:rPr>
                <w:rFonts w:hint="eastAsia" w:eastAsia="宋体"/>
                <w:color w:val="000000" w:themeColor="text1"/>
                <w:szCs w:val="21"/>
                <w:highlight w:val="none"/>
                <w:lang w:eastAsia="zh-CN"/>
                <w14:textFill>
                  <w14:solidFill>
                    <w14:schemeClr w14:val="tx1"/>
                  </w14:solidFill>
                </w14:textFill>
              </w:rPr>
            </w:pPr>
            <w:r>
              <w:rPr>
                <w:rFonts w:hint="eastAsia" w:ascii="Times New Roman"/>
                <w:color w:val="000000" w:themeColor="text1"/>
                <w:highlight w:val="none"/>
                <w:lang w:eastAsia="zh-CN"/>
                <w14:textFill>
                  <w14:solidFill>
                    <w14:schemeClr w14:val="tx1"/>
                  </w14:solidFill>
                </w14:textFill>
              </w:rPr>
              <w:t>3）</w:t>
            </w:r>
            <w:r>
              <w:rPr>
                <w:rFonts w:hint="default" w:ascii="Times New Roman" w:hAnsi="Times New Roman" w:eastAsia="宋体" w:cs="Times New Roman"/>
                <w:color w:val="000000" w:themeColor="text1"/>
                <w:spacing w:val="1"/>
                <w:sz w:val="21"/>
                <w:szCs w:val="21"/>
                <w:highlight w:val="none"/>
                <w14:textFill>
                  <w14:solidFill>
                    <w14:schemeClr w14:val="tx1"/>
                  </w14:solidFill>
                </w14:textFill>
              </w:rPr>
              <w:t>石灰石-石膏脱硫装置区、</w:t>
            </w:r>
            <w:r>
              <w:rPr>
                <w:rFonts w:hint="default"/>
                <w:color w:val="000000" w:themeColor="text1"/>
                <w:highlight w:val="none"/>
                <w14:textFill>
                  <w14:solidFill>
                    <w14:schemeClr w14:val="tx1"/>
                  </w14:solidFill>
                </w14:textFill>
              </w:rPr>
              <w:t>三联箱装置</w:t>
            </w:r>
            <w:r>
              <w:rPr>
                <w:rFonts w:hint="eastAsia"/>
                <w:color w:val="000000" w:themeColor="text1"/>
                <w:highlight w:val="none"/>
                <w:lang w:eastAsia="zh-CN"/>
                <w14:textFill>
                  <w14:solidFill>
                    <w14:schemeClr w14:val="tx1"/>
                  </w14:solidFill>
                </w14:textFill>
              </w:rPr>
              <w:t>、</w:t>
            </w:r>
            <w:r>
              <w:rPr>
                <w:rFonts w:hint="default" w:ascii="Times New Roman" w:hAnsi="Times New Roman" w:cs="Times New Roman"/>
                <w:bCs/>
                <w:color w:val="000000" w:themeColor="text1"/>
                <w:szCs w:val="21"/>
                <w:highlight w:val="none"/>
                <w14:textFill>
                  <w14:solidFill>
                    <w14:schemeClr w14:val="tx1"/>
                  </w14:solidFill>
                </w14:textFill>
              </w:rPr>
              <w:t>氨水罐区</w:t>
            </w:r>
            <w:r>
              <w:rPr>
                <w:rFonts w:hint="eastAsia" w:ascii="Times New Roman" w:hAnsi="Times New Roman" w:cs="Times New Roman"/>
                <w:bCs/>
                <w:color w:val="000000" w:themeColor="text1"/>
                <w:szCs w:val="21"/>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危废暂存间</w:t>
            </w:r>
            <w:r>
              <w:rPr>
                <w:rFonts w:hint="eastAsia" w:ascii="Times New Roman"/>
                <w:color w:val="000000" w:themeColor="text1"/>
                <w:highlight w:val="none"/>
                <w:lang w:eastAsia="zh-CN"/>
                <w14:textFill>
                  <w14:solidFill>
                    <w14:schemeClr w14:val="tx1"/>
                  </w14:solidFill>
                </w14:textFill>
              </w:rPr>
              <w:t>为本项目重点防渗区，按照《危险废物贮存污染控制标准》（GB18597-2023）要求进行建设</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内部设置</w:t>
            </w:r>
            <w:r>
              <w:rPr>
                <w:rFonts w:hint="eastAsia"/>
                <w:color w:val="000000" w:themeColor="text1"/>
                <w:highlight w:val="none"/>
                <w14:textFill>
                  <w14:solidFill>
                    <w14:schemeClr w14:val="tx1"/>
                  </w14:solidFill>
                </w14:textFill>
              </w:rPr>
              <w:t>导流渠和集液池</w:t>
            </w:r>
            <w:r>
              <w:rPr>
                <w:rFonts w:hint="eastAsia"/>
                <w:color w:val="000000" w:themeColor="text1"/>
                <w:highlight w:val="none"/>
                <w:lang w:eastAsia="zh-CN"/>
                <w14:textFill>
                  <w14:solidFill>
                    <w14:schemeClr w14:val="tx1"/>
                  </w14:solidFill>
                </w14:textFill>
              </w:rPr>
              <w:t>，</w:t>
            </w:r>
            <w:r>
              <w:rPr>
                <w:rFonts w:hint="eastAsia" w:ascii="Times New Roman"/>
                <w:color w:val="000000" w:themeColor="text1"/>
                <w:highlight w:val="none"/>
                <w:lang w:eastAsia="zh-CN"/>
                <w14:textFill>
                  <w14:solidFill>
                    <w14:schemeClr w14:val="tx1"/>
                  </w14:solidFill>
                </w14:textFill>
              </w:rPr>
              <w:t>危废暂存库贮存区各建筑物进行坚固的防渗防腐材料修建，地面及裙脚20cm混凝土+2mmHDPE膜+10cm混凝土，墙壁防渗防腐衬层高度约为50cm，保证构筑物</w:t>
            </w:r>
            <w:r>
              <w:rPr>
                <w:rFonts w:hint="eastAsia" w:ascii="Times New Roman" w:cs="Times New Roman"/>
                <w:b w:val="0"/>
                <w:bCs w:val="0"/>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1"/>
                <w:sz w:val="21"/>
                <w:szCs w:val="21"/>
                <w:highlight w:val="none"/>
                <w14:textFill>
                  <w14:solidFill>
                    <w14:schemeClr w14:val="tx1"/>
                  </w14:solidFill>
                </w14:textFill>
              </w:rPr>
              <w:t>等效于M=2mm厚高密度聚乙烯防渗层，渗透系数不大于10</w:t>
            </w:r>
            <w:r>
              <w:rPr>
                <w:rFonts w:hint="default" w:ascii="Times New Roman" w:hAnsi="Times New Roman" w:eastAsia="宋体" w:cs="Times New Roman"/>
                <w:color w:val="000000" w:themeColor="text1"/>
                <w:spacing w:val="1"/>
                <w:sz w:val="21"/>
                <w:szCs w:val="21"/>
                <w:highlight w:val="none"/>
                <w:vertAlign w:val="superscript"/>
                <w14:textFill>
                  <w14:solidFill>
                    <w14:schemeClr w14:val="tx1"/>
                  </w14:solidFill>
                </w14:textFill>
              </w:rPr>
              <w:t>-1</w:t>
            </w:r>
            <w:r>
              <w:rPr>
                <w:rFonts w:hint="default" w:ascii="Times New Roman" w:hAnsi="Times New Roman" w:eastAsia="宋体" w:cs="Times New Roman"/>
                <w:color w:val="000000" w:themeColor="text1"/>
                <w:spacing w:val="1"/>
                <w:sz w:val="21"/>
                <w:szCs w:val="21"/>
                <w:highlight w:val="none"/>
                <w:vertAlign w:val="superscript"/>
                <w:lang w:val="en-US" w:eastAsia="zh-CN"/>
                <w14:textFill>
                  <w14:solidFill>
                    <w14:schemeClr w14:val="tx1"/>
                  </w14:solidFill>
                </w14:textFill>
              </w:rPr>
              <w:t>0</w:t>
            </w:r>
            <w:r>
              <w:rPr>
                <w:rFonts w:hint="default" w:ascii="Times New Roman" w:hAnsi="Times New Roman" w:eastAsia="宋体" w:cs="Times New Roman"/>
                <w:color w:val="000000" w:themeColor="text1"/>
                <w:spacing w:val="1"/>
                <w:sz w:val="21"/>
                <w:szCs w:val="21"/>
                <w:highlight w:val="none"/>
                <w14:textFill>
                  <w14:solidFill>
                    <w14:schemeClr w14:val="tx1"/>
                  </w14:solidFill>
                </w14:textFill>
              </w:rPr>
              <w:t>cm/s</w:t>
            </w:r>
            <w:r>
              <w:rPr>
                <w:rFonts w:hint="eastAsia" w:ascii="Times New Roman"/>
                <w:color w:val="000000" w:themeColor="text1"/>
                <w:highlight w:val="none"/>
                <w:lang w:eastAsia="zh-CN"/>
                <w14:textFill>
                  <w14:solidFill>
                    <w14:schemeClr w14:val="tx1"/>
                  </w14:solidFill>
                </w14:textFill>
              </w:rPr>
              <w:t>。</w:t>
            </w:r>
          </w:p>
        </w:tc>
      </w:tr>
      <w:tr w14:paraId="6716A1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163" w:type="dxa"/>
            <w:gridSpan w:val="2"/>
            <w:noWrap w:val="0"/>
            <w:vAlign w:val="center"/>
          </w:tcPr>
          <w:p w14:paraId="58CE98DD">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b/>
                <w:bCs/>
                <w:color w:val="000000" w:themeColor="text1"/>
                <w:szCs w:val="21"/>
                <w:highlight w:val="none"/>
                <w14:textFill>
                  <w14:solidFill>
                    <w14:schemeClr w14:val="tx1"/>
                  </w14:solidFill>
                </w14:textFill>
              </w:rPr>
            </w:pPr>
            <w:r>
              <w:rPr>
                <w:b/>
                <w:bCs/>
                <w:color w:val="000000" w:themeColor="text1"/>
                <w:szCs w:val="21"/>
                <w:highlight w:val="none"/>
                <w14:textFill>
                  <w14:solidFill>
                    <w14:schemeClr w14:val="tx1"/>
                  </w14:solidFill>
                </w14:textFill>
              </w:rPr>
              <w:t>生态保护措施</w:t>
            </w:r>
          </w:p>
        </w:tc>
        <w:tc>
          <w:tcPr>
            <w:tcW w:w="7644" w:type="dxa"/>
            <w:gridSpan w:val="4"/>
            <w:noWrap w:val="0"/>
            <w:vAlign w:val="center"/>
          </w:tcPr>
          <w:p w14:paraId="56FCD47F">
            <w:pPr>
              <w:keepNext w:val="0"/>
              <w:keepLines w:val="0"/>
              <w:pageBreakBefore w:val="0"/>
              <w:widowControl w:val="0"/>
              <w:kinsoku/>
              <w:wordWrap/>
              <w:overflowPunct/>
              <w:topLinePunct w:val="0"/>
              <w:autoSpaceDE/>
              <w:autoSpaceDN/>
              <w:bidi w:val="0"/>
              <w:adjustRightInd w:val="0"/>
              <w:snapToGrid w:val="0"/>
              <w:spacing w:line="240" w:lineRule="exact"/>
              <w:jc w:val="both"/>
              <w:textAlignment w:val="auto"/>
              <w:rPr>
                <w:rFonts w:hint="eastAsia"/>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厂区适当绿化</w:t>
            </w:r>
          </w:p>
        </w:tc>
      </w:tr>
      <w:tr w14:paraId="1267F9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1163" w:type="dxa"/>
            <w:gridSpan w:val="2"/>
            <w:noWrap w:val="0"/>
            <w:vAlign w:val="center"/>
          </w:tcPr>
          <w:p w14:paraId="14E42386">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b/>
                <w:bCs/>
                <w:color w:val="000000" w:themeColor="text1"/>
                <w:spacing w:val="-8"/>
                <w:szCs w:val="21"/>
                <w:highlight w:val="none"/>
                <w14:textFill>
                  <w14:solidFill>
                    <w14:schemeClr w14:val="tx1"/>
                  </w14:solidFill>
                </w14:textFill>
              </w:rPr>
            </w:pPr>
            <w:r>
              <w:rPr>
                <w:b/>
                <w:bCs/>
                <w:color w:val="000000" w:themeColor="text1"/>
                <w:spacing w:val="-8"/>
                <w:szCs w:val="21"/>
                <w:highlight w:val="none"/>
                <w14:textFill>
                  <w14:solidFill>
                    <w14:schemeClr w14:val="tx1"/>
                  </w14:solidFill>
                </w14:textFill>
              </w:rPr>
              <w:t>环境风险</w:t>
            </w:r>
          </w:p>
          <w:p w14:paraId="12033468">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b/>
                <w:bCs/>
                <w:color w:val="000000" w:themeColor="text1"/>
                <w:spacing w:val="-8"/>
                <w:szCs w:val="21"/>
                <w:highlight w:val="none"/>
                <w14:textFill>
                  <w14:solidFill>
                    <w14:schemeClr w14:val="tx1"/>
                  </w14:solidFill>
                </w14:textFill>
              </w:rPr>
            </w:pPr>
            <w:r>
              <w:rPr>
                <w:b/>
                <w:bCs/>
                <w:color w:val="000000" w:themeColor="text1"/>
                <w:spacing w:val="-8"/>
                <w:szCs w:val="21"/>
                <w:highlight w:val="none"/>
                <w14:textFill>
                  <w14:solidFill>
                    <w14:schemeClr w14:val="tx1"/>
                  </w14:solidFill>
                </w14:textFill>
              </w:rPr>
              <w:t>防范措施</w:t>
            </w:r>
          </w:p>
        </w:tc>
        <w:tc>
          <w:tcPr>
            <w:tcW w:w="7644" w:type="dxa"/>
            <w:gridSpan w:val="4"/>
            <w:noWrap w:val="0"/>
            <w:vAlign w:val="center"/>
          </w:tcPr>
          <w:p w14:paraId="3638D459">
            <w:pPr>
              <w:keepNext w:val="0"/>
              <w:keepLines w:val="0"/>
              <w:pageBreakBefore w:val="0"/>
              <w:widowControl w:val="0"/>
              <w:numPr>
                <w:ilvl w:val="0"/>
                <w:numId w:val="7"/>
              </w:numPr>
              <w:kinsoku/>
              <w:wordWrap/>
              <w:overflowPunct/>
              <w:topLinePunct w:val="0"/>
              <w:autoSpaceDE/>
              <w:autoSpaceDN/>
              <w:bidi w:val="0"/>
              <w:adjustRightInd w:val="0"/>
              <w:snapToGrid w:val="0"/>
              <w:spacing w:line="360" w:lineRule="auto"/>
              <w:jc w:val="both"/>
              <w:textAlignment w:val="auto"/>
              <w:rPr>
                <w:rFonts w:hint="eastAsia"/>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建立健全安全生产制度，生产人员作业应严格遵守安全操作规程，</w:t>
            </w:r>
            <w:r>
              <w:rPr>
                <w:rFonts w:hint="eastAsia"/>
                <w:bCs/>
                <w:color w:val="000000" w:themeColor="text1"/>
                <w:szCs w:val="21"/>
                <w:highlight w:val="none"/>
                <w:lang w:eastAsia="zh-CN"/>
                <w14:textFill>
                  <w14:solidFill>
                    <w14:schemeClr w14:val="tx1"/>
                  </w14:solidFill>
                </w14:textFill>
              </w:rPr>
              <w:t>不得</w:t>
            </w:r>
            <w:r>
              <w:rPr>
                <w:rFonts w:hint="eastAsia"/>
                <w:bCs/>
                <w:color w:val="000000" w:themeColor="text1"/>
                <w:szCs w:val="21"/>
                <w:highlight w:val="none"/>
                <w14:textFill>
                  <w14:solidFill>
                    <w14:schemeClr w14:val="tx1"/>
                  </w14:solidFill>
                </w14:textFill>
              </w:rPr>
              <w:t>违章作业。</w:t>
            </w:r>
          </w:p>
          <w:p w14:paraId="434A1165">
            <w:pPr>
              <w:keepNext w:val="0"/>
              <w:keepLines w:val="0"/>
              <w:pageBreakBefore w:val="0"/>
              <w:widowControl w:val="0"/>
              <w:numPr>
                <w:ilvl w:val="0"/>
                <w:numId w:val="7"/>
              </w:numPr>
              <w:kinsoku/>
              <w:wordWrap/>
              <w:overflowPunct/>
              <w:topLinePunct w:val="0"/>
              <w:autoSpaceDE/>
              <w:autoSpaceDN/>
              <w:bidi w:val="0"/>
              <w:adjustRightInd w:val="0"/>
              <w:snapToGrid w:val="0"/>
              <w:spacing w:line="360" w:lineRule="auto"/>
              <w:jc w:val="both"/>
              <w:textAlignment w:val="auto"/>
              <w:rPr>
                <w:rFonts w:hint="eastAsia"/>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严格按照</w:t>
            </w:r>
            <w:r>
              <w:rPr>
                <w:rFonts w:hint="eastAsia"/>
                <w:bCs/>
                <w:color w:val="000000" w:themeColor="text1"/>
                <w:szCs w:val="21"/>
                <w:highlight w:val="none"/>
                <w:lang w:eastAsia="zh-CN"/>
                <w14:textFill>
                  <w14:solidFill>
                    <w14:schemeClr w14:val="tx1"/>
                  </w14:solidFill>
                </w14:textFill>
              </w:rPr>
              <w:t>《危险废物贮存污染控制标准》</w:t>
            </w:r>
            <w:r>
              <w:rPr>
                <w:rFonts w:hint="eastAsia"/>
                <w:bCs/>
                <w:color w:val="000000" w:themeColor="text1"/>
                <w:szCs w:val="21"/>
                <w:highlight w:val="none"/>
                <w14:textFill>
                  <w14:solidFill>
                    <w14:schemeClr w14:val="tx1"/>
                  </w14:solidFill>
                </w14:textFill>
              </w:rPr>
              <w:t>建造危险废物贮存设施</w:t>
            </w:r>
            <w:r>
              <w:rPr>
                <w:rFonts w:hint="eastAsia"/>
                <w:bCs/>
                <w:color w:val="000000" w:themeColor="text1"/>
                <w:szCs w:val="21"/>
                <w:highlight w:val="none"/>
                <w:lang w:eastAsia="zh-CN"/>
                <w14:textFill>
                  <w14:solidFill>
                    <w14:schemeClr w14:val="tx1"/>
                  </w14:solidFill>
                </w14:textFill>
              </w:rPr>
              <w:t>（</w:t>
            </w:r>
            <w:r>
              <w:rPr>
                <w:rFonts w:hint="eastAsia"/>
                <w:bCs/>
                <w:color w:val="000000" w:themeColor="text1"/>
                <w:szCs w:val="21"/>
                <w:highlight w:val="none"/>
                <w14:textFill>
                  <w14:solidFill>
                    <w14:schemeClr w14:val="tx1"/>
                  </w14:solidFill>
                </w14:textFill>
              </w:rPr>
              <w:t>仓库式</w:t>
            </w:r>
            <w:r>
              <w:rPr>
                <w:rFonts w:hint="eastAsia"/>
                <w:bCs/>
                <w:color w:val="000000" w:themeColor="text1"/>
                <w:szCs w:val="21"/>
                <w:highlight w:val="none"/>
                <w:lang w:eastAsia="zh-CN"/>
                <w14:textFill>
                  <w14:solidFill>
                    <w14:schemeClr w14:val="tx1"/>
                  </w14:solidFill>
                </w14:textFill>
              </w:rPr>
              <w:t>）</w:t>
            </w:r>
            <w:r>
              <w:rPr>
                <w:rFonts w:hint="eastAsia"/>
                <w:bCs/>
                <w:color w:val="000000" w:themeColor="text1"/>
                <w:szCs w:val="21"/>
                <w:highlight w:val="none"/>
                <w14:textFill>
                  <w14:solidFill>
                    <w14:schemeClr w14:val="tx1"/>
                  </w14:solidFill>
                </w14:textFill>
              </w:rPr>
              <w:t>，建成具有防水、防渗、防流失的专用危险废物贮存设施贮存危险废物。</w:t>
            </w:r>
            <w:r>
              <w:rPr>
                <w:rFonts w:hint="eastAsia"/>
                <w:color w:val="000000" w:themeColor="text1"/>
                <w:sz w:val="21"/>
                <w:szCs w:val="16"/>
                <w:highlight w:val="none"/>
                <w:lang w:val="en-US" w:eastAsia="zh-CN"/>
                <w14:textFill>
                  <w14:solidFill>
                    <w14:schemeClr w14:val="tx1"/>
                  </w14:solidFill>
                </w14:textFill>
              </w:rPr>
              <w:t>内部地面设置</w:t>
            </w:r>
            <w:r>
              <w:rPr>
                <w:rFonts w:hint="eastAsia"/>
                <w:color w:val="000000" w:themeColor="text1"/>
                <w:sz w:val="21"/>
                <w:szCs w:val="16"/>
                <w:highlight w:val="none"/>
                <w14:textFill>
                  <w14:solidFill>
                    <w14:schemeClr w14:val="tx1"/>
                  </w14:solidFill>
                </w14:textFill>
              </w:rPr>
              <w:t>导流渠和集液池</w:t>
            </w:r>
            <w:r>
              <w:rPr>
                <w:rFonts w:hint="eastAsia"/>
                <w:color w:val="000000" w:themeColor="text1"/>
                <w:sz w:val="21"/>
                <w:szCs w:val="16"/>
                <w:highlight w:val="none"/>
                <w:lang w:eastAsia="zh-CN"/>
                <w14:textFill>
                  <w14:solidFill>
                    <w14:schemeClr w14:val="tx1"/>
                  </w14:solidFill>
                </w14:textFill>
              </w:rPr>
              <w:t>。</w:t>
            </w:r>
            <w:r>
              <w:rPr>
                <w:rFonts w:hint="eastAsia"/>
                <w:bCs/>
                <w:color w:val="000000" w:themeColor="text1"/>
                <w:szCs w:val="21"/>
                <w:highlight w:val="none"/>
                <w14:textFill>
                  <w14:solidFill>
                    <w14:schemeClr w14:val="tx1"/>
                  </w14:solidFill>
                </w14:textFill>
              </w:rPr>
              <w:t>贮存设施必须防渗，基础必须防渗，防渗层为至少1</w:t>
            </w:r>
            <w:r>
              <w:rPr>
                <w:rFonts w:hint="eastAsia"/>
                <w:bCs/>
                <w:color w:val="000000" w:themeColor="text1"/>
                <w:szCs w:val="21"/>
                <w:highlight w:val="none"/>
                <w:lang w:eastAsia="zh-CN"/>
                <w14:textFill>
                  <w14:solidFill>
                    <w14:schemeClr w14:val="tx1"/>
                  </w14:solidFill>
                </w14:textFill>
              </w:rPr>
              <w:t>m</w:t>
            </w:r>
            <w:r>
              <w:rPr>
                <w:rFonts w:hint="eastAsia"/>
                <w:bCs/>
                <w:color w:val="000000" w:themeColor="text1"/>
                <w:szCs w:val="21"/>
                <w:highlight w:val="none"/>
                <w14:textFill>
                  <w14:solidFill>
                    <w14:schemeClr w14:val="tx1"/>
                  </w14:solidFill>
                </w14:textFill>
              </w:rPr>
              <w:t>厚粘土层</w:t>
            </w:r>
            <w:r>
              <w:rPr>
                <w:rFonts w:hint="eastAsia"/>
                <w:bCs/>
                <w:color w:val="000000" w:themeColor="text1"/>
                <w:szCs w:val="21"/>
                <w:highlight w:val="none"/>
                <w:lang w:eastAsia="zh-CN"/>
                <w14:textFill>
                  <w14:solidFill>
                    <w14:schemeClr w14:val="tx1"/>
                  </w14:solidFill>
                </w14:textFill>
              </w:rPr>
              <w:t>（</w:t>
            </w:r>
            <w:r>
              <w:rPr>
                <w:rFonts w:hint="eastAsia"/>
                <w:bCs/>
                <w:color w:val="000000" w:themeColor="text1"/>
                <w:szCs w:val="21"/>
                <w:highlight w:val="none"/>
                <w14:textFill>
                  <w14:solidFill>
                    <w14:schemeClr w14:val="tx1"/>
                  </w14:solidFill>
                </w14:textFill>
              </w:rPr>
              <w:t>渗透系数&lt;10</w:t>
            </w:r>
            <w:r>
              <w:rPr>
                <w:rFonts w:hint="eastAsia"/>
                <w:bCs/>
                <w:color w:val="000000" w:themeColor="text1"/>
                <w:szCs w:val="21"/>
                <w:highlight w:val="none"/>
                <w:vertAlign w:val="superscript"/>
                <w:lang w:eastAsia="zh-CN"/>
                <w14:textFill>
                  <w14:solidFill>
                    <w14:schemeClr w14:val="tx1"/>
                  </w14:solidFill>
                </w14:textFill>
              </w:rPr>
              <w:t>—</w:t>
            </w:r>
            <w:r>
              <w:rPr>
                <w:rFonts w:hint="eastAsia"/>
                <w:bCs/>
                <w:color w:val="000000" w:themeColor="text1"/>
                <w:szCs w:val="21"/>
                <w:highlight w:val="none"/>
                <w:vertAlign w:val="superscript"/>
                <w14:textFill>
                  <w14:solidFill>
                    <w14:schemeClr w14:val="tx1"/>
                  </w14:solidFill>
                </w14:textFill>
              </w:rPr>
              <w:t>7</w:t>
            </w:r>
            <w:r>
              <w:rPr>
                <w:rFonts w:hint="eastAsia"/>
                <w:bCs/>
                <w:color w:val="000000" w:themeColor="text1"/>
                <w:szCs w:val="21"/>
                <w:highlight w:val="none"/>
                <w:lang w:val="en-US" w:eastAsia="zh-CN"/>
                <w14:textFill>
                  <w14:solidFill>
                    <w14:schemeClr w14:val="tx1"/>
                  </w14:solidFill>
                </w14:textFill>
              </w:rPr>
              <w:t>c</w:t>
            </w:r>
            <w:r>
              <w:rPr>
                <w:rFonts w:hint="eastAsia"/>
                <w:bCs/>
                <w:color w:val="000000" w:themeColor="text1"/>
                <w:szCs w:val="21"/>
                <w:highlight w:val="none"/>
                <w:lang w:eastAsia="zh-CN"/>
                <w14:textFill>
                  <w14:solidFill>
                    <w14:schemeClr w14:val="tx1"/>
                  </w14:solidFill>
                </w14:textFill>
              </w:rPr>
              <w:t>m</w:t>
            </w:r>
            <w:r>
              <w:rPr>
                <w:rFonts w:hint="eastAsia"/>
                <w:bCs/>
                <w:color w:val="000000" w:themeColor="text1"/>
                <w:szCs w:val="21"/>
                <w:highlight w:val="none"/>
                <w14:textFill>
                  <w14:solidFill>
                    <w14:schemeClr w14:val="tx1"/>
                  </w14:solidFill>
                </w14:textFill>
              </w:rPr>
              <w:t>/秒</w:t>
            </w:r>
            <w:r>
              <w:rPr>
                <w:rFonts w:hint="eastAsia"/>
                <w:bCs/>
                <w:color w:val="000000" w:themeColor="text1"/>
                <w:szCs w:val="21"/>
                <w:highlight w:val="none"/>
                <w:lang w:eastAsia="zh-CN"/>
                <w14:textFill>
                  <w14:solidFill>
                    <w14:schemeClr w14:val="tx1"/>
                  </w14:solidFill>
                </w14:textFill>
              </w:rPr>
              <w:t>）</w:t>
            </w:r>
            <w:r>
              <w:rPr>
                <w:rFonts w:hint="eastAsia"/>
                <w:bCs/>
                <w:color w:val="000000" w:themeColor="text1"/>
                <w:szCs w:val="21"/>
                <w:highlight w:val="none"/>
                <w14:textFill>
                  <w14:solidFill>
                    <w14:schemeClr w14:val="tx1"/>
                  </w14:solidFill>
                </w14:textFill>
              </w:rPr>
              <w:t>，或2</w:t>
            </w:r>
            <w:r>
              <w:rPr>
                <w:rFonts w:hint="eastAsia"/>
                <w:bCs/>
                <w:color w:val="000000" w:themeColor="text1"/>
                <w:szCs w:val="21"/>
                <w:highlight w:val="none"/>
                <w:lang w:val="en-US" w:eastAsia="zh-CN"/>
                <w14:textFill>
                  <w14:solidFill>
                    <w14:schemeClr w14:val="tx1"/>
                  </w14:solidFill>
                </w14:textFill>
              </w:rPr>
              <w:t>m</w:t>
            </w:r>
            <w:r>
              <w:rPr>
                <w:rFonts w:hint="eastAsia"/>
                <w:bCs/>
                <w:color w:val="000000" w:themeColor="text1"/>
                <w:szCs w:val="21"/>
                <w:highlight w:val="none"/>
                <w:lang w:eastAsia="zh-CN"/>
                <w14:textFill>
                  <w14:solidFill>
                    <w14:schemeClr w14:val="tx1"/>
                  </w14:solidFill>
                </w14:textFill>
              </w:rPr>
              <w:t>m</w:t>
            </w:r>
            <w:r>
              <w:rPr>
                <w:rFonts w:hint="eastAsia"/>
                <w:bCs/>
                <w:color w:val="000000" w:themeColor="text1"/>
                <w:szCs w:val="21"/>
                <w:highlight w:val="none"/>
                <w14:textFill>
                  <w14:solidFill>
                    <w14:schemeClr w14:val="tx1"/>
                  </w14:solidFill>
                </w14:textFill>
              </w:rPr>
              <w:t>厚高密度聚乙烯，或至少2</w:t>
            </w:r>
            <w:r>
              <w:rPr>
                <w:rFonts w:hint="eastAsia"/>
                <w:bCs/>
                <w:color w:val="000000" w:themeColor="text1"/>
                <w:szCs w:val="21"/>
                <w:highlight w:val="none"/>
                <w:lang w:eastAsia="zh-CN"/>
                <w14:textFill>
                  <w14:solidFill>
                    <w14:schemeClr w14:val="tx1"/>
                  </w14:solidFill>
                </w14:textFill>
              </w:rPr>
              <w:t>m</w:t>
            </w:r>
            <w:r>
              <w:rPr>
                <w:rFonts w:hint="eastAsia"/>
                <w:bCs/>
                <w:color w:val="000000" w:themeColor="text1"/>
                <w:szCs w:val="21"/>
                <w:highlight w:val="none"/>
                <w:lang w:val="en-US" w:eastAsia="zh-CN"/>
                <w14:textFill>
                  <w14:solidFill>
                    <w14:schemeClr w14:val="tx1"/>
                  </w14:solidFill>
                </w14:textFill>
              </w:rPr>
              <w:t>m</w:t>
            </w:r>
            <w:r>
              <w:rPr>
                <w:rFonts w:hint="eastAsia"/>
                <w:bCs/>
                <w:color w:val="000000" w:themeColor="text1"/>
                <w:szCs w:val="21"/>
                <w:highlight w:val="none"/>
                <w14:textFill>
                  <w14:solidFill>
                    <w14:schemeClr w14:val="tx1"/>
                  </w14:solidFill>
                </w14:textFill>
              </w:rPr>
              <w:t>的</w:t>
            </w:r>
            <w:r>
              <w:rPr>
                <w:rFonts w:hint="eastAsia"/>
                <w:bCs/>
                <w:color w:val="000000" w:themeColor="text1"/>
                <w:szCs w:val="21"/>
                <w:highlight w:val="none"/>
                <w:lang w:eastAsia="zh-CN"/>
                <w14:textFill>
                  <w14:solidFill>
                    <w14:schemeClr w14:val="tx1"/>
                  </w14:solidFill>
                </w14:textFill>
              </w:rPr>
              <w:t>其他人工</w:t>
            </w:r>
            <w:r>
              <w:rPr>
                <w:rFonts w:hint="eastAsia"/>
                <w:bCs/>
                <w:color w:val="000000" w:themeColor="text1"/>
                <w:szCs w:val="21"/>
                <w:highlight w:val="none"/>
                <w14:textFill>
                  <w14:solidFill>
                    <w14:schemeClr w14:val="tx1"/>
                  </w14:solidFill>
                </w14:textFill>
              </w:rPr>
              <w:t>材料，渗透系数10</w:t>
            </w:r>
            <w:r>
              <w:rPr>
                <w:rFonts w:hint="eastAsia"/>
                <w:bCs/>
                <w:color w:val="000000" w:themeColor="text1"/>
                <w:szCs w:val="21"/>
                <w:highlight w:val="none"/>
                <w:vertAlign w:val="superscript"/>
                <w:lang w:eastAsia="zh-CN"/>
                <w14:textFill>
                  <w14:solidFill>
                    <w14:schemeClr w14:val="tx1"/>
                  </w14:solidFill>
                </w14:textFill>
              </w:rPr>
              <w:t>—</w:t>
            </w:r>
            <w:r>
              <w:rPr>
                <w:rFonts w:hint="eastAsia"/>
                <w:bCs/>
                <w:color w:val="000000" w:themeColor="text1"/>
                <w:szCs w:val="21"/>
                <w:highlight w:val="none"/>
                <w:vertAlign w:val="superscript"/>
                <w14:textFill>
                  <w14:solidFill>
                    <w14:schemeClr w14:val="tx1"/>
                  </w14:solidFill>
                </w14:textFill>
              </w:rPr>
              <w:t>10</w:t>
            </w:r>
            <w:r>
              <w:rPr>
                <w:rFonts w:hint="eastAsia"/>
                <w:bCs/>
                <w:color w:val="000000" w:themeColor="text1"/>
                <w:szCs w:val="21"/>
                <w:highlight w:val="none"/>
                <w:lang w:val="en-US" w:eastAsia="zh-CN"/>
                <w14:textFill>
                  <w14:solidFill>
                    <w14:schemeClr w14:val="tx1"/>
                  </w14:solidFill>
                </w14:textFill>
              </w:rPr>
              <w:t>c</w:t>
            </w:r>
            <w:r>
              <w:rPr>
                <w:rFonts w:hint="eastAsia"/>
                <w:bCs/>
                <w:color w:val="000000" w:themeColor="text1"/>
                <w:szCs w:val="21"/>
                <w:highlight w:val="none"/>
                <w:lang w:eastAsia="zh-CN"/>
                <w14:textFill>
                  <w14:solidFill>
                    <w14:schemeClr w14:val="tx1"/>
                  </w14:solidFill>
                </w14:textFill>
              </w:rPr>
              <w:t>m</w:t>
            </w:r>
            <w:r>
              <w:rPr>
                <w:rFonts w:hint="eastAsia"/>
                <w:bCs/>
                <w:color w:val="000000" w:themeColor="text1"/>
                <w:szCs w:val="21"/>
                <w:highlight w:val="none"/>
                <w14:textFill>
                  <w14:solidFill>
                    <w14:schemeClr w14:val="tx1"/>
                  </w14:solidFill>
                </w14:textFill>
              </w:rPr>
              <w:t>/秒。有足够地面承载能力，并能确保雨水不会流至贮存设施内，贮存设施应封闭，以防风、防雨、防日晒</w:t>
            </w:r>
            <w:r>
              <w:rPr>
                <w:rFonts w:hint="eastAsia"/>
                <w:bCs/>
                <w:color w:val="000000" w:themeColor="text1"/>
                <w:szCs w:val="21"/>
                <w:highlight w:val="none"/>
                <w:lang w:eastAsia="zh-CN"/>
                <w14:textFill>
                  <w14:solidFill>
                    <w14:schemeClr w14:val="tx1"/>
                  </w14:solidFill>
                </w14:textFill>
              </w:rPr>
              <w:t>；</w:t>
            </w:r>
            <w:r>
              <w:rPr>
                <w:rFonts w:hint="eastAsia"/>
                <w:bCs/>
                <w:color w:val="000000" w:themeColor="text1"/>
                <w:szCs w:val="21"/>
                <w:highlight w:val="none"/>
                <w14:textFill>
                  <w14:solidFill>
                    <w14:schemeClr w14:val="tx1"/>
                  </w14:solidFill>
                </w14:textFill>
              </w:rPr>
              <w:t>贮存设施内应有安全照明设施及安全防护设施，厂内设置专人对贮存设施及危险废物进行定期检查。在危废暂存间门口应设置围堰，防止废机油等</w:t>
            </w:r>
            <w:r>
              <w:rPr>
                <w:rFonts w:hint="eastAsia"/>
                <w:bCs/>
                <w:color w:val="000000" w:themeColor="text1"/>
                <w:szCs w:val="21"/>
                <w:highlight w:val="none"/>
                <w:lang w:eastAsia="zh-CN"/>
                <w14:textFill>
                  <w14:solidFill>
                    <w14:schemeClr w14:val="tx1"/>
                  </w14:solidFill>
                </w14:textFill>
              </w:rPr>
              <w:t>泄漏</w:t>
            </w:r>
            <w:r>
              <w:rPr>
                <w:rFonts w:hint="eastAsia"/>
                <w:bCs/>
                <w:color w:val="000000" w:themeColor="text1"/>
                <w:szCs w:val="21"/>
                <w:highlight w:val="none"/>
                <w14:textFill>
                  <w14:solidFill>
                    <w14:schemeClr w14:val="tx1"/>
                  </w14:solidFill>
                </w14:textFill>
              </w:rPr>
              <w:t>后从危废间内流出。</w:t>
            </w:r>
          </w:p>
          <w:p w14:paraId="7072E28A">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3</w:t>
            </w:r>
            <w:r>
              <w:rPr>
                <w:rFonts w:hint="eastAsia"/>
                <w:bCs/>
                <w:color w:val="000000" w:themeColor="text1"/>
                <w:szCs w:val="21"/>
                <w:highlight w:val="none"/>
                <w:lang w:eastAsia="zh-CN"/>
                <w14:textFill>
                  <w14:solidFill>
                    <w14:schemeClr w14:val="tx1"/>
                  </w14:solidFill>
                </w14:textFill>
              </w:rPr>
              <w:t>）</w:t>
            </w:r>
            <w:r>
              <w:rPr>
                <w:rFonts w:hint="eastAsia"/>
                <w:bCs/>
                <w:color w:val="000000" w:themeColor="text1"/>
                <w:szCs w:val="21"/>
                <w:highlight w:val="none"/>
                <w14:textFill>
                  <w14:solidFill>
                    <w14:schemeClr w14:val="tx1"/>
                  </w14:solidFill>
                </w14:textFill>
              </w:rPr>
              <w:t>在氨水罐区设置围堰，并采取严格的防渗措施。</w:t>
            </w:r>
          </w:p>
          <w:p w14:paraId="49F5B62C">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4</w:t>
            </w:r>
            <w:r>
              <w:rPr>
                <w:rFonts w:hint="eastAsia"/>
                <w:bCs/>
                <w:color w:val="000000" w:themeColor="text1"/>
                <w:szCs w:val="21"/>
                <w:highlight w:val="none"/>
                <w:lang w:eastAsia="zh-CN"/>
                <w14:textFill>
                  <w14:solidFill>
                    <w14:schemeClr w14:val="tx1"/>
                  </w14:solidFill>
                </w14:textFill>
              </w:rPr>
              <w:t>）</w:t>
            </w:r>
            <w:r>
              <w:rPr>
                <w:rFonts w:hint="eastAsia"/>
                <w:bCs/>
                <w:color w:val="000000" w:themeColor="text1"/>
                <w:szCs w:val="21"/>
                <w:highlight w:val="none"/>
                <w14:textFill>
                  <w14:solidFill>
                    <w14:schemeClr w14:val="tx1"/>
                  </w14:solidFill>
                </w14:textFill>
              </w:rPr>
              <w:t>企业应制定突发环境事件应急预案，配备相应的应急物资，加强职工环保安全意识教育，以应对突发环境事件。</w:t>
            </w:r>
          </w:p>
        </w:tc>
      </w:tr>
      <w:tr w14:paraId="16E6E6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1163" w:type="dxa"/>
            <w:gridSpan w:val="2"/>
            <w:noWrap w:val="0"/>
            <w:vAlign w:val="center"/>
          </w:tcPr>
          <w:p w14:paraId="5B0B33F4">
            <w:pPr>
              <w:adjustRightInd w:val="0"/>
              <w:snapToGrid w:val="0"/>
              <w:jc w:val="center"/>
              <w:rPr>
                <w:b/>
                <w:bCs/>
                <w:color w:val="000000" w:themeColor="text1"/>
                <w:spacing w:val="-8"/>
                <w:szCs w:val="21"/>
                <w:highlight w:val="none"/>
                <w14:textFill>
                  <w14:solidFill>
                    <w14:schemeClr w14:val="tx1"/>
                  </w14:solidFill>
                </w14:textFill>
              </w:rPr>
            </w:pPr>
            <w:r>
              <w:rPr>
                <w:b/>
                <w:bCs/>
                <w:color w:val="000000" w:themeColor="text1"/>
                <w:spacing w:val="-8"/>
                <w:szCs w:val="21"/>
                <w:highlight w:val="none"/>
                <w14:textFill>
                  <w14:solidFill>
                    <w14:schemeClr w14:val="tx1"/>
                  </w14:solidFill>
                </w14:textFill>
              </w:rPr>
              <w:t>其他环境</w:t>
            </w:r>
          </w:p>
          <w:p w14:paraId="48FDE05F">
            <w:pPr>
              <w:adjustRightInd w:val="0"/>
              <w:snapToGrid w:val="0"/>
              <w:jc w:val="center"/>
              <w:rPr>
                <w:b/>
                <w:bCs/>
                <w:color w:val="000000" w:themeColor="text1"/>
                <w:spacing w:val="-8"/>
                <w:szCs w:val="21"/>
                <w:highlight w:val="none"/>
                <w14:textFill>
                  <w14:solidFill>
                    <w14:schemeClr w14:val="tx1"/>
                  </w14:solidFill>
                </w14:textFill>
              </w:rPr>
            </w:pPr>
            <w:r>
              <w:rPr>
                <w:b/>
                <w:bCs/>
                <w:color w:val="000000" w:themeColor="text1"/>
                <w:spacing w:val="-8"/>
                <w:szCs w:val="21"/>
                <w:highlight w:val="none"/>
                <w14:textFill>
                  <w14:solidFill>
                    <w14:schemeClr w14:val="tx1"/>
                  </w14:solidFill>
                </w14:textFill>
              </w:rPr>
              <w:t>管理要求</w:t>
            </w:r>
          </w:p>
        </w:tc>
        <w:tc>
          <w:tcPr>
            <w:tcW w:w="7644" w:type="dxa"/>
            <w:gridSpan w:val="4"/>
            <w:noWrap w:val="0"/>
            <w:vAlign w:val="center"/>
          </w:tcPr>
          <w:p w14:paraId="09976A62">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jc w:val="both"/>
              <w:textAlignment w:val="auto"/>
              <w:rPr>
                <w:rFonts w:hint="eastAsia"/>
                <w:bCs/>
                <w:color w:val="000000" w:themeColor="text1"/>
                <w:szCs w:val="21"/>
                <w:highlight w:val="none"/>
                <w14:textFill>
                  <w14:solidFill>
                    <w14:schemeClr w14:val="tx1"/>
                  </w14:solidFill>
                </w14:textFill>
              </w:rPr>
            </w:pPr>
            <w:r>
              <w:rPr>
                <w:rFonts w:hint="eastAsia"/>
                <w:bCs/>
                <w:color w:val="000000" w:themeColor="text1"/>
                <w:szCs w:val="21"/>
                <w:highlight w:val="none"/>
                <w:lang w:val="en-US" w:eastAsia="zh-CN"/>
                <w14:textFill>
                  <w14:solidFill>
                    <w14:schemeClr w14:val="tx1"/>
                  </w14:solidFill>
                </w14:textFill>
              </w:rPr>
              <w:t>1.排污许可申请</w:t>
            </w:r>
          </w:p>
          <w:p w14:paraId="26D063E2">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jc w:val="both"/>
              <w:textAlignment w:val="auto"/>
              <w:rPr>
                <w:rFonts w:hint="eastAsia"/>
                <w:bCs/>
                <w:color w:val="000000" w:themeColor="text1"/>
                <w:szCs w:val="21"/>
                <w:highlight w:val="none"/>
                <w14:textFill>
                  <w14:solidFill>
                    <w14:schemeClr w14:val="tx1"/>
                  </w14:solidFill>
                </w14:textFill>
              </w:rPr>
            </w:pPr>
            <w:r>
              <w:rPr>
                <w:rFonts w:hint="eastAsia"/>
                <w:bCs/>
                <w:color w:val="000000" w:themeColor="text1"/>
                <w:szCs w:val="21"/>
                <w:highlight w:val="none"/>
                <w:lang w:val="en-US" w:eastAsia="zh-CN"/>
                <w14:textFill>
                  <w14:solidFill>
                    <w14:schemeClr w14:val="tx1"/>
                  </w14:solidFill>
                </w14:textFill>
              </w:rPr>
              <w:t>根据《排污许可证申请与核发技术规范工业炉窑》（</w:t>
            </w:r>
            <w:r>
              <w:rPr>
                <w:rFonts w:hint="default"/>
                <w:bCs/>
                <w:color w:val="000000" w:themeColor="text1"/>
                <w:szCs w:val="21"/>
                <w:highlight w:val="none"/>
                <w:lang w:val="en-US" w:eastAsia="zh-CN"/>
                <w14:textFill>
                  <w14:solidFill>
                    <w14:schemeClr w14:val="tx1"/>
                  </w14:solidFill>
                </w14:textFill>
              </w:rPr>
              <w:t>HJ1121-2020</w:t>
            </w:r>
            <w:r>
              <w:rPr>
                <w:rFonts w:hint="eastAsia"/>
                <w:bCs/>
                <w:color w:val="000000" w:themeColor="text1"/>
                <w:szCs w:val="21"/>
                <w:highlight w:val="none"/>
                <w:lang w:val="en-US" w:eastAsia="zh-CN"/>
                <w14:textFill>
                  <w14:solidFill>
                    <w14:schemeClr w14:val="tx1"/>
                  </w14:solidFill>
                </w14:textFill>
              </w:rPr>
              <w:t>）进行排污许可证的申请，并根据当地环保局重点排污单位名录确定。</w:t>
            </w:r>
          </w:p>
          <w:p w14:paraId="1ABAE5E9">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jc w:val="both"/>
              <w:textAlignment w:val="auto"/>
              <w:rPr>
                <w:rFonts w:hint="eastAsia"/>
                <w:bCs/>
                <w:color w:val="000000" w:themeColor="text1"/>
                <w:szCs w:val="21"/>
                <w:highlight w:val="none"/>
                <w14:textFill>
                  <w14:solidFill>
                    <w14:schemeClr w14:val="tx1"/>
                  </w14:solidFill>
                </w14:textFill>
              </w:rPr>
            </w:pPr>
            <w:r>
              <w:rPr>
                <w:rFonts w:hint="eastAsia"/>
                <w:bCs/>
                <w:color w:val="000000" w:themeColor="text1"/>
                <w:szCs w:val="21"/>
                <w:highlight w:val="none"/>
                <w:lang w:val="en-US" w:eastAsia="zh-CN"/>
                <w14:textFill>
                  <w14:solidFill>
                    <w14:schemeClr w14:val="tx1"/>
                  </w14:solidFill>
                </w14:textFill>
              </w:rPr>
              <w:t>2.排污口规范化整治</w:t>
            </w:r>
          </w:p>
          <w:p w14:paraId="2C5BE81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jc w:val="both"/>
              <w:textAlignment w:val="auto"/>
              <w:rPr>
                <w:rFonts w:hint="eastAsia"/>
                <w:bCs/>
                <w:color w:val="000000" w:themeColor="text1"/>
                <w:szCs w:val="21"/>
                <w:highlight w:val="none"/>
                <w14:textFill>
                  <w14:solidFill>
                    <w14:schemeClr w14:val="tx1"/>
                  </w14:solidFill>
                </w14:textFill>
              </w:rPr>
            </w:pPr>
            <w:r>
              <w:rPr>
                <w:rFonts w:hint="eastAsia"/>
                <w:bCs/>
                <w:color w:val="000000" w:themeColor="text1"/>
                <w:szCs w:val="21"/>
                <w:highlight w:val="none"/>
                <w:lang w:val="en-US" w:eastAsia="zh-CN"/>
                <w14:textFill>
                  <w14:solidFill>
                    <w14:schemeClr w14:val="tx1"/>
                  </w14:solidFill>
                </w14:textFill>
              </w:rPr>
              <w:t>废气排气筒、噪声污染源和固体废物贮存（处置）场所须规范化设置，企业需做到：完善排污口档案。采样孔、点数目和位置按《固定污染源排气中颗粒物测定与气态污染物采样方法》（</w:t>
            </w:r>
            <w:r>
              <w:rPr>
                <w:rFonts w:hint="default"/>
                <w:bCs/>
                <w:color w:val="000000" w:themeColor="text1"/>
                <w:szCs w:val="21"/>
                <w:highlight w:val="none"/>
                <w:lang w:val="en-US" w:eastAsia="zh-CN"/>
                <w14:textFill>
                  <w14:solidFill>
                    <w14:schemeClr w14:val="tx1"/>
                  </w14:solidFill>
                </w14:textFill>
              </w:rPr>
              <w:t>GB/T161571996</w:t>
            </w:r>
            <w:r>
              <w:rPr>
                <w:rFonts w:hint="eastAsia"/>
                <w:bCs/>
                <w:color w:val="000000" w:themeColor="text1"/>
                <w:szCs w:val="21"/>
                <w:highlight w:val="none"/>
                <w:lang w:val="en-US" w:eastAsia="zh-CN"/>
                <w14:textFill>
                  <w14:solidFill>
                    <w14:schemeClr w14:val="tx1"/>
                  </w14:solidFill>
                </w14:textFill>
              </w:rPr>
              <w:t>）的规定设置。环境保护图形标志牌设在排气筒附近地面醒目处。</w:t>
            </w:r>
          </w:p>
          <w:p w14:paraId="4F76AD28">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jc w:val="both"/>
              <w:textAlignment w:val="auto"/>
              <w:rPr>
                <w:rFonts w:hint="eastAsia"/>
                <w:bCs/>
                <w:color w:val="000000" w:themeColor="text1"/>
                <w:szCs w:val="21"/>
                <w:highlight w:val="none"/>
                <w14:textFill>
                  <w14:solidFill>
                    <w14:schemeClr w14:val="tx1"/>
                  </w14:solidFill>
                </w14:textFill>
              </w:rPr>
            </w:pPr>
            <w:r>
              <w:rPr>
                <w:rFonts w:hint="eastAsia"/>
                <w:bCs/>
                <w:color w:val="000000" w:themeColor="text1"/>
                <w:szCs w:val="21"/>
                <w:highlight w:val="none"/>
                <w:lang w:val="en-US" w:eastAsia="zh-CN"/>
                <w14:textFill>
                  <w14:solidFill>
                    <w14:schemeClr w14:val="tx1"/>
                  </w14:solidFill>
                </w14:textFill>
              </w:rPr>
              <w:t>3.竣工验收</w:t>
            </w:r>
          </w:p>
          <w:p w14:paraId="31B2928A">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jc w:val="both"/>
              <w:textAlignment w:val="auto"/>
              <w:rPr>
                <w:color w:val="000000" w:themeColor="text1"/>
                <w:highlight w:val="none"/>
                <w14:textFill>
                  <w14:solidFill>
                    <w14:schemeClr w14:val="tx1"/>
                  </w14:solidFill>
                </w14:textFill>
              </w:rPr>
            </w:pPr>
            <w:r>
              <w:rPr>
                <w:rFonts w:hint="eastAsia"/>
                <w:bCs/>
                <w:color w:val="000000" w:themeColor="text1"/>
                <w:szCs w:val="21"/>
                <w:highlight w:val="none"/>
                <w:lang w:val="en-US" w:eastAsia="zh-CN"/>
                <w14:textFill>
                  <w14:solidFill>
                    <w14:schemeClr w14:val="tx1"/>
                  </w14:solidFill>
                </w14:textFill>
              </w:rPr>
              <w:t>根据《建设项目环境保护管理条例》（</w:t>
            </w:r>
            <w:r>
              <w:rPr>
                <w:rFonts w:hint="default" w:ascii="Times New Roman" w:hAnsi="Times New Roman" w:cs="Times New Roman"/>
                <w:bCs/>
                <w:color w:val="000000" w:themeColor="text1"/>
                <w:szCs w:val="21"/>
                <w:highlight w:val="none"/>
                <w:lang w:val="en-US" w:eastAsia="zh-CN"/>
                <w14:textFill>
                  <w14:solidFill>
                    <w14:schemeClr w14:val="tx1"/>
                  </w14:solidFill>
                </w14:textFill>
              </w:rPr>
              <w:t>2017修订）和《关于发布建设项目竣工环境保护验收暂行办法的公告》（国环规环评〔2017〕4号），本项目建设单位应依据建设项目竣工环境保护验收技术规范、环评文件及其批复的要求，自主开展环境保护竣工验收相关工作。建设项目配套建设的环境保护设施经验收合格，方可投入生产或者使用，未经验收或者验收不合格的，不得投入生产或</w:t>
            </w:r>
            <w:r>
              <w:rPr>
                <w:rFonts w:hint="eastAsia"/>
                <w:bCs/>
                <w:color w:val="000000" w:themeColor="text1"/>
                <w:szCs w:val="21"/>
                <w:highlight w:val="none"/>
                <w:lang w:val="en-US" w:eastAsia="zh-CN"/>
                <w14:textFill>
                  <w14:solidFill>
                    <w14:schemeClr w14:val="tx1"/>
                  </w14:solidFill>
                </w14:textFill>
              </w:rPr>
              <w:t>者使用。</w:t>
            </w:r>
          </w:p>
        </w:tc>
      </w:tr>
    </w:tbl>
    <w:p w14:paraId="6FB0EFC3">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320" w:lineRule="exact"/>
        <w:ind w:firstLine="0" w:firstLineChars="0"/>
        <w:jc w:val="center"/>
        <w:textAlignment w:val="auto"/>
        <w:outlineLvl w:val="0"/>
        <w:rPr>
          <w:rFonts w:ascii="Times New Roman" w:hAnsi="Times New Roman" w:eastAsia="黑体"/>
          <w:snapToGrid w:val="0"/>
          <w:color w:val="000000" w:themeColor="text1"/>
          <w:sz w:val="30"/>
          <w:szCs w:val="30"/>
          <w:highlight w:val="none"/>
          <w14:textFill>
            <w14:solidFill>
              <w14:schemeClr w14:val="tx1"/>
            </w14:solidFill>
          </w14:textFill>
        </w:rPr>
      </w:pPr>
      <w:r>
        <w:rPr>
          <w:rFonts w:ascii="Times New Roman" w:hAnsi="Times New Roman"/>
          <w:snapToGrid w:val="0"/>
          <w:color w:val="000000" w:themeColor="text1"/>
          <w:highlight w:val="none"/>
          <w14:textFill>
            <w14:solidFill>
              <w14:schemeClr w14:val="tx1"/>
            </w14:solidFill>
          </w14:textFill>
        </w:rPr>
        <w:br w:type="page"/>
      </w:r>
      <w:r>
        <w:rPr>
          <w:rFonts w:ascii="Times New Roman" w:hAnsi="Times New Roman" w:eastAsia="黑体" w:cs="Times New Roman"/>
          <w:snapToGrid w:val="0"/>
          <w:color w:val="000000" w:themeColor="text1"/>
          <w:sz w:val="30"/>
          <w:szCs w:val="30"/>
          <w:highlight w:val="none"/>
          <w14:textFill>
            <w14:solidFill>
              <w14:schemeClr w14:val="tx1"/>
            </w14:solidFill>
          </w14:textFill>
        </w:rPr>
        <w:t>六、结论</w:t>
      </w:r>
    </w:p>
    <w:tbl>
      <w:tblPr>
        <w:tblStyle w:val="2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61BE7F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65" w:hRule="atLeast"/>
          <w:jc w:val="center"/>
        </w:trPr>
        <w:tc>
          <w:tcPr>
            <w:tcW w:w="8865" w:type="dxa"/>
            <w:noWrap w:val="0"/>
            <w:vAlign w:val="center"/>
          </w:tcPr>
          <w:p w14:paraId="5561017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ascii="Times New Roman" w:hAnsi="Times New Roman"/>
                <w:color w:val="000000" w:themeColor="text1"/>
                <w:highlight w:val="none"/>
                <w14:textFill>
                  <w14:solidFill>
                    <w14:schemeClr w14:val="tx1"/>
                  </w14:solidFill>
                </w14:textFill>
              </w:rPr>
            </w:pPr>
            <w:r>
              <w:rPr>
                <w:rFonts w:hint="eastAsia" w:ascii="Times New Roman" w:hAnsi="Times New Roman" w:eastAsia="宋体" w:cs="Times New Roman"/>
                <w:color w:val="000000" w:themeColor="text1"/>
                <w:sz w:val="24"/>
                <w:szCs w:val="24"/>
                <w:highlight w:val="none"/>
                <w14:textFill>
                  <w14:solidFill>
                    <w14:schemeClr w14:val="tx1"/>
                  </w14:solidFill>
                </w14:textFill>
              </w:rPr>
              <w:t>本项目采用的污染防治措施技术可行，可确保废水、废气、噪声达标排放，固废妥善处置。项目投产后具有良好的经济效益和一定的社会效益。只要在工程建设中，严格执行建设项目“三同时”制度，使各项</w:t>
            </w:r>
            <w:r>
              <w:rPr>
                <w:rFonts w:hint="eastAsia" w:cs="Times New Roman"/>
                <w:color w:val="000000" w:themeColor="text1"/>
                <w:sz w:val="24"/>
                <w:szCs w:val="24"/>
                <w:highlight w:val="none"/>
                <w:lang w:eastAsia="zh-CN"/>
                <w14:textFill>
                  <w14:solidFill>
                    <w14:schemeClr w14:val="tx1"/>
                  </w14:solidFill>
                </w14:textFill>
              </w:rPr>
              <w:t>环境治理</w:t>
            </w:r>
            <w:r>
              <w:rPr>
                <w:rFonts w:hint="eastAsia" w:ascii="Times New Roman" w:hAnsi="Times New Roman" w:eastAsia="宋体" w:cs="Times New Roman"/>
                <w:color w:val="000000" w:themeColor="text1"/>
                <w:sz w:val="24"/>
                <w:szCs w:val="24"/>
                <w:highlight w:val="none"/>
                <w14:textFill>
                  <w14:solidFill>
                    <w14:schemeClr w14:val="tx1"/>
                  </w14:solidFill>
                </w14:textFill>
              </w:rPr>
              <w:t>措施得以</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落实</w:t>
            </w:r>
            <w:r>
              <w:rPr>
                <w:rFonts w:hint="eastAsia" w:ascii="Times New Roman" w:hAnsi="Times New Roman" w:eastAsia="宋体" w:cs="Times New Roman"/>
                <w:color w:val="000000" w:themeColor="text1"/>
                <w:sz w:val="24"/>
                <w:szCs w:val="24"/>
                <w:highlight w:val="none"/>
                <w14:textFill>
                  <w14:solidFill>
                    <w14:schemeClr w14:val="tx1"/>
                  </w14:solidFill>
                </w14:textFill>
              </w:rPr>
              <w:t>，在工程运行过程中加强生产安全管理，从环境保护角度论证，本项目的建设是可行</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w:t>
            </w:r>
          </w:p>
        </w:tc>
      </w:tr>
    </w:tbl>
    <w:p w14:paraId="05892953">
      <w:pPr>
        <w:pStyle w:val="20"/>
        <w:adjustRightInd w:val="0"/>
        <w:snapToGrid w:val="0"/>
        <w:spacing w:before="648" w:beforeLines="270" w:beforeAutospacing="0" w:after="648" w:afterLines="270" w:afterAutospacing="0"/>
        <w:outlineLvl w:val="0"/>
        <w:rPr>
          <w:rFonts w:ascii="Times New Roman" w:hAnsi="Times New Roman" w:eastAsia="黑体"/>
          <w:color w:val="000000" w:themeColor="text1"/>
          <w:highlight w:val="none"/>
          <w14:textFill>
            <w14:solidFill>
              <w14:schemeClr w14:val="tx1"/>
            </w14:solidFill>
          </w14:textFill>
        </w:rPr>
        <w:sectPr>
          <w:footerReference r:id="rId5" w:type="default"/>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p w14:paraId="139D8F93">
      <w:pPr>
        <w:pStyle w:val="20"/>
        <w:adjustRightInd w:val="0"/>
        <w:snapToGrid w:val="0"/>
        <w:spacing w:before="0" w:beforeAutospacing="0" w:after="0" w:afterAutospacing="0" w:line="500" w:lineRule="exact"/>
        <w:outlineLvl w:val="0"/>
        <w:rPr>
          <w:rFonts w:ascii="Times New Roman" w:hAnsi="Times New Roman" w:eastAsia="黑体"/>
          <w:snapToGrid w:val="0"/>
          <w:color w:val="000000" w:themeColor="text1"/>
          <w:sz w:val="30"/>
          <w:szCs w:val="30"/>
          <w:highlight w:val="none"/>
          <w14:textFill>
            <w14:solidFill>
              <w14:schemeClr w14:val="tx1"/>
            </w14:solidFill>
          </w14:textFill>
        </w:rPr>
      </w:pPr>
      <w:r>
        <w:rPr>
          <w:rFonts w:ascii="Times New Roman" w:hAnsi="Times New Roman" w:eastAsia="黑体"/>
          <w:snapToGrid w:val="0"/>
          <w:color w:val="000000" w:themeColor="text1"/>
          <w:sz w:val="30"/>
          <w:szCs w:val="30"/>
          <w:highlight w:val="none"/>
          <w14:textFill>
            <w14:solidFill>
              <w14:schemeClr w14:val="tx1"/>
            </w14:solidFill>
          </w14:textFill>
        </w:rPr>
        <w:t>附表</w:t>
      </w:r>
    </w:p>
    <w:p w14:paraId="6AF4DF3C">
      <w:pPr>
        <w:pStyle w:val="20"/>
        <w:adjustRightInd w:val="0"/>
        <w:snapToGrid w:val="0"/>
        <w:spacing w:before="0" w:beforeAutospacing="0" w:after="0" w:afterAutospacing="0" w:line="500" w:lineRule="exact"/>
        <w:ind w:firstLine="4800" w:firstLineChars="1600"/>
        <w:outlineLvl w:val="0"/>
        <w:rPr>
          <w:rFonts w:ascii="Times New Roman" w:hAnsi="Times New Roman" w:eastAsia="黑体"/>
          <w:snapToGrid w:val="0"/>
          <w:color w:val="000000" w:themeColor="text1"/>
          <w:sz w:val="30"/>
          <w:szCs w:val="30"/>
          <w:highlight w:val="none"/>
          <w14:textFill>
            <w14:solidFill>
              <w14:schemeClr w14:val="tx1"/>
            </w14:solidFill>
          </w14:textFill>
        </w:rPr>
      </w:pPr>
      <w:r>
        <w:rPr>
          <w:rFonts w:ascii="Times New Roman" w:hAnsi="Times New Roman" w:eastAsia="方正小标宋_GBK"/>
          <w:snapToGrid w:val="0"/>
          <w:color w:val="000000" w:themeColor="text1"/>
          <w:sz w:val="30"/>
          <w:szCs w:val="30"/>
          <w:highlight w:val="none"/>
          <w14:textFill>
            <w14:solidFill>
              <w14:schemeClr w14:val="tx1"/>
            </w14:solidFill>
          </w14:textFill>
        </w:rPr>
        <w:t>建设项目污染物排放量汇总表</w:t>
      </w:r>
      <w:r>
        <w:rPr>
          <w:rFonts w:hint="eastAsia" w:ascii="Times New Roman" w:hAnsi="Times New Roman" w:eastAsia="方正小标宋_GBK"/>
          <w:snapToGrid w:val="0"/>
          <w:color w:val="000000" w:themeColor="text1"/>
          <w:sz w:val="30"/>
          <w:szCs w:val="30"/>
          <w:highlight w:val="none"/>
          <w:lang w:val="en-US" w:eastAsia="zh-CN"/>
          <w14:textFill>
            <w14:solidFill>
              <w14:schemeClr w14:val="tx1"/>
            </w14:solidFill>
          </w14:textFill>
        </w:rPr>
        <w:t xml:space="preserve">                       </w:t>
      </w:r>
    </w:p>
    <w:tbl>
      <w:tblPr>
        <w:tblStyle w:val="24"/>
        <w:tblW w:w="1378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41"/>
        <w:gridCol w:w="2170"/>
        <w:gridCol w:w="1584"/>
        <w:gridCol w:w="1307"/>
        <w:gridCol w:w="1681"/>
        <w:gridCol w:w="1416"/>
        <w:gridCol w:w="1318"/>
        <w:gridCol w:w="1851"/>
        <w:gridCol w:w="1120"/>
      </w:tblGrid>
      <w:tr w14:paraId="54B00A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41" w:type="dxa"/>
            <w:tcBorders>
              <w:tl2br w:val="single" w:color="auto" w:sz="4" w:space="0"/>
            </w:tcBorders>
            <w:noWrap w:val="0"/>
            <w:tcMar>
              <w:left w:w="28" w:type="dxa"/>
              <w:right w:w="28" w:type="dxa"/>
            </w:tcMar>
            <w:vAlign w:val="center"/>
          </w:tcPr>
          <w:p w14:paraId="7E0CC46B">
            <w:pPr>
              <w:pStyle w:val="31"/>
              <w:spacing w:beforeLines="0" w:afterLines="0" w:line="240" w:lineRule="auto"/>
              <w:rPr>
                <w:rFonts w:ascii="Times New Roman" w:eastAsia="黑体"/>
                <w:snapToGrid w:val="0"/>
                <w:color w:val="000000" w:themeColor="text1"/>
                <w:spacing w:val="-6"/>
                <w:kern w:val="21"/>
                <w:szCs w:val="21"/>
                <w:highlight w:val="none"/>
                <w14:textFill>
                  <w14:solidFill>
                    <w14:schemeClr w14:val="tx1"/>
                  </w14:solidFill>
                </w14:textFill>
              </w:rPr>
            </w:pPr>
            <w:r>
              <w:rPr>
                <w:rFonts w:ascii="Times New Roman" w:eastAsia="黑体"/>
                <w:snapToGrid w:val="0"/>
                <w:color w:val="000000" w:themeColor="text1"/>
                <w:spacing w:val="-6"/>
                <w:kern w:val="21"/>
                <w:szCs w:val="21"/>
                <w:highlight w:val="none"/>
                <w14:textFill>
                  <w14:solidFill>
                    <w14:schemeClr w14:val="tx1"/>
                  </w14:solidFill>
                </w14:textFill>
              </w:rPr>
              <w:t>项目</w:t>
            </w:r>
          </w:p>
          <w:p w14:paraId="2945B32B">
            <w:pPr>
              <w:pStyle w:val="31"/>
              <w:spacing w:beforeLines="0" w:afterLines="0" w:line="240" w:lineRule="auto"/>
              <w:ind w:firstLine="0"/>
              <w:jc w:val="left"/>
              <w:rPr>
                <w:rFonts w:ascii="Times New Roman" w:eastAsia="黑体"/>
                <w:snapToGrid w:val="0"/>
                <w:color w:val="000000" w:themeColor="text1"/>
                <w:spacing w:val="-6"/>
                <w:kern w:val="21"/>
                <w:szCs w:val="21"/>
                <w:highlight w:val="none"/>
                <w14:textFill>
                  <w14:solidFill>
                    <w14:schemeClr w14:val="tx1"/>
                  </w14:solidFill>
                </w14:textFill>
              </w:rPr>
            </w:pPr>
            <w:r>
              <w:rPr>
                <w:rFonts w:ascii="Times New Roman" w:eastAsia="黑体"/>
                <w:snapToGrid w:val="0"/>
                <w:color w:val="000000" w:themeColor="text1"/>
                <w:spacing w:val="-6"/>
                <w:kern w:val="21"/>
                <w:szCs w:val="21"/>
                <w:highlight w:val="none"/>
                <w14:textFill>
                  <w14:solidFill>
                    <w14:schemeClr w14:val="tx1"/>
                  </w14:solidFill>
                </w14:textFill>
              </w:rPr>
              <w:t>分类</w:t>
            </w:r>
          </w:p>
        </w:tc>
        <w:tc>
          <w:tcPr>
            <w:tcW w:w="2170" w:type="dxa"/>
            <w:noWrap w:val="0"/>
            <w:tcMar>
              <w:left w:w="28" w:type="dxa"/>
              <w:right w:w="28" w:type="dxa"/>
            </w:tcMar>
            <w:vAlign w:val="center"/>
          </w:tcPr>
          <w:p w14:paraId="6029E652">
            <w:pPr>
              <w:pStyle w:val="31"/>
              <w:spacing w:beforeLines="0" w:afterLines="0" w:line="240" w:lineRule="auto"/>
              <w:ind w:firstLine="0"/>
              <w:rPr>
                <w:rFonts w:ascii="Times New Roman" w:eastAsia="黑体"/>
                <w:snapToGrid w:val="0"/>
                <w:color w:val="000000" w:themeColor="text1"/>
                <w:spacing w:val="-6"/>
                <w:kern w:val="21"/>
                <w:szCs w:val="21"/>
                <w:highlight w:val="none"/>
                <w14:textFill>
                  <w14:solidFill>
                    <w14:schemeClr w14:val="tx1"/>
                  </w14:solidFill>
                </w14:textFill>
              </w:rPr>
            </w:pPr>
            <w:r>
              <w:rPr>
                <w:rFonts w:ascii="Times New Roman" w:eastAsia="黑体"/>
                <w:snapToGrid w:val="0"/>
                <w:color w:val="000000" w:themeColor="text1"/>
                <w:spacing w:val="-6"/>
                <w:kern w:val="21"/>
                <w:szCs w:val="21"/>
                <w:highlight w:val="none"/>
                <w14:textFill>
                  <w14:solidFill>
                    <w14:schemeClr w14:val="tx1"/>
                  </w14:solidFill>
                </w14:textFill>
              </w:rPr>
              <w:t>污染物名称</w:t>
            </w:r>
          </w:p>
        </w:tc>
        <w:tc>
          <w:tcPr>
            <w:tcW w:w="1584" w:type="dxa"/>
            <w:noWrap w:val="0"/>
            <w:tcMar>
              <w:left w:w="28" w:type="dxa"/>
              <w:right w:w="28" w:type="dxa"/>
            </w:tcMar>
            <w:vAlign w:val="center"/>
          </w:tcPr>
          <w:p w14:paraId="678B2B6A">
            <w:pPr>
              <w:pStyle w:val="31"/>
              <w:spacing w:beforeLines="0" w:afterLines="0" w:line="240" w:lineRule="auto"/>
              <w:ind w:firstLine="0"/>
              <w:rPr>
                <w:rFonts w:ascii="Times New Roman" w:eastAsia="黑体"/>
                <w:snapToGrid w:val="0"/>
                <w:color w:val="000000" w:themeColor="text1"/>
                <w:spacing w:val="-6"/>
                <w:kern w:val="21"/>
                <w:szCs w:val="21"/>
                <w:highlight w:val="none"/>
                <w14:textFill>
                  <w14:solidFill>
                    <w14:schemeClr w14:val="tx1"/>
                  </w14:solidFill>
                </w14:textFill>
              </w:rPr>
            </w:pPr>
            <w:r>
              <w:rPr>
                <w:rFonts w:ascii="Times New Roman" w:eastAsia="黑体"/>
                <w:snapToGrid w:val="0"/>
                <w:color w:val="000000" w:themeColor="text1"/>
                <w:spacing w:val="-6"/>
                <w:kern w:val="21"/>
                <w:szCs w:val="21"/>
                <w:highlight w:val="none"/>
                <w14:textFill>
                  <w14:solidFill>
                    <w14:schemeClr w14:val="tx1"/>
                  </w14:solidFill>
                </w14:textFill>
              </w:rPr>
              <w:t>现有工程排放量（固体废物产生量）</w:t>
            </w:r>
            <w:r>
              <w:rPr>
                <w:rFonts w:ascii="Times New Roman" w:eastAsia="黑体"/>
                <w:snapToGrid w:val="0"/>
                <w:color w:val="000000" w:themeColor="text1"/>
                <w:spacing w:val="-6"/>
                <w:kern w:val="21"/>
                <w:szCs w:val="21"/>
                <w:highlight w:val="none"/>
                <w14:textFill>
                  <w14:solidFill>
                    <w14:schemeClr w14:val="tx1"/>
                  </w14:solidFill>
                </w14:textFill>
              </w:rPr>
              <w:fldChar w:fldCharType="begin"/>
            </w:r>
            <w:r>
              <w:rPr>
                <w:rFonts w:ascii="Times New Roman" w:eastAsia="黑体"/>
                <w:snapToGrid w:val="0"/>
                <w:color w:val="000000" w:themeColor="text1"/>
                <w:spacing w:val="-6"/>
                <w:kern w:val="21"/>
                <w:szCs w:val="21"/>
                <w:highlight w:val="none"/>
                <w14:textFill>
                  <w14:solidFill>
                    <w14:schemeClr w14:val="tx1"/>
                  </w14:solidFill>
                </w14:textFill>
              </w:rPr>
              <w:instrText xml:space="preserve"> = 1 \* GB3 \* MERGEFORMAT </w:instrText>
            </w:r>
            <w:r>
              <w:rPr>
                <w:rFonts w:ascii="Times New Roman" w:eastAsia="黑体"/>
                <w:snapToGrid w:val="0"/>
                <w:color w:val="000000" w:themeColor="text1"/>
                <w:spacing w:val="-6"/>
                <w:kern w:val="21"/>
                <w:szCs w:val="21"/>
                <w:highlight w:val="none"/>
                <w14:textFill>
                  <w14:solidFill>
                    <w14:schemeClr w14:val="tx1"/>
                  </w14:solidFill>
                </w14:textFill>
              </w:rPr>
              <w:fldChar w:fldCharType="separate"/>
            </w:r>
            <w:r>
              <w:rPr>
                <w:rFonts w:ascii="Times New Roman" w:eastAsia="黑体"/>
                <w:color w:val="000000" w:themeColor="text1"/>
                <w:kern w:val="2"/>
                <w:szCs w:val="21"/>
                <w:highlight w:val="none"/>
                <w14:textFill>
                  <w14:solidFill>
                    <w14:schemeClr w14:val="tx1"/>
                  </w14:solidFill>
                </w14:textFill>
              </w:rPr>
              <w:t>①</w:t>
            </w:r>
            <w:r>
              <w:rPr>
                <w:rFonts w:ascii="Times New Roman" w:eastAsia="黑体"/>
                <w:snapToGrid w:val="0"/>
                <w:color w:val="000000" w:themeColor="text1"/>
                <w:spacing w:val="-6"/>
                <w:kern w:val="21"/>
                <w:szCs w:val="21"/>
                <w:highlight w:val="none"/>
                <w14:textFill>
                  <w14:solidFill>
                    <w14:schemeClr w14:val="tx1"/>
                  </w14:solidFill>
                </w14:textFill>
              </w:rPr>
              <w:fldChar w:fldCharType="end"/>
            </w:r>
          </w:p>
        </w:tc>
        <w:tc>
          <w:tcPr>
            <w:tcW w:w="1307" w:type="dxa"/>
            <w:noWrap w:val="0"/>
            <w:tcMar>
              <w:left w:w="28" w:type="dxa"/>
              <w:right w:w="28" w:type="dxa"/>
            </w:tcMar>
            <w:vAlign w:val="center"/>
          </w:tcPr>
          <w:p w14:paraId="7D605B5B">
            <w:pPr>
              <w:pStyle w:val="31"/>
              <w:spacing w:beforeLines="0" w:afterLines="0" w:line="240" w:lineRule="auto"/>
              <w:ind w:firstLine="0"/>
              <w:rPr>
                <w:rFonts w:ascii="Times New Roman" w:eastAsia="黑体"/>
                <w:snapToGrid w:val="0"/>
                <w:color w:val="000000" w:themeColor="text1"/>
                <w:spacing w:val="-6"/>
                <w:kern w:val="21"/>
                <w:szCs w:val="21"/>
                <w:highlight w:val="none"/>
                <w14:textFill>
                  <w14:solidFill>
                    <w14:schemeClr w14:val="tx1"/>
                  </w14:solidFill>
                </w14:textFill>
              </w:rPr>
            </w:pPr>
            <w:r>
              <w:rPr>
                <w:rFonts w:ascii="Times New Roman" w:eastAsia="黑体"/>
                <w:snapToGrid w:val="0"/>
                <w:color w:val="000000" w:themeColor="text1"/>
                <w:spacing w:val="-6"/>
                <w:kern w:val="21"/>
                <w:szCs w:val="21"/>
                <w:highlight w:val="none"/>
                <w14:textFill>
                  <w14:solidFill>
                    <w14:schemeClr w14:val="tx1"/>
                  </w14:solidFill>
                </w14:textFill>
              </w:rPr>
              <w:t>现有工程许可排放量</w:t>
            </w:r>
          </w:p>
          <w:p w14:paraId="69A681AD">
            <w:pPr>
              <w:pStyle w:val="31"/>
              <w:spacing w:beforeLines="0" w:afterLines="0" w:line="240" w:lineRule="auto"/>
              <w:ind w:firstLine="0"/>
              <w:rPr>
                <w:rFonts w:ascii="Times New Roman" w:eastAsia="黑体"/>
                <w:snapToGrid w:val="0"/>
                <w:color w:val="000000" w:themeColor="text1"/>
                <w:spacing w:val="-6"/>
                <w:kern w:val="21"/>
                <w:szCs w:val="21"/>
                <w:highlight w:val="none"/>
                <w14:textFill>
                  <w14:solidFill>
                    <w14:schemeClr w14:val="tx1"/>
                  </w14:solidFill>
                </w14:textFill>
              </w:rPr>
            </w:pPr>
            <w:r>
              <w:rPr>
                <w:rFonts w:ascii="Times New Roman" w:eastAsia="黑体"/>
                <w:snapToGrid w:val="0"/>
                <w:color w:val="000000" w:themeColor="text1"/>
                <w:spacing w:val="-6"/>
                <w:kern w:val="21"/>
                <w:szCs w:val="21"/>
                <w:highlight w:val="none"/>
                <w14:textFill>
                  <w14:solidFill>
                    <w14:schemeClr w14:val="tx1"/>
                  </w14:solidFill>
                </w14:textFill>
              </w:rPr>
              <w:fldChar w:fldCharType="begin"/>
            </w:r>
            <w:r>
              <w:rPr>
                <w:rFonts w:ascii="Times New Roman" w:eastAsia="黑体"/>
                <w:snapToGrid w:val="0"/>
                <w:color w:val="000000" w:themeColor="text1"/>
                <w:spacing w:val="-6"/>
                <w:kern w:val="21"/>
                <w:szCs w:val="21"/>
                <w:highlight w:val="none"/>
                <w14:textFill>
                  <w14:solidFill>
                    <w14:schemeClr w14:val="tx1"/>
                  </w14:solidFill>
                </w14:textFill>
              </w:rPr>
              <w:instrText xml:space="preserve"> = 2 \* GB3 \* MERGEFORMAT </w:instrText>
            </w:r>
            <w:r>
              <w:rPr>
                <w:rFonts w:ascii="Times New Roman" w:eastAsia="黑体"/>
                <w:snapToGrid w:val="0"/>
                <w:color w:val="000000" w:themeColor="text1"/>
                <w:spacing w:val="-6"/>
                <w:kern w:val="21"/>
                <w:szCs w:val="21"/>
                <w:highlight w:val="none"/>
                <w14:textFill>
                  <w14:solidFill>
                    <w14:schemeClr w14:val="tx1"/>
                  </w14:solidFill>
                </w14:textFill>
              </w:rPr>
              <w:fldChar w:fldCharType="separate"/>
            </w:r>
            <w:r>
              <w:rPr>
                <w:rFonts w:ascii="Times New Roman" w:eastAsia="黑体"/>
                <w:snapToGrid w:val="0"/>
                <w:color w:val="000000" w:themeColor="text1"/>
                <w:spacing w:val="-6"/>
                <w:kern w:val="21"/>
                <w:szCs w:val="21"/>
                <w:highlight w:val="none"/>
                <w14:textFill>
                  <w14:solidFill>
                    <w14:schemeClr w14:val="tx1"/>
                  </w14:solidFill>
                </w14:textFill>
              </w:rPr>
              <w:t>②</w:t>
            </w:r>
            <w:r>
              <w:rPr>
                <w:rFonts w:ascii="Times New Roman" w:eastAsia="黑体"/>
                <w:snapToGrid w:val="0"/>
                <w:color w:val="000000" w:themeColor="text1"/>
                <w:spacing w:val="-6"/>
                <w:kern w:val="21"/>
                <w:szCs w:val="21"/>
                <w:highlight w:val="none"/>
                <w14:textFill>
                  <w14:solidFill>
                    <w14:schemeClr w14:val="tx1"/>
                  </w14:solidFill>
                </w14:textFill>
              </w:rPr>
              <w:fldChar w:fldCharType="end"/>
            </w:r>
          </w:p>
        </w:tc>
        <w:tc>
          <w:tcPr>
            <w:tcW w:w="1681" w:type="dxa"/>
            <w:noWrap w:val="0"/>
            <w:tcMar>
              <w:left w:w="28" w:type="dxa"/>
              <w:right w:w="28" w:type="dxa"/>
            </w:tcMar>
            <w:vAlign w:val="center"/>
          </w:tcPr>
          <w:p w14:paraId="727BA89C">
            <w:pPr>
              <w:pStyle w:val="31"/>
              <w:spacing w:beforeLines="0" w:afterLines="0" w:line="240" w:lineRule="auto"/>
              <w:ind w:firstLine="0"/>
              <w:rPr>
                <w:rFonts w:ascii="Times New Roman" w:eastAsia="黑体"/>
                <w:snapToGrid w:val="0"/>
                <w:color w:val="000000" w:themeColor="text1"/>
                <w:spacing w:val="-6"/>
                <w:kern w:val="21"/>
                <w:szCs w:val="21"/>
                <w:highlight w:val="none"/>
                <w14:textFill>
                  <w14:solidFill>
                    <w14:schemeClr w14:val="tx1"/>
                  </w14:solidFill>
                </w14:textFill>
              </w:rPr>
            </w:pPr>
            <w:r>
              <w:rPr>
                <w:rFonts w:ascii="Times New Roman" w:eastAsia="黑体"/>
                <w:snapToGrid w:val="0"/>
                <w:color w:val="000000" w:themeColor="text1"/>
                <w:spacing w:val="-6"/>
                <w:kern w:val="21"/>
                <w:szCs w:val="21"/>
                <w:highlight w:val="none"/>
                <w14:textFill>
                  <w14:solidFill>
                    <w14:schemeClr w14:val="tx1"/>
                  </w14:solidFill>
                </w14:textFill>
              </w:rPr>
              <w:t>在建工程排放量（固体废物产生量）</w:t>
            </w:r>
            <w:r>
              <w:rPr>
                <w:rFonts w:ascii="Times New Roman" w:eastAsia="黑体"/>
                <w:snapToGrid w:val="0"/>
                <w:color w:val="000000" w:themeColor="text1"/>
                <w:spacing w:val="-6"/>
                <w:kern w:val="21"/>
                <w:szCs w:val="21"/>
                <w:highlight w:val="none"/>
                <w14:textFill>
                  <w14:solidFill>
                    <w14:schemeClr w14:val="tx1"/>
                  </w14:solidFill>
                </w14:textFill>
              </w:rPr>
              <w:fldChar w:fldCharType="begin"/>
            </w:r>
            <w:r>
              <w:rPr>
                <w:rFonts w:ascii="Times New Roman" w:eastAsia="黑体"/>
                <w:snapToGrid w:val="0"/>
                <w:color w:val="000000" w:themeColor="text1"/>
                <w:spacing w:val="-6"/>
                <w:kern w:val="21"/>
                <w:szCs w:val="21"/>
                <w:highlight w:val="none"/>
                <w14:textFill>
                  <w14:solidFill>
                    <w14:schemeClr w14:val="tx1"/>
                  </w14:solidFill>
                </w14:textFill>
              </w:rPr>
              <w:instrText xml:space="preserve"> = 3 \* GB3 \* MERGEFORMAT </w:instrText>
            </w:r>
            <w:r>
              <w:rPr>
                <w:rFonts w:ascii="Times New Roman" w:eastAsia="黑体"/>
                <w:snapToGrid w:val="0"/>
                <w:color w:val="000000" w:themeColor="text1"/>
                <w:spacing w:val="-6"/>
                <w:kern w:val="21"/>
                <w:szCs w:val="21"/>
                <w:highlight w:val="none"/>
                <w14:textFill>
                  <w14:solidFill>
                    <w14:schemeClr w14:val="tx1"/>
                  </w14:solidFill>
                </w14:textFill>
              </w:rPr>
              <w:fldChar w:fldCharType="separate"/>
            </w:r>
            <w:r>
              <w:rPr>
                <w:rFonts w:ascii="Times New Roman" w:eastAsia="黑体"/>
                <w:color w:val="000000" w:themeColor="text1"/>
                <w:kern w:val="2"/>
                <w:szCs w:val="21"/>
                <w:highlight w:val="none"/>
                <w14:textFill>
                  <w14:solidFill>
                    <w14:schemeClr w14:val="tx1"/>
                  </w14:solidFill>
                </w14:textFill>
              </w:rPr>
              <w:t>③</w:t>
            </w:r>
            <w:r>
              <w:rPr>
                <w:rFonts w:ascii="Times New Roman" w:eastAsia="黑体"/>
                <w:snapToGrid w:val="0"/>
                <w:color w:val="000000" w:themeColor="text1"/>
                <w:spacing w:val="-6"/>
                <w:kern w:val="21"/>
                <w:szCs w:val="21"/>
                <w:highlight w:val="none"/>
                <w14:textFill>
                  <w14:solidFill>
                    <w14:schemeClr w14:val="tx1"/>
                  </w14:solidFill>
                </w14:textFill>
              </w:rPr>
              <w:fldChar w:fldCharType="end"/>
            </w:r>
          </w:p>
        </w:tc>
        <w:tc>
          <w:tcPr>
            <w:tcW w:w="1416" w:type="dxa"/>
            <w:noWrap w:val="0"/>
            <w:tcMar>
              <w:left w:w="28" w:type="dxa"/>
              <w:right w:w="28" w:type="dxa"/>
            </w:tcMar>
            <w:vAlign w:val="center"/>
          </w:tcPr>
          <w:p w14:paraId="4DDD25B6">
            <w:pPr>
              <w:pStyle w:val="31"/>
              <w:spacing w:beforeLines="0" w:afterLines="0" w:line="240" w:lineRule="auto"/>
              <w:ind w:firstLine="0"/>
              <w:rPr>
                <w:rFonts w:ascii="Times New Roman" w:eastAsia="黑体"/>
                <w:snapToGrid w:val="0"/>
                <w:color w:val="000000" w:themeColor="text1"/>
                <w:spacing w:val="-6"/>
                <w:kern w:val="21"/>
                <w:szCs w:val="21"/>
                <w:highlight w:val="none"/>
                <w14:textFill>
                  <w14:solidFill>
                    <w14:schemeClr w14:val="tx1"/>
                  </w14:solidFill>
                </w14:textFill>
              </w:rPr>
            </w:pPr>
            <w:r>
              <w:rPr>
                <w:rFonts w:ascii="Times New Roman" w:eastAsia="黑体"/>
                <w:snapToGrid w:val="0"/>
                <w:color w:val="000000" w:themeColor="text1"/>
                <w:spacing w:val="-6"/>
                <w:kern w:val="21"/>
                <w:szCs w:val="21"/>
                <w:highlight w:val="none"/>
                <w14:textFill>
                  <w14:solidFill>
                    <w14:schemeClr w14:val="tx1"/>
                  </w14:solidFill>
                </w14:textFill>
              </w:rPr>
              <w:t>本项目排放量（固体废物产生量）</w:t>
            </w:r>
            <w:r>
              <w:rPr>
                <w:rFonts w:ascii="Times New Roman" w:eastAsia="黑体"/>
                <w:snapToGrid w:val="0"/>
                <w:color w:val="000000" w:themeColor="text1"/>
                <w:spacing w:val="-6"/>
                <w:kern w:val="21"/>
                <w:szCs w:val="21"/>
                <w:highlight w:val="none"/>
                <w14:textFill>
                  <w14:solidFill>
                    <w14:schemeClr w14:val="tx1"/>
                  </w14:solidFill>
                </w14:textFill>
              </w:rPr>
              <w:fldChar w:fldCharType="begin"/>
            </w:r>
            <w:r>
              <w:rPr>
                <w:rFonts w:ascii="Times New Roman" w:eastAsia="黑体"/>
                <w:snapToGrid w:val="0"/>
                <w:color w:val="000000" w:themeColor="text1"/>
                <w:spacing w:val="-6"/>
                <w:kern w:val="21"/>
                <w:szCs w:val="21"/>
                <w:highlight w:val="none"/>
                <w14:textFill>
                  <w14:solidFill>
                    <w14:schemeClr w14:val="tx1"/>
                  </w14:solidFill>
                </w14:textFill>
              </w:rPr>
              <w:instrText xml:space="preserve"> = 4 \* GB3 \* MERGEFORMAT </w:instrText>
            </w:r>
            <w:r>
              <w:rPr>
                <w:rFonts w:ascii="Times New Roman" w:eastAsia="黑体"/>
                <w:snapToGrid w:val="0"/>
                <w:color w:val="000000" w:themeColor="text1"/>
                <w:spacing w:val="-6"/>
                <w:kern w:val="21"/>
                <w:szCs w:val="21"/>
                <w:highlight w:val="none"/>
                <w14:textFill>
                  <w14:solidFill>
                    <w14:schemeClr w14:val="tx1"/>
                  </w14:solidFill>
                </w14:textFill>
              </w:rPr>
              <w:fldChar w:fldCharType="separate"/>
            </w:r>
            <w:r>
              <w:rPr>
                <w:rFonts w:ascii="Times New Roman" w:eastAsia="黑体"/>
                <w:color w:val="000000" w:themeColor="text1"/>
                <w:kern w:val="2"/>
                <w:szCs w:val="21"/>
                <w:highlight w:val="none"/>
                <w14:textFill>
                  <w14:solidFill>
                    <w14:schemeClr w14:val="tx1"/>
                  </w14:solidFill>
                </w14:textFill>
              </w:rPr>
              <w:t>④</w:t>
            </w:r>
            <w:r>
              <w:rPr>
                <w:rFonts w:ascii="Times New Roman" w:eastAsia="黑体"/>
                <w:snapToGrid w:val="0"/>
                <w:color w:val="000000" w:themeColor="text1"/>
                <w:spacing w:val="-6"/>
                <w:kern w:val="21"/>
                <w:szCs w:val="21"/>
                <w:highlight w:val="none"/>
                <w14:textFill>
                  <w14:solidFill>
                    <w14:schemeClr w14:val="tx1"/>
                  </w14:solidFill>
                </w14:textFill>
              </w:rPr>
              <w:fldChar w:fldCharType="end"/>
            </w:r>
          </w:p>
        </w:tc>
        <w:tc>
          <w:tcPr>
            <w:tcW w:w="1318" w:type="dxa"/>
            <w:noWrap w:val="0"/>
            <w:tcMar>
              <w:left w:w="28" w:type="dxa"/>
              <w:right w:w="28" w:type="dxa"/>
            </w:tcMar>
            <w:vAlign w:val="center"/>
          </w:tcPr>
          <w:p w14:paraId="090C423E">
            <w:pPr>
              <w:pStyle w:val="31"/>
              <w:spacing w:beforeLines="0" w:afterLines="0" w:line="240" w:lineRule="auto"/>
              <w:ind w:firstLine="0"/>
              <w:rPr>
                <w:rFonts w:ascii="Times New Roman" w:eastAsia="黑体"/>
                <w:snapToGrid w:val="0"/>
                <w:color w:val="000000" w:themeColor="text1"/>
                <w:spacing w:val="-16"/>
                <w:kern w:val="21"/>
                <w:szCs w:val="21"/>
                <w:highlight w:val="none"/>
                <w14:textFill>
                  <w14:solidFill>
                    <w14:schemeClr w14:val="tx1"/>
                  </w14:solidFill>
                </w14:textFill>
              </w:rPr>
            </w:pPr>
            <w:r>
              <w:rPr>
                <w:rFonts w:ascii="Times New Roman" w:eastAsia="黑体"/>
                <w:snapToGrid w:val="0"/>
                <w:color w:val="000000" w:themeColor="text1"/>
                <w:spacing w:val="-16"/>
                <w:kern w:val="21"/>
                <w:szCs w:val="21"/>
                <w:highlight w:val="none"/>
                <w14:textFill>
                  <w14:solidFill>
                    <w14:schemeClr w14:val="tx1"/>
                  </w14:solidFill>
                </w14:textFill>
              </w:rPr>
              <w:t>以新带老削减量（新建项目不填）</w:t>
            </w:r>
            <w:r>
              <w:rPr>
                <w:rFonts w:ascii="Times New Roman" w:eastAsia="黑体"/>
                <w:snapToGrid w:val="0"/>
                <w:color w:val="000000" w:themeColor="text1"/>
                <w:spacing w:val="-16"/>
                <w:kern w:val="21"/>
                <w:szCs w:val="21"/>
                <w:highlight w:val="none"/>
                <w14:textFill>
                  <w14:solidFill>
                    <w14:schemeClr w14:val="tx1"/>
                  </w14:solidFill>
                </w14:textFill>
              </w:rPr>
              <w:fldChar w:fldCharType="begin"/>
            </w:r>
            <w:r>
              <w:rPr>
                <w:rFonts w:ascii="Times New Roman" w:eastAsia="黑体"/>
                <w:snapToGrid w:val="0"/>
                <w:color w:val="000000" w:themeColor="text1"/>
                <w:spacing w:val="-16"/>
                <w:kern w:val="21"/>
                <w:szCs w:val="21"/>
                <w:highlight w:val="none"/>
                <w14:textFill>
                  <w14:solidFill>
                    <w14:schemeClr w14:val="tx1"/>
                  </w14:solidFill>
                </w14:textFill>
              </w:rPr>
              <w:instrText xml:space="preserve"> = 5 \* GB3 \* MERGEFORMAT </w:instrText>
            </w:r>
            <w:r>
              <w:rPr>
                <w:rFonts w:ascii="Times New Roman" w:eastAsia="黑体"/>
                <w:snapToGrid w:val="0"/>
                <w:color w:val="000000" w:themeColor="text1"/>
                <w:spacing w:val="-16"/>
                <w:kern w:val="21"/>
                <w:szCs w:val="21"/>
                <w:highlight w:val="none"/>
                <w14:textFill>
                  <w14:solidFill>
                    <w14:schemeClr w14:val="tx1"/>
                  </w14:solidFill>
                </w14:textFill>
              </w:rPr>
              <w:fldChar w:fldCharType="separate"/>
            </w:r>
            <w:r>
              <w:rPr>
                <w:rFonts w:ascii="Times New Roman" w:eastAsia="黑体"/>
                <w:color w:val="000000" w:themeColor="text1"/>
                <w:kern w:val="2"/>
                <w:szCs w:val="21"/>
                <w:highlight w:val="none"/>
                <w14:textFill>
                  <w14:solidFill>
                    <w14:schemeClr w14:val="tx1"/>
                  </w14:solidFill>
                </w14:textFill>
              </w:rPr>
              <w:t>⑤</w:t>
            </w:r>
            <w:r>
              <w:rPr>
                <w:rFonts w:ascii="Times New Roman" w:eastAsia="黑体"/>
                <w:snapToGrid w:val="0"/>
                <w:color w:val="000000" w:themeColor="text1"/>
                <w:spacing w:val="-16"/>
                <w:kern w:val="21"/>
                <w:szCs w:val="21"/>
                <w:highlight w:val="none"/>
                <w14:textFill>
                  <w14:solidFill>
                    <w14:schemeClr w14:val="tx1"/>
                  </w14:solidFill>
                </w14:textFill>
              </w:rPr>
              <w:fldChar w:fldCharType="end"/>
            </w:r>
          </w:p>
        </w:tc>
        <w:tc>
          <w:tcPr>
            <w:tcW w:w="1851" w:type="dxa"/>
            <w:noWrap w:val="0"/>
            <w:tcMar>
              <w:left w:w="28" w:type="dxa"/>
              <w:right w:w="28" w:type="dxa"/>
            </w:tcMar>
            <w:vAlign w:val="center"/>
          </w:tcPr>
          <w:p w14:paraId="133F6A36">
            <w:pPr>
              <w:pStyle w:val="31"/>
              <w:spacing w:beforeLines="0" w:afterLines="0" w:line="240" w:lineRule="auto"/>
              <w:ind w:firstLine="0"/>
              <w:rPr>
                <w:rFonts w:ascii="Times New Roman" w:eastAsia="黑体"/>
                <w:snapToGrid w:val="0"/>
                <w:color w:val="000000" w:themeColor="text1"/>
                <w:spacing w:val="-16"/>
                <w:kern w:val="21"/>
                <w:szCs w:val="21"/>
                <w:highlight w:val="none"/>
                <w14:textFill>
                  <w14:solidFill>
                    <w14:schemeClr w14:val="tx1"/>
                  </w14:solidFill>
                </w14:textFill>
              </w:rPr>
            </w:pPr>
            <w:r>
              <w:rPr>
                <w:rFonts w:ascii="Times New Roman" w:eastAsia="黑体"/>
                <w:snapToGrid w:val="0"/>
                <w:color w:val="000000" w:themeColor="text1"/>
                <w:spacing w:val="-16"/>
                <w:kern w:val="21"/>
                <w:szCs w:val="21"/>
                <w:highlight w:val="none"/>
                <w14:textFill>
                  <w14:solidFill>
                    <w14:schemeClr w14:val="tx1"/>
                  </w14:solidFill>
                </w14:textFill>
              </w:rPr>
              <w:t>本项目建成后</w:t>
            </w:r>
          </w:p>
          <w:p w14:paraId="3304B22B">
            <w:pPr>
              <w:pStyle w:val="31"/>
              <w:spacing w:beforeLines="0" w:afterLines="0" w:line="240" w:lineRule="auto"/>
              <w:ind w:firstLine="0"/>
              <w:rPr>
                <w:rFonts w:ascii="Times New Roman" w:eastAsia="黑体"/>
                <w:snapToGrid w:val="0"/>
                <w:color w:val="000000" w:themeColor="text1"/>
                <w:spacing w:val="-16"/>
                <w:kern w:val="21"/>
                <w:szCs w:val="21"/>
                <w:highlight w:val="none"/>
                <w14:textFill>
                  <w14:solidFill>
                    <w14:schemeClr w14:val="tx1"/>
                  </w14:solidFill>
                </w14:textFill>
              </w:rPr>
            </w:pPr>
            <w:r>
              <w:rPr>
                <w:rFonts w:ascii="Times New Roman" w:eastAsia="黑体"/>
                <w:snapToGrid w:val="0"/>
                <w:color w:val="000000" w:themeColor="text1"/>
                <w:spacing w:val="-16"/>
                <w:kern w:val="21"/>
                <w:szCs w:val="21"/>
                <w:highlight w:val="none"/>
                <w14:textFill>
                  <w14:solidFill>
                    <w14:schemeClr w14:val="tx1"/>
                  </w14:solidFill>
                </w14:textFill>
              </w:rPr>
              <w:t>全厂排放量（固体废物产生量）</w:t>
            </w:r>
            <w:r>
              <w:rPr>
                <w:rFonts w:ascii="Times New Roman" w:eastAsia="黑体"/>
                <w:snapToGrid w:val="0"/>
                <w:color w:val="000000" w:themeColor="text1"/>
                <w:spacing w:val="-16"/>
                <w:kern w:val="21"/>
                <w:szCs w:val="21"/>
                <w:highlight w:val="none"/>
                <w14:textFill>
                  <w14:solidFill>
                    <w14:schemeClr w14:val="tx1"/>
                  </w14:solidFill>
                </w14:textFill>
              </w:rPr>
              <w:fldChar w:fldCharType="begin"/>
            </w:r>
            <w:r>
              <w:rPr>
                <w:rFonts w:ascii="Times New Roman" w:eastAsia="黑体"/>
                <w:snapToGrid w:val="0"/>
                <w:color w:val="000000" w:themeColor="text1"/>
                <w:spacing w:val="-16"/>
                <w:kern w:val="21"/>
                <w:szCs w:val="21"/>
                <w:highlight w:val="none"/>
                <w14:textFill>
                  <w14:solidFill>
                    <w14:schemeClr w14:val="tx1"/>
                  </w14:solidFill>
                </w14:textFill>
              </w:rPr>
              <w:instrText xml:space="preserve"> = 6 \* GB3 \* MERGEFORMAT </w:instrText>
            </w:r>
            <w:r>
              <w:rPr>
                <w:rFonts w:ascii="Times New Roman" w:eastAsia="黑体"/>
                <w:snapToGrid w:val="0"/>
                <w:color w:val="000000" w:themeColor="text1"/>
                <w:spacing w:val="-16"/>
                <w:kern w:val="21"/>
                <w:szCs w:val="21"/>
                <w:highlight w:val="none"/>
                <w14:textFill>
                  <w14:solidFill>
                    <w14:schemeClr w14:val="tx1"/>
                  </w14:solidFill>
                </w14:textFill>
              </w:rPr>
              <w:fldChar w:fldCharType="separate"/>
            </w:r>
            <w:r>
              <w:rPr>
                <w:rFonts w:ascii="Times New Roman" w:eastAsia="黑体"/>
                <w:color w:val="000000" w:themeColor="text1"/>
                <w:kern w:val="2"/>
                <w:szCs w:val="21"/>
                <w:highlight w:val="none"/>
                <w14:textFill>
                  <w14:solidFill>
                    <w14:schemeClr w14:val="tx1"/>
                  </w14:solidFill>
                </w14:textFill>
              </w:rPr>
              <w:t>⑥</w:t>
            </w:r>
            <w:r>
              <w:rPr>
                <w:rFonts w:ascii="Times New Roman" w:eastAsia="黑体"/>
                <w:snapToGrid w:val="0"/>
                <w:color w:val="000000" w:themeColor="text1"/>
                <w:spacing w:val="-16"/>
                <w:kern w:val="21"/>
                <w:szCs w:val="21"/>
                <w:highlight w:val="none"/>
                <w14:textFill>
                  <w14:solidFill>
                    <w14:schemeClr w14:val="tx1"/>
                  </w14:solidFill>
                </w14:textFill>
              </w:rPr>
              <w:fldChar w:fldCharType="end"/>
            </w:r>
          </w:p>
        </w:tc>
        <w:tc>
          <w:tcPr>
            <w:tcW w:w="1120" w:type="dxa"/>
            <w:noWrap w:val="0"/>
            <w:tcMar>
              <w:left w:w="28" w:type="dxa"/>
              <w:right w:w="28" w:type="dxa"/>
            </w:tcMar>
            <w:vAlign w:val="center"/>
          </w:tcPr>
          <w:p w14:paraId="658194D7">
            <w:pPr>
              <w:pStyle w:val="31"/>
              <w:spacing w:beforeLines="0" w:afterLines="0" w:line="240" w:lineRule="auto"/>
              <w:ind w:firstLine="0"/>
              <w:rPr>
                <w:rFonts w:ascii="Times New Roman" w:eastAsia="黑体"/>
                <w:snapToGrid w:val="0"/>
                <w:color w:val="000000" w:themeColor="text1"/>
                <w:spacing w:val="-6"/>
                <w:kern w:val="21"/>
                <w:szCs w:val="21"/>
                <w:highlight w:val="none"/>
                <w14:textFill>
                  <w14:solidFill>
                    <w14:schemeClr w14:val="tx1"/>
                  </w14:solidFill>
                </w14:textFill>
              </w:rPr>
            </w:pPr>
            <w:r>
              <w:rPr>
                <w:rFonts w:ascii="Times New Roman" w:eastAsia="黑体"/>
                <w:snapToGrid w:val="0"/>
                <w:color w:val="000000" w:themeColor="text1"/>
                <w:spacing w:val="-6"/>
                <w:kern w:val="21"/>
                <w:szCs w:val="21"/>
                <w:highlight w:val="none"/>
                <w14:textFill>
                  <w14:solidFill>
                    <w14:schemeClr w14:val="tx1"/>
                  </w14:solidFill>
                </w14:textFill>
              </w:rPr>
              <w:t>变化量</w:t>
            </w:r>
          </w:p>
          <w:p w14:paraId="70033BF1">
            <w:pPr>
              <w:pStyle w:val="31"/>
              <w:spacing w:beforeLines="0" w:afterLines="0" w:line="240" w:lineRule="auto"/>
              <w:ind w:firstLine="0"/>
              <w:rPr>
                <w:rFonts w:ascii="Times New Roman" w:eastAsia="黑体"/>
                <w:snapToGrid w:val="0"/>
                <w:color w:val="000000" w:themeColor="text1"/>
                <w:spacing w:val="-6"/>
                <w:kern w:val="21"/>
                <w:szCs w:val="21"/>
                <w:highlight w:val="none"/>
                <w14:textFill>
                  <w14:solidFill>
                    <w14:schemeClr w14:val="tx1"/>
                  </w14:solidFill>
                </w14:textFill>
              </w:rPr>
            </w:pPr>
            <w:r>
              <w:rPr>
                <w:rFonts w:ascii="Times New Roman" w:eastAsia="黑体"/>
                <w:snapToGrid w:val="0"/>
                <w:color w:val="000000" w:themeColor="text1"/>
                <w:spacing w:val="-6"/>
                <w:kern w:val="21"/>
                <w:szCs w:val="21"/>
                <w:highlight w:val="none"/>
                <w14:textFill>
                  <w14:solidFill>
                    <w14:schemeClr w14:val="tx1"/>
                  </w14:solidFill>
                </w14:textFill>
              </w:rPr>
              <w:fldChar w:fldCharType="begin"/>
            </w:r>
            <w:r>
              <w:rPr>
                <w:rFonts w:ascii="Times New Roman" w:eastAsia="黑体"/>
                <w:snapToGrid w:val="0"/>
                <w:color w:val="000000" w:themeColor="text1"/>
                <w:spacing w:val="-6"/>
                <w:kern w:val="21"/>
                <w:szCs w:val="21"/>
                <w:highlight w:val="none"/>
                <w14:textFill>
                  <w14:solidFill>
                    <w14:schemeClr w14:val="tx1"/>
                  </w14:solidFill>
                </w14:textFill>
              </w:rPr>
              <w:instrText xml:space="preserve"> = 7 \* GB3 \* MERGEFORMAT </w:instrText>
            </w:r>
            <w:r>
              <w:rPr>
                <w:rFonts w:ascii="Times New Roman" w:eastAsia="黑体"/>
                <w:snapToGrid w:val="0"/>
                <w:color w:val="000000" w:themeColor="text1"/>
                <w:spacing w:val="-6"/>
                <w:kern w:val="21"/>
                <w:szCs w:val="21"/>
                <w:highlight w:val="none"/>
                <w14:textFill>
                  <w14:solidFill>
                    <w14:schemeClr w14:val="tx1"/>
                  </w14:solidFill>
                </w14:textFill>
              </w:rPr>
              <w:fldChar w:fldCharType="separate"/>
            </w:r>
            <w:r>
              <w:rPr>
                <w:rFonts w:ascii="Times New Roman" w:eastAsia="黑体"/>
                <w:color w:val="000000" w:themeColor="text1"/>
                <w:kern w:val="2"/>
                <w:szCs w:val="21"/>
                <w:highlight w:val="none"/>
                <w14:textFill>
                  <w14:solidFill>
                    <w14:schemeClr w14:val="tx1"/>
                  </w14:solidFill>
                </w14:textFill>
              </w:rPr>
              <w:t>⑦</w:t>
            </w:r>
            <w:r>
              <w:rPr>
                <w:rFonts w:ascii="Times New Roman" w:eastAsia="黑体"/>
                <w:snapToGrid w:val="0"/>
                <w:color w:val="000000" w:themeColor="text1"/>
                <w:spacing w:val="-6"/>
                <w:kern w:val="21"/>
                <w:szCs w:val="21"/>
                <w:highlight w:val="none"/>
                <w14:textFill>
                  <w14:solidFill>
                    <w14:schemeClr w14:val="tx1"/>
                  </w14:solidFill>
                </w14:textFill>
              </w:rPr>
              <w:fldChar w:fldCharType="end"/>
            </w:r>
          </w:p>
        </w:tc>
      </w:tr>
      <w:tr w14:paraId="35DF38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41" w:type="dxa"/>
            <w:vMerge w:val="restart"/>
            <w:noWrap w:val="0"/>
            <w:vAlign w:val="center"/>
          </w:tcPr>
          <w:p w14:paraId="55358B9A">
            <w:pPr>
              <w:pStyle w:val="31"/>
              <w:spacing w:beforeLines="0" w:afterLines="0" w:line="240" w:lineRule="auto"/>
              <w:jc w:val="both"/>
              <w:rPr>
                <w:rFonts w:ascii="Times New Roman"/>
                <w:snapToGrid w:val="0"/>
                <w:color w:val="000000" w:themeColor="text1"/>
                <w:kern w:val="21"/>
                <w:sz w:val="21"/>
                <w:szCs w:val="21"/>
                <w:highlight w:val="none"/>
                <w14:textFill>
                  <w14:solidFill>
                    <w14:schemeClr w14:val="tx1"/>
                  </w14:solidFill>
                </w14:textFill>
              </w:rPr>
            </w:pPr>
            <w:r>
              <w:rPr>
                <w:rFonts w:ascii="Times New Roman"/>
                <w:snapToGrid w:val="0"/>
                <w:color w:val="000000" w:themeColor="text1"/>
                <w:kern w:val="21"/>
                <w:sz w:val="21"/>
                <w:szCs w:val="21"/>
                <w:highlight w:val="none"/>
                <w14:textFill>
                  <w14:solidFill>
                    <w14:schemeClr w14:val="tx1"/>
                  </w14:solidFill>
                </w14:textFill>
              </w:rPr>
              <w:t>废气</w:t>
            </w:r>
          </w:p>
        </w:tc>
        <w:tc>
          <w:tcPr>
            <w:tcW w:w="2170" w:type="dxa"/>
            <w:noWrap w:val="0"/>
            <w:vAlign w:val="center"/>
          </w:tcPr>
          <w:p w14:paraId="1B246B0F">
            <w:pPr>
              <w:widowControl/>
              <w:jc w:val="center"/>
              <w:rPr>
                <w:snapToGrid w:val="0"/>
                <w:color w:val="000000" w:themeColor="text1"/>
                <w:kern w:val="21"/>
                <w:szCs w:val="21"/>
                <w:highlight w:val="none"/>
                <w14:textFill>
                  <w14:solidFill>
                    <w14:schemeClr w14:val="tx1"/>
                  </w14:solidFill>
                </w14:textFill>
              </w:rPr>
            </w:pPr>
            <w:r>
              <w:rPr>
                <w:rFonts w:hint="eastAsia"/>
                <w:snapToGrid w:val="0"/>
                <w:color w:val="000000" w:themeColor="text1"/>
                <w:kern w:val="21"/>
                <w:szCs w:val="21"/>
                <w:highlight w:val="none"/>
                <w14:textFill>
                  <w14:solidFill>
                    <w14:schemeClr w14:val="tx1"/>
                  </w14:solidFill>
                </w14:textFill>
              </w:rPr>
              <w:t>颗粒物</w:t>
            </w:r>
          </w:p>
        </w:tc>
        <w:tc>
          <w:tcPr>
            <w:tcW w:w="1584" w:type="dxa"/>
            <w:noWrap w:val="0"/>
            <w:vAlign w:val="center"/>
          </w:tcPr>
          <w:p w14:paraId="4EC1751D">
            <w:pPr>
              <w:widowControl/>
              <w:jc w:val="center"/>
              <w:rPr>
                <w:rFonts w:hint="eastAsia"/>
                <w:color w:val="000000" w:themeColor="text1"/>
                <w:highlight w:val="none"/>
                <w14:textFill>
                  <w14:solidFill>
                    <w14:schemeClr w14:val="tx1"/>
                  </w14:solidFill>
                </w14:textFill>
              </w:rPr>
            </w:pPr>
            <w:r>
              <w:rPr>
                <w:color w:val="000000" w:themeColor="text1"/>
                <w:kern w:val="0"/>
                <w:sz w:val="24"/>
                <w:highlight w:val="none"/>
                <w14:textFill>
                  <w14:solidFill>
                    <w14:schemeClr w14:val="tx1"/>
                  </w14:solidFill>
                </w14:textFill>
              </w:rPr>
              <w:t>/</w:t>
            </w:r>
          </w:p>
        </w:tc>
        <w:tc>
          <w:tcPr>
            <w:tcW w:w="1307" w:type="dxa"/>
            <w:noWrap w:val="0"/>
            <w:vAlign w:val="center"/>
          </w:tcPr>
          <w:p w14:paraId="13956B7F">
            <w:pPr>
              <w:widowControl/>
              <w:jc w:val="center"/>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w:t>
            </w:r>
          </w:p>
        </w:tc>
        <w:tc>
          <w:tcPr>
            <w:tcW w:w="1681" w:type="dxa"/>
            <w:noWrap w:val="0"/>
            <w:vAlign w:val="center"/>
          </w:tcPr>
          <w:p w14:paraId="6EFEB964">
            <w:pPr>
              <w:widowControl/>
              <w:jc w:val="center"/>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w:t>
            </w:r>
          </w:p>
        </w:tc>
        <w:tc>
          <w:tcPr>
            <w:tcW w:w="1416" w:type="dxa"/>
            <w:noWrap w:val="0"/>
            <w:vAlign w:val="center"/>
          </w:tcPr>
          <w:p w14:paraId="4AB65366">
            <w:pPr>
              <w:pStyle w:val="31"/>
              <w:spacing w:beforeLines="0" w:afterLines="0" w:line="240" w:lineRule="auto"/>
              <w:ind w:firstLine="0"/>
              <w:rPr>
                <w:rFonts w:hint="default" w:ascii="Times New Roman" w:eastAsia="宋体"/>
                <w:color w:val="000000" w:themeColor="text1"/>
                <w:sz w:val="21"/>
                <w:szCs w:val="21"/>
                <w:highlight w:val="none"/>
                <w:lang w:val="en-US" w:eastAsia="zh-CN"/>
                <w14:textFill>
                  <w14:solidFill>
                    <w14:schemeClr w14:val="tx1"/>
                  </w14:solidFill>
                </w14:textFill>
              </w:rPr>
            </w:pPr>
            <w:r>
              <w:rPr>
                <w:rFonts w:hint="eastAsia" w:ascii="Times New Roman"/>
                <w:color w:val="000000" w:themeColor="text1"/>
                <w:sz w:val="21"/>
                <w:szCs w:val="21"/>
                <w:highlight w:val="none"/>
                <w:lang w:val="en-US" w:eastAsia="zh-CN"/>
                <w14:textFill>
                  <w14:solidFill>
                    <w14:schemeClr w14:val="tx1"/>
                  </w14:solidFill>
                </w14:textFill>
              </w:rPr>
              <w:t>11.052</w:t>
            </w:r>
          </w:p>
        </w:tc>
        <w:tc>
          <w:tcPr>
            <w:tcW w:w="1318" w:type="dxa"/>
            <w:noWrap w:val="0"/>
            <w:vAlign w:val="center"/>
          </w:tcPr>
          <w:p w14:paraId="3EC8555C">
            <w:pPr>
              <w:widowControl/>
              <w:jc w:val="center"/>
              <w:rPr>
                <w:rFonts w:hint="eastAsia"/>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0</w:t>
            </w:r>
          </w:p>
        </w:tc>
        <w:tc>
          <w:tcPr>
            <w:tcW w:w="1851" w:type="dxa"/>
            <w:noWrap w:val="0"/>
            <w:vAlign w:val="center"/>
          </w:tcPr>
          <w:p w14:paraId="4477004C">
            <w:pPr>
              <w:pStyle w:val="31"/>
              <w:spacing w:beforeLines="0" w:afterLines="0" w:line="240" w:lineRule="auto"/>
              <w:ind w:firstLine="0"/>
              <w:rPr>
                <w:rFonts w:hint="default" w:ascii="Times New Roman" w:eastAsia="宋体"/>
                <w:color w:val="000000" w:themeColor="text1"/>
                <w:sz w:val="21"/>
                <w:szCs w:val="21"/>
                <w:highlight w:val="none"/>
                <w:lang w:val="en-US" w:eastAsia="zh-CN"/>
                <w14:textFill>
                  <w14:solidFill>
                    <w14:schemeClr w14:val="tx1"/>
                  </w14:solidFill>
                </w14:textFill>
              </w:rPr>
            </w:pPr>
            <w:r>
              <w:rPr>
                <w:rFonts w:hint="eastAsia" w:ascii="Times New Roman"/>
                <w:color w:val="000000" w:themeColor="text1"/>
                <w:sz w:val="21"/>
                <w:szCs w:val="21"/>
                <w:highlight w:val="none"/>
                <w:lang w:val="en-US" w:eastAsia="zh-CN"/>
                <w14:textFill>
                  <w14:solidFill>
                    <w14:schemeClr w14:val="tx1"/>
                  </w14:solidFill>
                </w14:textFill>
              </w:rPr>
              <w:t>11.052</w:t>
            </w:r>
          </w:p>
        </w:tc>
        <w:tc>
          <w:tcPr>
            <w:tcW w:w="1120" w:type="dxa"/>
            <w:noWrap w:val="0"/>
            <w:vAlign w:val="center"/>
          </w:tcPr>
          <w:p w14:paraId="3EF946FA">
            <w:pPr>
              <w:pStyle w:val="31"/>
              <w:spacing w:beforeLines="0" w:afterLines="0" w:line="240" w:lineRule="auto"/>
              <w:ind w:firstLine="0"/>
              <w:rPr>
                <w:rFonts w:hint="default" w:ascii="Times New Roman" w:eastAsia="宋体"/>
                <w:color w:val="000000" w:themeColor="text1"/>
                <w:sz w:val="21"/>
                <w:szCs w:val="21"/>
                <w:highlight w:val="none"/>
                <w:lang w:val="en-US" w:eastAsia="zh-CN"/>
                <w14:textFill>
                  <w14:solidFill>
                    <w14:schemeClr w14:val="tx1"/>
                  </w14:solidFill>
                </w14:textFill>
              </w:rPr>
            </w:pPr>
            <w:r>
              <w:rPr>
                <w:rFonts w:ascii="Times New Roman"/>
                <w:color w:val="000000" w:themeColor="text1"/>
                <w:sz w:val="21"/>
                <w:szCs w:val="21"/>
                <w:highlight w:val="none"/>
                <w14:textFill>
                  <w14:solidFill>
                    <w14:schemeClr w14:val="tx1"/>
                  </w14:solidFill>
                </w14:textFill>
              </w:rPr>
              <w:t>+</w:t>
            </w:r>
            <w:r>
              <w:rPr>
                <w:rFonts w:hint="eastAsia" w:ascii="Times New Roman"/>
                <w:color w:val="000000" w:themeColor="text1"/>
                <w:sz w:val="21"/>
                <w:szCs w:val="21"/>
                <w:highlight w:val="none"/>
                <w:lang w:val="en-US" w:eastAsia="zh-CN"/>
                <w14:textFill>
                  <w14:solidFill>
                    <w14:schemeClr w14:val="tx1"/>
                  </w14:solidFill>
                </w14:textFill>
              </w:rPr>
              <w:t>11.052</w:t>
            </w:r>
          </w:p>
        </w:tc>
      </w:tr>
      <w:tr w14:paraId="053FC2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41" w:type="dxa"/>
            <w:vMerge w:val="continue"/>
            <w:noWrap w:val="0"/>
            <w:vAlign w:val="center"/>
          </w:tcPr>
          <w:p w14:paraId="58BBD7F6">
            <w:pPr>
              <w:pStyle w:val="31"/>
              <w:spacing w:beforeLines="0" w:afterLines="0" w:line="240" w:lineRule="auto"/>
              <w:jc w:val="both"/>
              <w:rPr>
                <w:rFonts w:ascii="Times New Roman"/>
                <w:snapToGrid w:val="0"/>
                <w:color w:val="000000" w:themeColor="text1"/>
                <w:kern w:val="21"/>
                <w:sz w:val="21"/>
                <w:szCs w:val="21"/>
                <w:highlight w:val="none"/>
                <w14:textFill>
                  <w14:solidFill>
                    <w14:schemeClr w14:val="tx1"/>
                  </w14:solidFill>
                </w14:textFill>
              </w:rPr>
            </w:pPr>
          </w:p>
        </w:tc>
        <w:tc>
          <w:tcPr>
            <w:tcW w:w="2170" w:type="dxa"/>
            <w:noWrap w:val="0"/>
            <w:vAlign w:val="center"/>
          </w:tcPr>
          <w:p w14:paraId="498996A7">
            <w:pPr>
              <w:widowControl/>
              <w:jc w:val="center"/>
              <w:rPr>
                <w:rFonts w:hint="default" w:eastAsia="宋体"/>
                <w:snapToGrid w:val="0"/>
                <w:color w:val="000000" w:themeColor="text1"/>
                <w:kern w:val="21"/>
                <w:szCs w:val="21"/>
                <w:highlight w:val="none"/>
                <w:lang w:val="en-US" w:eastAsia="zh-CN"/>
                <w14:textFill>
                  <w14:solidFill>
                    <w14:schemeClr w14:val="tx1"/>
                  </w14:solidFill>
                </w14:textFill>
              </w:rPr>
            </w:pPr>
            <w:r>
              <w:rPr>
                <w:rFonts w:hint="eastAsia"/>
                <w:snapToGrid w:val="0"/>
                <w:color w:val="000000" w:themeColor="text1"/>
                <w:kern w:val="21"/>
                <w:szCs w:val="21"/>
                <w:highlight w:val="none"/>
                <w:lang w:val="en-US" w:eastAsia="zh-CN"/>
                <w14:textFill>
                  <w14:solidFill>
                    <w14:schemeClr w14:val="tx1"/>
                  </w14:solidFill>
                </w14:textFill>
              </w:rPr>
              <w:t>二氧化硫</w:t>
            </w:r>
          </w:p>
        </w:tc>
        <w:tc>
          <w:tcPr>
            <w:tcW w:w="1584" w:type="dxa"/>
            <w:noWrap w:val="0"/>
            <w:vAlign w:val="center"/>
          </w:tcPr>
          <w:p w14:paraId="01C73CD2">
            <w:pPr>
              <w:widowControl/>
              <w:jc w:val="center"/>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w:t>
            </w:r>
          </w:p>
        </w:tc>
        <w:tc>
          <w:tcPr>
            <w:tcW w:w="1307" w:type="dxa"/>
            <w:noWrap w:val="0"/>
            <w:vAlign w:val="center"/>
          </w:tcPr>
          <w:p w14:paraId="68732F3B">
            <w:pPr>
              <w:widowControl/>
              <w:jc w:val="center"/>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w:t>
            </w:r>
          </w:p>
        </w:tc>
        <w:tc>
          <w:tcPr>
            <w:tcW w:w="1681" w:type="dxa"/>
            <w:noWrap w:val="0"/>
            <w:vAlign w:val="center"/>
          </w:tcPr>
          <w:p w14:paraId="476435DA">
            <w:pPr>
              <w:widowControl/>
              <w:jc w:val="center"/>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w:t>
            </w:r>
          </w:p>
        </w:tc>
        <w:tc>
          <w:tcPr>
            <w:tcW w:w="1416" w:type="dxa"/>
            <w:noWrap w:val="0"/>
            <w:vAlign w:val="center"/>
          </w:tcPr>
          <w:p w14:paraId="5A8C4609">
            <w:pPr>
              <w:pStyle w:val="31"/>
              <w:spacing w:beforeLines="0" w:afterLines="0" w:line="240" w:lineRule="auto"/>
              <w:ind w:firstLine="0" w:firstLineChars="0"/>
              <w:rPr>
                <w:rFonts w:hint="default" w:ascii="Times New Roman"/>
                <w:color w:val="000000" w:themeColor="text1"/>
                <w:kern w:val="0"/>
                <w:sz w:val="21"/>
                <w:szCs w:val="21"/>
                <w:highlight w:val="none"/>
                <w:lang w:val="en-US" w:eastAsia="zh-CN" w:bidi="ar-SA"/>
                <w14:textFill>
                  <w14:solidFill>
                    <w14:schemeClr w14:val="tx1"/>
                  </w14:solidFill>
                </w14:textFill>
              </w:rPr>
            </w:pPr>
            <w:r>
              <w:rPr>
                <w:rFonts w:hint="eastAsia" w:ascii="Times New Roman"/>
                <w:color w:val="000000" w:themeColor="text1"/>
                <w:kern w:val="0"/>
                <w:sz w:val="21"/>
                <w:szCs w:val="21"/>
                <w:highlight w:val="none"/>
                <w:lang w:val="en-US" w:eastAsia="zh-CN" w:bidi="ar-SA"/>
                <w14:textFill>
                  <w14:solidFill>
                    <w14:schemeClr w14:val="tx1"/>
                  </w14:solidFill>
                </w14:textFill>
              </w:rPr>
              <w:t>39.44</w:t>
            </w:r>
          </w:p>
        </w:tc>
        <w:tc>
          <w:tcPr>
            <w:tcW w:w="1318" w:type="dxa"/>
            <w:noWrap w:val="0"/>
            <w:vAlign w:val="center"/>
          </w:tcPr>
          <w:p w14:paraId="123421BC">
            <w:pPr>
              <w:widowControl/>
              <w:jc w:val="center"/>
              <w:rPr>
                <w:rFonts w:hint="eastAsia" w:eastAsia="宋体"/>
                <w:color w:val="000000" w:themeColor="text1"/>
                <w:kern w:val="0"/>
                <w:sz w:val="21"/>
                <w:szCs w:val="21"/>
                <w:highlight w:val="none"/>
                <w:lang w:val="en-US" w:eastAsia="zh-CN" w:bidi="ar-SA"/>
                <w14:textFill>
                  <w14:solidFill>
                    <w14:schemeClr w14:val="tx1"/>
                  </w14:solidFill>
                </w14:textFill>
              </w:rPr>
            </w:pPr>
            <w:r>
              <w:rPr>
                <w:rFonts w:hint="eastAsia"/>
                <w:color w:val="000000" w:themeColor="text1"/>
                <w:kern w:val="0"/>
                <w:szCs w:val="21"/>
                <w:highlight w:val="none"/>
                <w:lang w:val="en-US" w:eastAsia="zh-CN"/>
                <w14:textFill>
                  <w14:solidFill>
                    <w14:schemeClr w14:val="tx1"/>
                  </w14:solidFill>
                </w14:textFill>
              </w:rPr>
              <w:t>0</w:t>
            </w:r>
          </w:p>
        </w:tc>
        <w:tc>
          <w:tcPr>
            <w:tcW w:w="1851" w:type="dxa"/>
            <w:noWrap w:val="0"/>
            <w:vAlign w:val="center"/>
          </w:tcPr>
          <w:p w14:paraId="3CF93F9D">
            <w:pPr>
              <w:pStyle w:val="31"/>
              <w:spacing w:beforeLines="0" w:afterLines="0" w:line="240" w:lineRule="auto"/>
              <w:ind w:firstLine="0" w:firstLineChars="0"/>
              <w:rPr>
                <w:rFonts w:hint="default" w:ascii="Times New Roman"/>
                <w:color w:val="000000" w:themeColor="text1"/>
                <w:kern w:val="0"/>
                <w:sz w:val="21"/>
                <w:szCs w:val="21"/>
                <w:highlight w:val="none"/>
                <w:lang w:val="en-US" w:eastAsia="zh-CN" w:bidi="ar-SA"/>
                <w14:textFill>
                  <w14:solidFill>
                    <w14:schemeClr w14:val="tx1"/>
                  </w14:solidFill>
                </w14:textFill>
              </w:rPr>
            </w:pPr>
            <w:r>
              <w:rPr>
                <w:rFonts w:hint="eastAsia" w:ascii="Times New Roman"/>
                <w:color w:val="000000" w:themeColor="text1"/>
                <w:kern w:val="0"/>
                <w:sz w:val="21"/>
                <w:szCs w:val="21"/>
                <w:highlight w:val="none"/>
                <w:lang w:val="en-US" w:eastAsia="zh-CN" w:bidi="ar-SA"/>
                <w14:textFill>
                  <w14:solidFill>
                    <w14:schemeClr w14:val="tx1"/>
                  </w14:solidFill>
                </w14:textFill>
              </w:rPr>
              <w:t>39.44</w:t>
            </w:r>
          </w:p>
        </w:tc>
        <w:tc>
          <w:tcPr>
            <w:tcW w:w="1120" w:type="dxa"/>
            <w:noWrap w:val="0"/>
            <w:vAlign w:val="center"/>
          </w:tcPr>
          <w:p w14:paraId="3EB0985A">
            <w:pPr>
              <w:pStyle w:val="31"/>
              <w:spacing w:beforeLines="0" w:afterLines="0" w:line="240" w:lineRule="auto"/>
              <w:ind w:firstLine="0" w:firstLineChars="0"/>
              <w:rPr>
                <w:rFonts w:hint="default" w:ascii="Times New Roman"/>
                <w:color w:val="000000" w:themeColor="text1"/>
                <w:kern w:val="0"/>
                <w:sz w:val="21"/>
                <w:szCs w:val="21"/>
                <w:highlight w:val="none"/>
                <w:lang w:val="en-US" w:eastAsia="zh-CN" w:bidi="ar-SA"/>
                <w14:textFill>
                  <w14:solidFill>
                    <w14:schemeClr w14:val="tx1"/>
                  </w14:solidFill>
                </w14:textFill>
              </w:rPr>
            </w:pPr>
            <w:r>
              <w:rPr>
                <w:rFonts w:hint="eastAsia" w:ascii="Times New Roman"/>
                <w:color w:val="000000" w:themeColor="text1"/>
                <w:kern w:val="0"/>
                <w:sz w:val="21"/>
                <w:szCs w:val="21"/>
                <w:highlight w:val="none"/>
                <w:lang w:val="en-US" w:eastAsia="zh-CN" w:bidi="ar-SA"/>
                <w14:textFill>
                  <w14:solidFill>
                    <w14:schemeClr w14:val="tx1"/>
                  </w14:solidFill>
                </w14:textFill>
              </w:rPr>
              <w:t>+39.44</w:t>
            </w:r>
          </w:p>
        </w:tc>
      </w:tr>
      <w:tr w14:paraId="159E30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1" w:hRule="atLeast"/>
          <w:jc w:val="center"/>
        </w:trPr>
        <w:tc>
          <w:tcPr>
            <w:tcW w:w="1341" w:type="dxa"/>
            <w:vMerge w:val="continue"/>
            <w:noWrap w:val="0"/>
            <w:vAlign w:val="center"/>
          </w:tcPr>
          <w:p w14:paraId="3A3EBD6D">
            <w:pPr>
              <w:pStyle w:val="31"/>
              <w:spacing w:beforeLines="0" w:afterLines="0" w:line="240" w:lineRule="auto"/>
              <w:jc w:val="both"/>
              <w:rPr>
                <w:rFonts w:ascii="Times New Roman"/>
                <w:snapToGrid w:val="0"/>
                <w:color w:val="000000" w:themeColor="text1"/>
                <w:kern w:val="21"/>
                <w:sz w:val="21"/>
                <w:szCs w:val="21"/>
                <w:highlight w:val="none"/>
                <w14:textFill>
                  <w14:solidFill>
                    <w14:schemeClr w14:val="tx1"/>
                  </w14:solidFill>
                </w14:textFill>
              </w:rPr>
            </w:pPr>
          </w:p>
        </w:tc>
        <w:tc>
          <w:tcPr>
            <w:tcW w:w="2170" w:type="dxa"/>
            <w:noWrap w:val="0"/>
            <w:vAlign w:val="center"/>
          </w:tcPr>
          <w:p w14:paraId="723112D8">
            <w:pPr>
              <w:widowControl/>
              <w:jc w:val="center"/>
              <w:rPr>
                <w:rFonts w:hint="eastAsia" w:eastAsia="宋体"/>
                <w:snapToGrid w:val="0"/>
                <w:color w:val="000000" w:themeColor="text1"/>
                <w:kern w:val="21"/>
                <w:szCs w:val="21"/>
                <w:highlight w:val="none"/>
                <w:lang w:val="en-US" w:eastAsia="zh-CN"/>
                <w14:textFill>
                  <w14:solidFill>
                    <w14:schemeClr w14:val="tx1"/>
                  </w14:solidFill>
                </w14:textFill>
              </w:rPr>
            </w:pPr>
            <w:r>
              <w:rPr>
                <w:rFonts w:hint="eastAsia"/>
                <w:snapToGrid w:val="0"/>
                <w:color w:val="000000" w:themeColor="text1"/>
                <w:kern w:val="21"/>
                <w:szCs w:val="21"/>
                <w:highlight w:val="none"/>
                <w:lang w:val="en-US" w:eastAsia="zh-CN"/>
                <w14:textFill>
                  <w14:solidFill>
                    <w14:schemeClr w14:val="tx1"/>
                  </w14:solidFill>
                </w14:textFill>
              </w:rPr>
              <w:t>氮氧化物</w:t>
            </w:r>
          </w:p>
        </w:tc>
        <w:tc>
          <w:tcPr>
            <w:tcW w:w="1584" w:type="dxa"/>
            <w:noWrap w:val="0"/>
            <w:vAlign w:val="center"/>
          </w:tcPr>
          <w:p w14:paraId="30104B8B">
            <w:pPr>
              <w:widowControl/>
              <w:jc w:val="center"/>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w:t>
            </w:r>
          </w:p>
        </w:tc>
        <w:tc>
          <w:tcPr>
            <w:tcW w:w="1307" w:type="dxa"/>
            <w:noWrap w:val="0"/>
            <w:vAlign w:val="center"/>
          </w:tcPr>
          <w:p w14:paraId="177CD022">
            <w:pPr>
              <w:widowControl/>
              <w:jc w:val="center"/>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w:t>
            </w:r>
          </w:p>
        </w:tc>
        <w:tc>
          <w:tcPr>
            <w:tcW w:w="1681" w:type="dxa"/>
            <w:noWrap w:val="0"/>
            <w:vAlign w:val="center"/>
          </w:tcPr>
          <w:p w14:paraId="614702FE">
            <w:pPr>
              <w:widowControl/>
              <w:jc w:val="center"/>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w:t>
            </w:r>
          </w:p>
        </w:tc>
        <w:tc>
          <w:tcPr>
            <w:tcW w:w="1416" w:type="dxa"/>
            <w:noWrap w:val="0"/>
            <w:vAlign w:val="center"/>
          </w:tcPr>
          <w:p w14:paraId="6908D9D4">
            <w:pPr>
              <w:pStyle w:val="31"/>
              <w:spacing w:beforeLines="0" w:afterLines="0" w:line="240" w:lineRule="auto"/>
              <w:ind w:firstLine="0" w:firstLineChars="0"/>
              <w:rPr>
                <w:rFonts w:hint="default" w:ascii="Times New Roman"/>
                <w:color w:val="000000" w:themeColor="text1"/>
                <w:sz w:val="21"/>
                <w:szCs w:val="21"/>
                <w:highlight w:val="none"/>
                <w:lang w:val="en-US" w:eastAsia="zh-CN"/>
                <w14:textFill>
                  <w14:solidFill>
                    <w14:schemeClr w14:val="tx1"/>
                  </w14:solidFill>
                </w14:textFill>
              </w:rPr>
            </w:pPr>
            <w:r>
              <w:rPr>
                <w:rFonts w:hint="eastAsia" w:ascii="Times New Roman"/>
                <w:color w:val="000000" w:themeColor="text1"/>
                <w:sz w:val="21"/>
                <w:szCs w:val="21"/>
                <w:highlight w:val="none"/>
                <w:lang w:val="en-US" w:eastAsia="zh-CN"/>
                <w14:textFill>
                  <w14:solidFill>
                    <w14:schemeClr w14:val="tx1"/>
                  </w14:solidFill>
                </w14:textFill>
              </w:rPr>
              <w:t>94</w:t>
            </w:r>
          </w:p>
        </w:tc>
        <w:tc>
          <w:tcPr>
            <w:tcW w:w="1318" w:type="dxa"/>
            <w:noWrap w:val="0"/>
            <w:vAlign w:val="center"/>
          </w:tcPr>
          <w:p w14:paraId="6D0FF84A">
            <w:pPr>
              <w:widowControl/>
              <w:jc w:val="center"/>
              <w:rPr>
                <w:rFonts w:hint="eastAsia" w:eastAsia="宋体"/>
                <w:color w:val="000000" w:themeColor="text1"/>
                <w:kern w:val="0"/>
                <w:szCs w:val="21"/>
                <w:highlight w:val="none"/>
                <w:lang w:val="en-US" w:eastAsia="zh-CN"/>
                <w14:textFill>
                  <w14:solidFill>
                    <w14:schemeClr w14:val="tx1"/>
                  </w14:solidFill>
                </w14:textFill>
              </w:rPr>
            </w:pPr>
            <w:r>
              <w:rPr>
                <w:rFonts w:hint="eastAsia"/>
                <w:color w:val="000000" w:themeColor="text1"/>
                <w:kern w:val="0"/>
                <w:szCs w:val="21"/>
                <w:highlight w:val="none"/>
                <w:lang w:val="en-US" w:eastAsia="zh-CN"/>
                <w14:textFill>
                  <w14:solidFill>
                    <w14:schemeClr w14:val="tx1"/>
                  </w14:solidFill>
                </w14:textFill>
              </w:rPr>
              <w:t>0</w:t>
            </w:r>
          </w:p>
        </w:tc>
        <w:tc>
          <w:tcPr>
            <w:tcW w:w="1851" w:type="dxa"/>
            <w:noWrap w:val="0"/>
            <w:vAlign w:val="center"/>
          </w:tcPr>
          <w:p w14:paraId="4F8BEC33">
            <w:pPr>
              <w:pStyle w:val="31"/>
              <w:spacing w:beforeLines="0" w:afterLines="0" w:line="240" w:lineRule="auto"/>
              <w:ind w:firstLine="0" w:firstLineChars="0"/>
              <w:rPr>
                <w:rFonts w:hint="default" w:ascii="Times New Roman"/>
                <w:color w:val="000000" w:themeColor="text1"/>
                <w:sz w:val="21"/>
                <w:szCs w:val="21"/>
                <w:highlight w:val="none"/>
                <w:lang w:val="en-US" w:eastAsia="zh-CN"/>
                <w14:textFill>
                  <w14:solidFill>
                    <w14:schemeClr w14:val="tx1"/>
                  </w14:solidFill>
                </w14:textFill>
              </w:rPr>
            </w:pPr>
            <w:r>
              <w:rPr>
                <w:rFonts w:hint="eastAsia" w:ascii="Times New Roman"/>
                <w:color w:val="000000" w:themeColor="text1"/>
                <w:sz w:val="21"/>
                <w:szCs w:val="21"/>
                <w:highlight w:val="none"/>
                <w:lang w:val="en-US" w:eastAsia="zh-CN"/>
                <w14:textFill>
                  <w14:solidFill>
                    <w14:schemeClr w14:val="tx1"/>
                  </w14:solidFill>
                </w14:textFill>
              </w:rPr>
              <w:t>94</w:t>
            </w:r>
          </w:p>
        </w:tc>
        <w:tc>
          <w:tcPr>
            <w:tcW w:w="1120" w:type="dxa"/>
            <w:noWrap w:val="0"/>
            <w:vAlign w:val="center"/>
          </w:tcPr>
          <w:p w14:paraId="7A56084A">
            <w:pPr>
              <w:pStyle w:val="31"/>
              <w:spacing w:beforeLines="0" w:afterLines="0" w:line="240" w:lineRule="auto"/>
              <w:ind w:firstLine="0" w:firstLineChars="0"/>
              <w:rPr>
                <w:rFonts w:hint="default" w:ascii="Times New Roman"/>
                <w:color w:val="000000" w:themeColor="text1"/>
                <w:sz w:val="21"/>
                <w:szCs w:val="21"/>
                <w:highlight w:val="none"/>
                <w:lang w:val="en-US"/>
                <w14:textFill>
                  <w14:solidFill>
                    <w14:schemeClr w14:val="tx1"/>
                  </w14:solidFill>
                </w14:textFill>
              </w:rPr>
            </w:pPr>
            <w:r>
              <w:rPr>
                <w:rFonts w:hint="eastAsia" w:ascii="Times New Roman"/>
                <w:color w:val="000000" w:themeColor="text1"/>
                <w:sz w:val="21"/>
                <w:szCs w:val="21"/>
                <w:highlight w:val="none"/>
                <w:lang w:val="en-US" w:eastAsia="zh-CN"/>
                <w14:textFill>
                  <w14:solidFill>
                    <w14:schemeClr w14:val="tx1"/>
                  </w14:solidFill>
                </w14:textFill>
              </w:rPr>
              <w:t>+94</w:t>
            </w:r>
          </w:p>
        </w:tc>
      </w:tr>
      <w:tr w14:paraId="20BBED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1" w:hRule="atLeast"/>
          <w:jc w:val="center"/>
        </w:trPr>
        <w:tc>
          <w:tcPr>
            <w:tcW w:w="1341" w:type="dxa"/>
            <w:vMerge w:val="continue"/>
            <w:noWrap w:val="0"/>
            <w:vAlign w:val="center"/>
          </w:tcPr>
          <w:p w14:paraId="2353F0EF">
            <w:pPr>
              <w:pStyle w:val="31"/>
              <w:spacing w:beforeLines="0" w:afterLines="0" w:line="240" w:lineRule="auto"/>
              <w:jc w:val="both"/>
              <w:rPr>
                <w:rFonts w:ascii="Times New Roman"/>
                <w:snapToGrid w:val="0"/>
                <w:color w:val="000000" w:themeColor="text1"/>
                <w:kern w:val="21"/>
                <w:sz w:val="21"/>
                <w:szCs w:val="21"/>
                <w:highlight w:val="none"/>
                <w14:textFill>
                  <w14:solidFill>
                    <w14:schemeClr w14:val="tx1"/>
                  </w14:solidFill>
                </w14:textFill>
              </w:rPr>
            </w:pPr>
          </w:p>
        </w:tc>
        <w:tc>
          <w:tcPr>
            <w:tcW w:w="2170" w:type="dxa"/>
            <w:noWrap w:val="0"/>
            <w:vAlign w:val="center"/>
          </w:tcPr>
          <w:p w14:paraId="506A7B68">
            <w:pPr>
              <w:widowControl/>
              <w:jc w:val="center"/>
              <w:rPr>
                <w:rFonts w:hint="default"/>
                <w:snapToGrid w:val="0"/>
                <w:color w:val="000000" w:themeColor="text1"/>
                <w:kern w:val="21"/>
                <w:szCs w:val="21"/>
                <w:highlight w:val="none"/>
                <w:lang w:val="en-US" w:eastAsia="zh-CN"/>
                <w14:textFill>
                  <w14:solidFill>
                    <w14:schemeClr w14:val="tx1"/>
                  </w14:solidFill>
                </w14:textFill>
              </w:rPr>
            </w:pPr>
            <w:r>
              <w:rPr>
                <w:rFonts w:hint="eastAsia"/>
                <w:snapToGrid w:val="0"/>
                <w:color w:val="000000" w:themeColor="text1"/>
                <w:kern w:val="21"/>
                <w:szCs w:val="21"/>
                <w:highlight w:val="none"/>
                <w:lang w:val="en-US" w:eastAsia="zh-CN"/>
                <w14:textFill>
                  <w14:solidFill>
                    <w14:schemeClr w14:val="tx1"/>
                  </w14:solidFill>
                </w14:textFill>
              </w:rPr>
              <w:t>氨气</w:t>
            </w:r>
          </w:p>
        </w:tc>
        <w:tc>
          <w:tcPr>
            <w:tcW w:w="1584" w:type="dxa"/>
            <w:shd w:val="clear" w:color="auto" w:fill="auto"/>
            <w:noWrap w:val="0"/>
            <w:vAlign w:val="center"/>
          </w:tcPr>
          <w:p w14:paraId="071D6396">
            <w:pPr>
              <w:widowControl/>
              <w:jc w:val="center"/>
              <w:rPr>
                <w:rFonts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color w:val="000000" w:themeColor="text1"/>
                <w:kern w:val="0"/>
                <w:sz w:val="24"/>
                <w:highlight w:val="none"/>
                <w14:textFill>
                  <w14:solidFill>
                    <w14:schemeClr w14:val="tx1"/>
                  </w14:solidFill>
                </w14:textFill>
              </w:rPr>
              <w:t>/</w:t>
            </w:r>
          </w:p>
        </w:tc>
        <w:tc>
          <w:tcPr>
            <w:tcW w:w="1307" w:type="dxa"/>
            <w:shd w:val="clear" w:color="auto" w:fill="auto"/>
            <w:noWrap w:val="0"/>
            <w:vAlign w:val="center"/>
          </w:tcPr>
          <w:p w14:paraId="0BD0C4FA">
            <w:pPr>
              <w:widowControl/>
              <w:jc w:val="center"/>
              <w:rPr>
                <w:rFonts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color w:val="000000" w:themeColor="text1"/>
                <w:kern w:val="0"/>
                <w:sz w:val="24"/>
                <w:highlight w:val="none"/>
                <w14:textFill>
                  <w14:solidFill>
                    <w14:schemeClr w14:val="tx1"/>
                  </w14:solidFill>
                </w14:textFill>
              </w:rPr>
              <w:t>/</w:t>
            </w:r>
          </w:p>
        </w:tc>
        <w:tc>
          <w:tcPr>
            <w:tcW w:w="1681" w:type="dxa"/>
            <w:shd w:val="clear" w:color="auto" w:fill="auto"/>
            <w:noWrap w:val="0"/>
            <w:vAlign w:val="center"/>
          </w:tcPr>
          <w:p w14:paraId="7B6D771E">
            <w:pPr>
              <w:widowControl/>
              <w:jc w:val="center"/>
              <w:rPr>
                <w:rFonts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color w:val="000000" w:themeColor="text1"/>
                <w:kern w:val="0"/>
                <w:sz w:val="24"/>
                <w:highlight w:val="none"/>
                <w14:textFill>
                  <w14:solidFill>
                    <w14:schemeClr w14:val="tx1"/>
                  </w14:solidFill>
                </w14:textFill>
              </w:rPr>
              <w:t>/</w:t>
            </w:r>
          </w:p>
        </w:tc>
        <w:tc>
          <w:tcPr>
            <w:tcW w:w="1416" w:type="dxa"/>
            <w:noWrap w:val="0"/>
            <w:vAlign w:val="center"/>
          </w:tcPr>
          <w:p w14:paraId="5C4CBD1E">
            <w:pPr>
              <w:pStyle w:val="31"/>
              <w:spacing w:beforeLines="0" w:afterLines="0" w:line="240" w:lineRule="auto"/>
              <w:ind w:firstLine="0" w:firstLineChars="0"/>
              <w:rPr>
                <w:rFonts w:hint="default" w:ascii="Times New Roman"/>
                <w:color w:val="000000" w:themeColor="text1"/>
                <w:sz w:val="21"/>
                <w:szCs w:val="21"/>
                <w:highlight w:val="none"/>
                <w:lang w:val="en-US" w:eastAsia="zh-CN"/>
                <w14:textFill>
                  <w14:solidFill>
                    <w14:schemeClr w14:val="tx1"/>
                  </w14:solidFill>
                </w14:textFill>
              </w:rPr>
            </w:pPr>
            <w:r>
              <w:rPr>
                <w:rFonts w:hint="eastAsia" w:ascii="Times New Roman"/>
                <w:color w:val="000000" w:themeColor="text1"/>
                <w:sz w:val="21"/>
                <w:szCs w:val="21"/>
                <w:highlight w:val="none"/>
                <w:lang w:val="en-US" w:eastAsia="zh-CN"/>
                <w14:textFill>
                  <w14:solidFill>
                    <w14:schemeClr w14:val="tx1"/>
                  </w14:solidFill>
                </w14:textFill>
              </w:rPr>
              <w:t>3.6</w:t>
            </w:r>
          </w:p>
        </w:tc>
        <w:tc>
          <w:tcPr>
            <w:tcW w:w="1318" w:type="dxa"/>
            <w:noWrap w:val="0"/>
            <w:vAlign w:val="center"/>
          </w:tcPr>
          <w:p w14:paraId="72E8302E">
            <w:pPr>
              <w:widowControl/>
              <w:jc w:val="center"/>
              <w:rPr>
                <w:rFonts w:hint="default"/>
                <w:color w:val="000000" w:themeColor="text1"/>
                <w:kern w:val="0"/>
                <w:szCs w:val="21"/>
                <w:highlight w:val="none"/>
                <w:lang w:val="en-US" w:eastAsia="zh-CN"/>
                <w14:textFill>
                  <w14:solidFill>
                    <w14:schemeClr w14:val="tx1"/>
                  </w14:solidFill>
                </w14:textFill>
              </w:rPr>
            </w:pPr>
            <w:r>
              <w:rPr>
                <w:rFonts w:hint="eastAsia"/>
                <w:color w:val="000000" w:themeColor="text1"/>
                <w:kern w:val="0"/>
                <w:szCs w:val="21"/>
                <w:highlight w:val="none"/>
                <w:lang w:val="en-US" w:eastAsia="zh-CN"/>
                <w14:textFill>
                  <w14:solidFill>
                    <w14:schemeClr w14:val="tx1"/>
                  </w14:solidFill>
                </w14:textFill>
              </w:rPr>
              <w:t>0</w:t>
            </w:r>
          </w:p>
        </w:tc>
        <w:tc>
          <w:tcPr>
            <w:tcW w:w="1851" w:type="dxa"/>
            <w:noWrap w:val="0"/>
            <w:vAlign w:val="center"/>
          </w:tcPr>
          <w:p w14:paraId="6CADAF4E">
            <w:pPr>
              <w:pStyle w:val="31"/>
              <w:spacing w:beforeLines="0" w:afterLines="0" w:line="240" w:lineRule="auto"/>
              <w:ind w:firstLine="0" w:firstLineChars="0"/>
              <w:rPr>
                <w:rFonts w:hint="default" w:ascii="Times New Roman"/>
                <w:color w:val="000000" w:themeColor="text1"/>
                <w:sz w:val="21"/>
                <w:szCs w:val="21"/>
                <w:highlight w:val="none"/>
                <w:lang w:val="en-US" w:eastAsia="zh-CN"/>
                <w14:textFill>
                  <w14:solidFill>
                    <w14:schemeClr w14:val="tx1"/>
                  </w14:solidFill>
                </w14:textFill>
              </w:rPr>
            </w:pPr>
            <w:r>
              <w:rPr>
                <w:rFonts w:hint="eastAsia" w:ascii="Times New Roman"/>
                <w:color w:val="000000" w:themeColor="text1"/>
                <w:sz w:val="21"/>
                <w:szCs w:val="21"/>
                <w:highlight w:val="none"/>
                <w:lang w:val="en-US" w:eastAsia="zh-CN"/>
                <w14:textFill>
                  <w14:solidFill>
                    <w14:schemeClr w14:val="tx1"/>
                  </w14:solidFill>
                </w14:textFill>
              </w:rPr>
              <w:t>3.6</w:t>
            </w:r>
          </w:p>
        </w:tc>
        <w:tc>
          <w:tcPr>
            <w:tcW w:w="1120" w:type="dxa"/>
            <w:noWrap w:val="0"/>
            <w:vAlign w:val="center"/>
          </w:tcPr>
          <w:p w14:paraId="7FAE8003">
            <w:pPr>
              <w:pStyle w:val="31"/>
              <w:spacing w:beforeLines="0" w:afterLines="0" w:line="240" w:lineRule="auto"/>
              <w:ind w:firstLine="0" w:firstLineChars="0"/>
              <w:rPr>
                <w:rFonts w:hint="default" w:ascii="Times New Roman"/>
                <w:color w:val="000000" w:themeColor="text1"/>
                <w:sz w:val="21"/>
                <w:szCs w:val="21"/>
                <w:highlight w:val="none"/>
                <w:lang w:val="en-US" w:eastAsia="zh-CN"/>
                <w14:textFill>
                  <w14:solidFill>
                    <w14:schemeClr w14:val="tx1"/>
                  </w14:solidFill>
                </w14:textFill>
              </w:rPr>
            </w:pPr>
            <w:r>
              <w:rPr>
                <w:rFonts w:hint="eastAsia" w:ascii="Times New Roman"/>
                <w:color w:val="000000" w:themeColor="text1"/>
                <w:sz w:val="21"/>
                <w:szCs w:val="21"/>
                <w:highlight w:val="none"/>
                <w:lang w:val="en-US" w:eastAsia="zh-CN"/>
                <w14:textFill>
                  <w14:solidFill>
                    <w14:schemeClr w14:val="tx1"/>
                  </w14:solidFill>
                </w14:textFill>
              </w:rPr>
              <w:t>+3.6</w:t>
            </w:r>
          </w:p>
        </w:tc>
      </w:tr>
      <w:tr w14:paraId="4E61E0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41" w:type="dxa"/>
            <w:vMerge w:val="restart"/>
            <w:noWrap w:val="0"/>
            <w:vAlign w:val="center"/>
          </w:tcPr>
          <w:p w14:paraId="7426A22C">
            <w:pPr>
              <w:pStyle w:val="31"/>
              <w:spacing w:beforeLines="0" w:afterLines="0" w:line="240" w:lineRule="auto"/>
              <w:jc w:val="both"/>
              <w:rPr>
                <w:rFonts w:ascii="Times New Roman"/>
                <w:snapToGrid w:val="0"/>
                <w:color w:val="000000" w:themeColor="text1"/>
                <w:kern w:val="21"/>
                <w:sz w:val="21"/>
                <w:szCs w:val="21"/>
                <w:highlight w:val="none"/>
                <w14:textFill>
                  <w14:solidFill>
                    <w14:schemeClr w14:val="tx1"/>
                  </w14:solidFill>
                </w14:textFill>
              </w:rPr>
            </w:pPr>
            <w:r>
              <w:rPr>
                <w:rFonts w:ascii="Times New Roman"/>
                <w:snapToGrid w:val="0"/>
                <w:color w:val="000000" w:themeColor="text1"/>
                <w:kern w:val="21"/>
                <w:sz w:val="21"/>
                <w:szCs w:val="21"/>
                <w:highlight w:val="none"/>
                <w14:textFill>
                  <w14:solidFill>
                    <w14:schemeClr w14:val="tx1"/>
                  </w14:solidFill>
                </w14:textFill>
              </w:rPr>
              <w:t>废水</w:t>
            </w:r>
          </w:p>
        </w:tc>
        <w:tc>
          <w:tcPr>
            <w:tcW w:w="2170" w:type="dxa"/>
            <w:noWrap w:val="0"/>
            <w:vAlign w:val="center"/>
          </w:tcPr>
          <w:p w14:paraId="152088D1">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生活污水</w:t>
            </w:r>
          </w:p>
        </w:tc>
        <w:tc>
          <w:tcPr>
            <w:tcW w:w="1584" w:type="dxa"/>
            <w:noWrap w:val="0"/>
            <w:vAlign w:val="center"/>
          </w:tcPr>
          <w:p w14:paraId="3BB3AD85">
            <w:pPr>
              <w:widowControl/>
              <w:jc w:val="center"/>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w:t>
            </w:r>
          </w:p>
        </w:tc>
        <w:tc>
          <w:tcPr>
            <w:tcW w:w="1307" w:type="dxa"/>
            <w:noWrap w:val="0"/>
            <w:vAlign w:val="center"/>
          </w:tcPr>
          <w:p w14:paraId="211C2593">
            <w:pPr>
              <w:widowControl/>
              <w:jc w:val="center"/>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w:t>
            </w:r>
          </w:p>
        </w:tc>
        <w:tc>
          <w:tcPr>
            <w:tcW w:w="1681" w:type="dxa"/>
            <w:noWrap w:val="0"/>
            <w:vAlign w:val="center"/>
          </w:tcPr>
          <w:p w14:paraId="18691217">
            <w:pPr>
              <w:widowControl/>
              <w:jc w:val="center"/>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w:t>
            </w:r>
          </w:p>
        </w:tc>
        <w:tc>
          <w:tcPr>
            <w:tcW w:w="1416" w:type="dxa"/>
            <w:noWrap w:val="0"/>
            <w:vAlign w:val="center"/>
          </w:tcPr>
          <w:p w14:paraId="4CDB08BA">
            <w:pPr>
              <w:widowControl/>
              <w:jc w:val="center"/>
              <w:rPr>
                <w:rFonts w:hint="default" w:eastAsia="宋体"/>
                <w:color w:val="000000" w:themeColor="text1"/>
                <w:kern w:val="0"/>
                <w:szCs w:val="21"/>
                <w:highlight w:val="none"/>
                <w:lang w:val="en-US" w:eastAsia="zh-CN"/>
                <w14:textFill>
                  <w14:solidFill>
                    <w14:schemeClr w14:val="tx1"/>
                  </w14:solidFill>
                </w14:textFill>
              </w:rPr>
            </w:pPr>
            <w:r>
              <w:rPr>
                <w:rFonts w:hint="eastAsia"/>
                <w:color w:val="000000" w:themeColor="text1"/>
                <w:kern w:val="0"/>
                <w:szCs w:val="21"/>
                <w:highlight w:val="none"/>
                <w:lang w:val="en-US" w:eastAsia="zh-CN"/>
                <w14:textFill>
                  <w14:solidFill>
                    <w14:schemeClr w14:val="tx1"/>
                  </w14:solidFill>
                </w14:textFill>
              </w:rPr>
              <w:t>504</w:t>
            </w:r>
          </w:p>
        </w:tc>
        <w:tc>
          <w:tcPr>
            <w:tcW w:w="1318" w:type="dxa"/>
            <w:noWrap w:val="0"/>
            <w:vAlign w:val="center"/>
          </w:tcPr>
          <w:p w14:paraId="19134508">
            <w:pPr>
              <w:widowControl/>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0</w:t>
            </w:r>
          </w:p>
        </w:tc>
        <w:tc>
          <w:tcPr>
            <w:tcW w:w="1851" w:type="dxa"/>
            <w:noWrap w:val="0"/>
            <w:vAlign w:val="center"/>
          </w:tcPr>
          <w:p w14:paraId="2EF5F30B">
            <w:pPr>
              <w:widowControl/>
              <w:jc w:val="center"/>
              <w:rPr>
                <w:rFonts w:hint="default" w:eastAsia="宋体"/>
                <w:color w:val="000000" w:themeColor="text1"/>
                <w:kern w:val="0"/>
                <w:szCs w:val="21"/>
                <w:highlight w:val="none"/>
                <w:lang w:val="en-US" w:eastAsia="zh-CN"/>
                <w14:textFill>
                  <w14:solidFill>
                    <w14:schemeClr w14:val="tx1"/>
                  </w14:solidFill>
                </w14:textFill>
              </w:rPr>
            </w:pPr>
            <w:r>
              <w:rPr>
                <w:rFonts w:hint="eastAsia"/>
                <w:color w:val="000000" w:themeColor="text1"/>
                <w:kern w:val="0"/>
                <w:szCs w:val="21"/>
                <w:highlight w:val="none"/>
                <w:lang w:val="en-US" w:eastAsia="zh-CN"/>
                <w14:textFill>
                  <w14:solidFill>
                    <w14:schemeClr w14:val="tx1"/>
                  </w14:solidFill>
                </w14:textFill>
              </w:rPr>
              <w:t>504</w:t>
            </w:r>
          </w:p>
        </w:tc>
        <w:tc>
          <w:tcPr>
            <w:tcW w:w="1120" w:type="dxa"/>
            <w:noWrap w:val="0"/>
            <w:vAlign w:val="center"/>
          </w:tcPr>
          <w:p w14:paraId="38893538">
            <w:pPr>
              <w:widowControl/>
              <w:jc w:val="center"/>
              <w:rPr>
                <w:rFonts w:hint="default" w:eastAsia="宋体"/>
                <w:color w:val="000000" w:themeColor="text1"/>
                <w:kern w:val="0"/>
                <w:szCs w:val="21"/>
                <w:highlight w:val="none"/>
                <w:lang w:val="en-US" w:eastAsia="zh-CN"/>
                <w14:textFill>
                  <w14:solidFill>
                    <w14:schemeClr w14:val="tx1"/>
                  </w14:solidFill>
                </w14:textFill>
              </w:rPr>
            </w:pPr>
            <w:r>
              <w:rPr>
                <w:color w:val="000000" w:themeColor="text1"/>
                <w:kern w:val="0"/>
                <w:szCs w:val="21"/>
                <w:highlight w:val="none"/>
                <w14:textFill>
                  <w14:solidFill>
                    <w14:schemeClr w14:val="tx1"/>
                  </w14:solidFill>
                </w14:textFill>
              </w:rPr>
              <w:t>+</w:t>
            </w:r>
            <w:r>
              <w:rPr>
                <w:rFonts w:hint="eastAsia"/>
                <w:color w:val="000000" w:themeColor="text1"/>
                <w:kern w:val="0"/>
                <w:szCs w:val="21"/>
                <w:highlight w:val="none"/>
                <w:lang w:val="en-US" w:eastAsia="zh-CN"/>
                <w14:textFill>
                  <w14:solidFill>
                    <w14:schemeClr w14:val="tx1"/>
                  </w14:solidFill>
                </w14:textFill>
              </w:rPr>
              <w:t>504</w:t>
            </w:r>
          </w:p>
        </w:tc>
      </w:tr>
      <w:tr w14:paraId="6A3185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41" w:type="dxa"/>
            <w:vMerge w:val="continue"/>
            <w:noWrap w:val="0"/>
            <w:vAlign w:val="center"/>
          </w:tcPr>
          <w:p w14:paraId="4A7D47A5">
            <w:pPr>
              <w:pStyle w:val="31"/>
              <w:spacing w:beforeLines="0" w:afterLines="0" w:line="240" w:lineRule="auto"/>
              <w:jc w:val="both"/>
              <w:rPr>
                <w:rFonts w:ascii="Times New Roman"/>
                <w:snapToGrid w:val="0"/>
                <w:color w:val="000000" w:themeColor="text1"/>
                <w:kern w:val="21"/>
                <w:sz w:val="21"/>
                <w:szCs w:val="21"/>
                <w:highlight w:val="none"/>
                <w14:textFill>
                  <w14:solidFill>
                    <w14:schemeClr w14:val="tx1"/>
                  </w14:solidFill>
                </w14:textFill>
              </w:rPr>
            </w:pPr>
          </w:p>
        </w:tc>
        <w:tc>
          <w:tcPr>
            <w:tcW w:w="2170" w:type="dxa"/>
            <w:noWrap w:val="0"/>
            <w:vAlign w:val="center"/>
          </w:tcPr>
          <w:p w14:paraId="251885B7">
            <w:pPr>
              <w:jc w:val="center"/>
              <w:rPr>
                <w:rFonts w:hint="eastAsia" w:eastAsia="宋体"/>
                <w:snapToGrid w:val="0"/>
                <w:color w:val="000000" w:themeColor="text1"/>
                <w:kern w:val="21"/>
                <w:szCs w:val="21"/>
                <w:highlight w:val="none"/>
                <w:lang w:val="en-US" w:eastAsia="zh-CN"/>
                <w14:textFill>
                  <w14:solidFill>
                    <w14:schemeClr w14:val="tx1"/>
                  </w14:solidFill>
                </w14:textFill>
              </w:rPr>
            </w:pPr>
            <w:r>
              <w:rPr>
                <w:rFonts w:hint="eastAsia"/>
                <w:color w:val="000000" w:themeColor="text1"/>
                <w:szCs w:val="21"/>
                <w:highlight w:val="none"/>
                <w:lang w:eastAsia="zh-CN"/>
                <w14:textFill>
                  <w14:solidFill>
                    <w14:schemeClr w14:val="tx1"/>
                  </w14:solidFill>
                </w14:textFill>
              </w:rPr>
              <w:t>COD</w:t>
            </w:r>
          </w:p>
        </w:tc>
        <w:tc>
          <w:tcPr>
            <w:tcW w:w="1584" w:type="dxa"/>
            <w:noWrap w:val="0"/>
            <w:vAlign w:val="center"/>
          </w:tcPr>
          <w:p w14:paraId="0F5F0551">
            <w:pPr>
              <w:widowControl/>
              <w:jc w:val="center"/>
              <w:rPr>
                <w:rFonts w:hint="eastAsia"/>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w:t>
            </w:r>
          </w:p>
        </w:tc>
        <w:tc>
          <w:tcPr>
            <w:tcW w:w="1307" w:type="dxa"/>
            <w:noWrap w:val="0"/>
            <w:vAlign w:val="center"/>
          </w:tcPr>
          <w:p w14:paraId="19F73F18">
            <w:pPr>
              <w:widowControl/>
              <w:jc w:val="center"/>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w:t>
            </w:r>
          </w:p>
        </w:tc>
        <w:tc>
          <w:tcPr>
            <w:tcW w:w="1681" w:type="dxa"/>
            <w:noWrap w:val="0"/>
            <w:vAlign w:val="center"/>
          </w:tcPr>
          <w:p w14:paraId="12D72942">
            <w:pPr>
              <w:widowControl/>
              <w:jc w:val="center"/>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w:t>
            </w:r>
          </w:p>
        </w:tc>
        <w:tc>
          <w:tcPr>
            <w:tcW w:w="1416" w:type="dxa"/>
            <w:noWrap w:val="0"/>
            <w:vAlign w:val="center"/>
          </w:tcPr>
          <w:p w14:paraId="0A2B1748">
            <w:pPr>
              <w:widowControl/>
              <w:jc w:val="center"/>
              <w:rPr>
                <w:rFonts w:hint="default" w:eastAsia="宋体"/>
                <w:color w:val="000000" w:themeColor="text1"/>
                <w:kern w:val="0"/>
                <w:szCs w:val="21"/>
                <w:highlight w:val="none"/>
                <w:lang w:val="en-US" w:eastAsia="zh-CN"/>
                <w14:textFill>
                  <w14:solidFill>
                    <w14:schemeClr w14:val="tx1"/>
                  </w14:solidFill>
                </w14:textFill>
              </w:rPr>
            </w:pPr>
            <w:r>
              <w:rPr>
                <w:color w:val="000000" w:themeColor="text1"/>
                <w:kern w:val="0"/>
                <w:szCs w:val="21"/>
                <w:highlight w:val="none"/>
                <w14:textFill>
                  <w14:solidFill>
                    <w14:schemeClr w14:val="tx1"/>
                  </w14:solidFill>
                </w14:textFill>
              </w:rPr>
              <w:t>0.</w:t>
            </w:r>
            <w:r>
              <w:rPr>
                <w:rFonts w:hint="eastAsia"/>
                <w:color w:val="000000" w:themeColor="text1"/>
                <w:kern w:val="0"/>
                <w:szCs w:val="21"/>
                <w:highlight w:val="none"/>
                <w:lang w:val="en-US" w:eastAsia="zh-CN"/>
                <w14:textFill>
                  <w14:solidFill>
                    <w14:schemeClr w14:val="tx1"/>
                  </w14:solidFill>
                </w14:textFill>
              </w:rPr>
              <w:t>432</w:t>
            </w:r>
          </w:p>
        </w:tc>
        <w:tc>
          <w:tcPr>
            <w:tcW w:w="1318" w:type="dxa"/>
            <w:noWrap w:val="0"/>
            <w:vAlign w:val="center"/>
          </w:tcPr>
          <w:p w14:paraId="5B99352F">
            <w:pPr>
              <w:widowControl/>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0</w:t>
            </w:r>
          </w:p>
        </w:tc>
        <w:tc>
          <w:tcPr>
            <w:tcW w:w="1851" w:type="dxa"/>
            <w:noWrap w:val="0"/>
            <w:vAlign w:val="center"/>
          </w:tcPr>
          <w:p w14:paraId="6D9C6F2E">
            <w:pPr>
              <w:widowControl/>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0.</w:t>
            </w:r>
            <w:r>
              <w:rPr>
                <w:rFonts w:hint="eastAsia"/>
                <w:color w:val="000000" w:themeColor="text1"/>
                <w:kern w:val="0"/>
                <w:szCs w:val="21"/>
                <w:highlight w:val="none"/>
                <w:lang w:val="en-US" w:eastAsia="zh-CN"/>
                <w14:textFill>
                  <w14:solidFill>
                    <w14:schemeClr w14:val="tx1"/>
                  </w14:solidFill>
                </w14:textFill>
              </w:rPr>
              <w:t>432</w:t>
            </w:r>
          </w:p>
        </w:tc>
        <w:tc>
          <w:tcPr>
            <w:tcW w:w="1120" w:type="dxa"/>
            <w:noWrap w:val="0"/>
            <w:vAlign w:val="center"/>
          </w:tcPr>
          <w:p w14:paraId="071DA28B">
            <w:pPr>
              <w:widowControl/>
              <w:jc w:val="center"/>
              <w:rPr>
                <w:rFonts w:hint="eastAsia" w:eastAsia="宋体"/>
                <w:color w:val="000000" w:themeColor="text1"/>
                <w:kern w:val="0"/>
                <w:szCs w:val="21"/>
                <w:highlight w:val="none"/>
                <w:lang w:eastAsia="zh-CN"/>
                <w14:textFill>
                  <w14:solidFill>
                    <w14:schemeClr w14:val="tx1"/>
                  </w14:solidFill>
                </w14:textFill>
              </w:rPr>
            </w:pPr>
            <w:r>
              <w:rPr>
                <w:color w:val="000000" w:themeColor="text1"/>
                <w:kern w:val="0"/>
                <w:szCs w:val="21"/>
                <w:highlight w:val="none"/>
                <w14:textFill>
                  <w14:solidFill>
                    <w14:schemeClr w14:val="tx1"/>
                  </w14:solidFill>
                </w14:textFill>
              </w:rPr>
              <w:t>+0.</w:t>
            </w:r>
            <w:r>
              <w:rPr>
                <w:rFonts w:hint="eastAsia"/>
                <w:color w:val="000000" w:themeColor="text1"/>
                <w:kern w:val="0"/>
                <w:szCs w:val="21"/>
                <w:highlight w:val="none"/>
                <w:lang w:val="en-US" w:eastAsia="zh-CN"/>
                <w14:textFill>
                  <w14:solidFill>
                    <w14:schemeClr w14:val="tx1"/>
                  </w14:solidFill>
                </w14:textFill>
              </w:rPr>
              <w:t>432</w:t>
            </w:r>
          </w:p>
        </w:tc>
      </w:tr>
      <w:tr w14:paraId="178F28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41" w:type="dxa"/>
            <w:vMerge w:val="continue"/>
            <w:noWrap w:val="0"/>
            <w:vAlign w:val="center"/>
          </w:tcPr>
          <w:p w14:paraId="16DDCAF1">
            <w:pPr>
              <w:pStyle w:val="31"/>
              <w:spacing w:beforeLines="0" w:afterLines="0" w:line="240" w:lineRule="auto"/>
              <w:rPr>
                <w:rFonts w:ascii="Times New Roman"/>
                <w:snapToGrid w:val="0"/>
                <w:color w:val="000000" w:themeColor="text1"/>
                <w:kern w:val="21"/>
                <w:sz w:val="21"/>
                <w:szCs w:val="21"/>
                <w:highlight w:val="none"/>
                <w14:textFill>
                  <w14:solidFill>
                    <w14:schemeClr w14:val="tx1"/>
                  </w14:solidFill>
                </w14:textFill>
              </w:rPr>
            </w:pPr>
          </w:p>
        </w:tc>
        <w:tc>
          <w:tcPr>
            <w:tcW w:w="2170" w:type="dxa"/>
            <w:noWrap w:val="0"/>
            <w:vAlign w:val="center"/>
          </w:tcPr>
          <w:p w14:paraId="5C05A76E">
            <w:pPr>
              <w:jc w:val="center"/>
              <w:rPr>
                <w:snapToGrid w:val="0"/>
                <w:color w:val="000000" w:themeColor="text1"/>
                <w:kern w:val="21"/>
                <w:szCs w:val="21"/>
                <w:highlight w:val="none"/>
                <w14:textFill>
                  <w14:solidFill>
                    <w14:schemeClr w14:val="tx1"/>
                  </w14:solidFill>
                </w14:textFill>
              </w:rPr>
            </w:pPr>
            <w:r>
              <w:rPr>
                <w:color w:val="000000" w:themeColor="text1"/>
                <w:szCs w:val="21"/>
                <w:highlight w:val="none"/>
                <w14:textFill>
                  <w14:solidFill>
                    <w14:schemeClr w14:val="tx1"/>
                  </w14:solidFill>
                </w14:textFill>
              </w:rPr>
              <w:t>NH</w:t>
            </w:r>
            <w:r>
              <w:rPr>
                <w:color w:val="000000" w:themeColor="text1"/>
                <w:szCs w:val="21"/>
                <w:highlight w:val="none"/>
                <w:vertAlign w:val="subscript"/>
                <w14:textFill>
                  <w14:solidFill>
                    <w14:schemeClr w14:val="tx1"/>
                  </w14:solidFill>
                </w14:textFill>
              </w:rPr>
              <w:t>3</w:t>
            </w:r>
            <w:r>
              <w:rPr>
                <w:color w:val="000000" w:themeColor="text1"/>
                <w:szCs w:val="21"/>
                <w:highlight w:val="none"/>
                <w14:textFill>
                  <w14:solidFill>
                    <w14:schemeClr w14:val="tx1"/>
                  </w14:solidFill>
                </w14:textFill>
              </w:rPr>
              <w:t>-N</w:t>
            </w:r>
          </w:p>
        </w:tc>
        <w:tc>
          <w:tcPr>
            <w:tcW w:w="1584" w:type="dxa"/>
            <w:noWrap w:val="0"/>
            <w:vAlign w:val="center"/>
          </w:tcPr>
          <w:p w14:paraId="1A24FD1E">
            <w:pPr>
              <w:widowControl/>
              <w:jc w:val="center"/>
              <w:rPr>
                <w:rFonts w:hint="eastAsia"/>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w:t>
            </w:r>
          </w:p>
        </w:tc>
        <w:tc>
          <w:tcPr>
            <w:tcW w:w="1307" w:type="dxa"/>
            <w:noWrap w:val="0"/>
            <w:vAlign w:val="center"/>
          </w:tcPr>
          <w:p w14:paraId="5FE5AB93">
            <w:pPr>
              <w:widowControl/>
              <w:jc w:val="center"/>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w:t>
            </w:r>
          </w:p>
        </w:tc>
        <w:tc>
          <w:tcPr>
            <w:tcW w:w="1681" w:type="dxa"/>
            <w:noWrap w:val="0"/>
            <w:vAlign w:val="center"/>
          </w:tcPr>
          <w:p w14:paraId="3930E636">
            <w:pPr>
              <w:widowControl/>
              <w:jc w:val="center"/>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w:t>
            </w:r>
          </w:p>
        </w:tc>
        <w:tc>
          <w:tcPr>
            <w:tcW w:w="1416" w:type="dxa"/>
            <w:noWrap w:val="0"/>
            <w:vAlign w:val="center"/>
          </w:tcPr>
          <w:p w14:paraId="6CED79E7">
            <w:pPr>
              <w:widowControl/>
              <w:jc w:val="center"/>
              <w:rPr>
                <w:rFonts w:hint="default" w:eastAsia="宋体"/>
                <w:color w:val="000000" w:themeColor="text1"/>
                <w:kern w:val="0"/>
                <w:szCs w:val="21"/>
                <w:highlight w:val="none"/>
                <w:lang w:val="en-US" w:eastAsia="zh-CN"/>
                <w14:textFill>
                  <w14:solidFill>
                    <w14:schemeClr w14:val="tx1"/>
                  </w14:solidFill>
                </w14:textFill>
              </w:rPr>
            </w:pPr>
            <w:r>
              <w:rPr>
                <w:rFonts w:hint="eastAsia" w:eastAsia="宋体"/>
                <w:color w:val="000000" w:themeColor="text1"/>
                <w:kern w:val="0"/>
                <w:szCs w:val="21"/>
                <w:highlight w:val="none"/>
                <w:lang w:val="en-US" w:eastAsia="zh-CN"/>
                <w14:textFill>
                  <w14:solidFill>
                    <w14:schemeClr w14:val="tx1"/>
                  </w14:solidFill>
                </w14:textFill>
              </w:rPr>
              <w:t>0.0</w:t>
            </w:r>
            <w:r>
              <w:rPr>
                <w:rFonts w:hint="eastAsia"/>
                <w:color w:val="000000" w:themeColor="text1"/>
                <w:kern w:val="0"/>
                <w:szCs w:val="21"/>
                <w:highlight w:val="none"/>
                <w:lang w:val="en-US" w:eastAsia="zh-CN"/>
                <w14:textFill>
                  <w14:solidFill>
                    <w14:schemeClr w14:val="tx1"/>
                  </w14:solidFill>
                </w14:textFill>
              </w:rPr>
              <w:t>38</w:t>
            </w:r>
          </w:p>
        </w:tc>
        <w:tc>
          <w:tcPr>
            <w:tcW w:w="1318" w:type="dxa"/>
            <w:noWrap w:val="0"/>
            <w:vAlign w:val="center"/>
          </w:tcPr>
          <w:p w14:paraId="003EB010">
            <w:pPr>
              <w:widowControl/>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0</w:t>
            </w:r>
          </w:p>
        </w:tc>
        <w:tc>
          <w:tcPr>
            <w:tcW w:w="1851" w:type="dxa"/>
            <w:noWrap w:val="0"/>
            <w:vAlign w:val="center"/>
          </w:tcPr>
          <w:p w14:paraId="1688EC73">
            <w:pPr>
              <w:widowControl/>
              <w:jc w:val="center"/>
              <w:rPr>
                <w:color w:val="000000" w:themeColor="text1"/>
                <w:kern w:val="0"/>
                <w:szCs w:val="21"/>
                <w:highlight w:val="none"/>
                <w14:textFill>
                  <w14:solidFill>
                    <w14:schemeClr w14:val="tx1"/>
                  </w14:solidFill>
                </w14:textFill>
              </w:rPr>
            </w:pPr>
            <w:r>
              <w:rPr>
                <w:rFonts w:hint="eastAsia" w:eastAsia="宋体"/>
                <w:color w:val="000000" w:themeColor="text1"/>
                <w:kern w:val="0"/>
                <w:szCs w:val="21"/>
                <w:highlight w:val="none"/>
                <w:lang w:val="en-US" w:eastAsia="zh-CN"/>
                <w14:textFill>
                  <w14:solidFill>
                    <w14:schemeClr w14:val="tx1"/>
                  </w14:solidFill>
                </w14:textFill>
              </w:rPr>
              <w:t>0.0</w:t>
            </w:r>
            <w:r>
              <w:rPr>
                <w:rFonts w:hint="eastAsia"/>
                <w:color w:val="000000" w:themeColor="text1"/>
                <w:kern w:val="0"/>
                <w:szCs w:val="21"/>
                <w:highlight w:val="none"/>
                <w:lang w:val="en-US" w:eastAsia="zh-CN"/>
                <w14:textFill>
                  <w14:solidFill>
                    <w14:schemeClr w14:val="tx1"/>
                  </w14:solidFill>
                </w14:textFill>
              </w:rPr>
              <w:t>38</w:t>
            </w:r>
          </w:p>
        </w:tc>
        <w:tc>
          <w:tcPr>
            <w:tcW w:w="1120" w:type="dxa"/>
            <w:noWrap w:val="0"/>
            <w:vAlign w:val="center"/>
          </w:tcPr>
          <w:p w14:paraId="3A0328D3">
            <w:pPr>
              <w:widowControl/>
              <w:jc w:val="center"/>
              <w:rPr>
                <w:rFonts w:hint="eastAsia" w:eastAsia="宋体"/>
                <w:color w:val="000000" w:themeColor="text1"/>
                <w:kern w:val="0"/>
                <w:szCs w:val="21"/>
                <w:highlight w:val="none"/>
                <w:lang w:eastAsia="zh-CN"/>
                <w14:textFill>
                  <w14:solidFill>
                    <w14:schemeClr w14:val="tx1"/>
                  </w14:solidFill>
                </w14:textFill>
              </w:rPr>
            </w:pPr>
            <w:r>
              <w:rPr>
                <w:color w:val="000000" w:themeColor="text1"/>
                <w:kern w:val="0"/>
                <w:szCs w:val="21"/>
                <w:highlight w:val="none"/>
                <w14:textFill>
                  <w14:solidFill>
                    <w14:schemeClr w14:val="tx1"/>
                  </w14:solidFill>
                </w14:textFill>
              </w:rPr>
              <w:t>+</w:t>
            </w:r>
            <w:r>
              <w:rPr>
                <w:rFonts w:hint="eastAsia" w:eastAsia="宋体"/>
                <w:color w:val="000000" w:themeColor="text1"/>
                <w:kern w:val="0"/>
                <w:szCs w:val="21"/>
                <w:highlight w:val="none"/>
                <w:lang w:val="en-US" w:eastAsia="zh-CN"/>
                <w14:textFill>
                  <w14:solidFill>
                    <w14:schemeClr w14:val="tx1"/>
                  </w14:solidFill>
                </w14:textFill>
              </w:rPr>
              <w:t>0.0</w:t>
            </w:r>
            <w:r>
              <w:rPr>
                <w:rFonts w:hint="eastAsia"/>
                <w:color w:val="000000" w:themeColor="text1"/>
                <w:kern w:val="0"/>
                <w:szCs w:val="21"/>
                <w:highlight w:val="none"/>
                <w:lang w:val="en-US" w:eastAsia="zh-CN"/>
                <w14:textFill>
                  <w14:solidFill>
                    <w14:schemeClr w14:val="tx1"/>
                  </w14:solidFill>
                </w14:textFill>
              </w:rPr>
              <w:t>38</w:t>
            </w:r>
          </w:p>
        </w:tc>
      </w:tr>
      <w:tr w14:paraId="1D6051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41" w:type="dxa"/>
            <w:vMerge w:val="continue"/>
            <w:noWrap w:val="0"/>
            <w:vAlign w:val="center"/>
          </w:tcPr>
          <w:p w14:paraId="63EE24CD">
            <w:pPr>
              <w:pStyle w:val="31"/>
              <w:spacing w:beforeLines="0" w:afterLines="0" w:line="240" w:lineRule="auto"/>
              <w:rPr>
                <w:rFonts w:ascii="Times New Roman"/>
                <w:snapToGrid w:val="0"/>
                <w:color w:val="000000" w:themeColor="text1"/>
                <w:kern w:val="21"/>
                <w:sz w:val="21"/>
                <w:szCs w:val="21"/>
                <w:highlight w:val="none"/>
                <w14:textFill>
                  <w14:solidFill>
                    <w14:schemeClr w14:val="tx1"/>
                  </w14:solidFill>
                </w14:textFill>
              </w:rPr>
            </w:pPr>
          </w:p>
        </w:tc>
        <w:tc>
          <w:tcPr>
            <w:tcW w:w="2170" w:type="dxa"/>
            <w:noWrap w:val="0"/>
            <w:vAlign w:val="center"/>
          </w:tcPr>
          <w:p w14:paraId="03200FD2">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SS</w:t>
            </w:r>
          </w:p>
        </w:tc>
        <w:tc>
          <w:tcPr>
            <w:tcW w:w="1584" w:type="dxa"/>
            <w:noWrap w:val="0"/>
            <w:vAlign w:val="center"/>
          </w:tcPr>
          <w:p w14:paraId="123398A4">
            <w:pPr>
              <w:widowControl/>
              <w:jc w:val="center"/>
              <w:rPr>
                <w:rFonts w:hint="eastAsia"/>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w:t>
            </w:r>
          </w:p>
        </w:tc>
        <w:tc>
          <w:tcPr>
            <w:tcW w:w="1307" w:type="dxa"/>
            <w:noWrap w:val="0"/>
            <w:vAlign w:val="center"/>
          </w:tcPr>
          <w:p w14:paraId="6B454E4A">
            <w:pPr>
              <w:widowControl/>
              <w:jc w:val="center"/>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w:t>
            </w:r>
          </w:p>
        </w:tc>
        <w:tc>
          <w:tcPr>
            <w:tcW w:w="1681" w:type="dxa"/>
            <w:noWrap w:val="0"/>
            <w:vAlign w:val="center"/>
          </w:tcPr>
          <w:p w14:paraId="4050F93E">
            <w:pPr>
              <w:widowControl/>
              <w:jc w:val="center"/>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w:t>
            </w:r>
          </w:p>
        </w:tc>
        <w:tc>
          <w:tcPr>
            <w:tcW w:w="1416" w:type="dxa"/>
            <w:noWrap w:val="0"/>
            <w:vAlign w:val="center"/>
          </w:tcPr>
          <w:p w14:paraId="073B2D9B">
            <w:pPr>
              <w:widowControl/>
              <w:jc w:val="center"/>
              <w:rPr>
                <w:rFonts w:hint="eastAsia" w:eastAsia="宋体"/>
                <w:color w:val="000000" w:themeColor="text1"/>
                <w:kern w:val="0"/>
                <w:szCs w:val="21"/>
                <w:highlight w:val="none"/>
                <w:lang w:val="en-US" w:eastAsia="zh-CN"/>
                <w14:textFill>
                  <w14:solidFill>
                    <w14:schemeClr w14:val="tx1"/>
                  </w14:solidFill>
                </w14:textFill>
              </w:rPr>
            </w:pPr>
            <w:r>
              <w:rPr>
                <w:color w:val="000000" w:themeColor="text1"/>
                <w:kern w:val="0"/>
                <w:szCs w:val="21"/>
                <w:highlight w:val="none"/>
                <w14:textFill>
                  <w14:solidFill>
                    <w14:schemeClr w14:val="tx1"/>
                  </w14:solidFill>
                </w14:textFill>
              </w:rPr>
              <w:t>0.</w:t>
            </w:r>
            <w:r>
              <w:rPr>
                <w:rFonts w:hint="eastAsia"/>
                <w:color w:val="000000" w:themeColor="text1"/>
                <w:kern w:val="0"/>
                <w:szCs w:val="21"/>
                <w:highlight w:val="none"/>
                <w:lang w:val="en-US" w:eastAsia="zh-CN"/>
                <w14:textFill>
                  <w14:solidFill>
                    <w14:schemeClr w14:val="tx1"/>
                  </w14:solidFill>
                </w14:textFill>
              </w:rPr>
              <w:t>27</w:t>
            </w:r>
          </w:p>
        </w:tc>
        <w:tc>
          <w:tcPr>
            <w:tcW w:w="1318" w:type="dxa"/>
            <w:noWrap w:val="0"/>
            <w:vAlign w:val="center"/>
          </w:tcPr>
          <w:p w14:paraId="1558A199">
            <w:pPr>
              <w:widowControl/>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0</w:t>
            </w:r>
          </w:p>
        </w:tc>
        <w:tc>
          <w:tcPr>
            <w:tcW w:w="1851" w:type="dxa"/>
            <w:noWrap w:val="0"/>
            <w:vAlign w:val="center"/>
          </w:tcPr>
          <w:p w14:paraId="19B2283D">
            <w:pPr>
              <w:widowControl/>
              <w:jc w:val="center"/>
              <w:rPr>
                <w:rFonts w:hint="eastAsia" w:eastAsia="宋体"/>
                <w:color w:val="000000" w:themeColor="text1"/>
                <w:kern w:val="0"/>
                <w:szCs w:val="21"/>
                <w:highlight w:val="none"/>
                <w:lang w:eastAsia="zh-CN"/>
                <w14:textFill>
                  <w14:solidFill>
                    <w14:schemeClr w14:val="tx1"/>
                  </w14:solidFill>
                </w14:textFill>
              </w:rPr>
            </w:pPr>
            <w:r>
              <w:rPr>
                <w:color w:val="000000" w:themeColor="text1"/>
                <w:kern w:val="0"/>
                <w:szCs w:val="21"/>
                <w:highlight w:val="none"/>
                <w14:textFill>
                  <w14:solidFill>
                    <w14:schemeClr w14:val="tx1"/>
                  </w14:solidFill>
                </w14:textFill>
              </w:rPr>
              <w:t>0.</w:t>
            </w:r>
            <w:r>
              <w:rPr>
                <w:rFonts w:hint="eastAsia"/>
                <w:color w:val="000000" w:themeColor="text1"/>
                <w:kern w:val="0"/>
                <w:szCs w:val="21"/>
                <w:highlight w:val="none"/>
                <w:lang w:val="en-US" w:eastAsia="zh-CN"/>
                <w14:textFill>
                  <w14:solidFill>
                    <w14:schemeClr w14:val="tx1"/>
                  </w14:solidFill>
                </w14:textFill>
              </w:rPr>
              <w:t>27</w:t>
            </w:r>
          </w:p>
        </w:tc>
        <w:tc>
          <w:tcPr>
            <w:tcW w:w="1120" w:type="dxa"/>
            <w:noWrap w:val="0"/>
            <w:vAlign w:val="center"/>
          </w:tcPr>
          <w:p w14:paraId="2E2356CD">
            <w:pPr>
              <w:widowControl/>
              <w:jc w:val="center"/>
              <w:rPr>
                <w:rFonts w:hint="eastAsia" w:eastAsia="宋体"/>
                <w:color w:val="000000" w:themeColor="text1"/>
                <w:kern w:val="0"/>
                <w:szCs w:val="21"/>
                <w:highlight w:val="none"/>
                <w:lang w:eastAsia="zh-CN"/>
                <w14:textFill>
                  <w14:solidFill>
                    <w14:schemeClr w14:val="tx1"/>
                  </w14:solidFill>
                </w14:textFill>
              </w:rPr>
            </w:pPr>
            <w:r>
              <w:rPr>
                <w:color w:val="000000" w:themeColor="text1"/>
                <w:kern w:val="0"/>
                <w:szCs w:val="21"/>
                <w:highlight w:val="none"/>
                <w14:textFill>
                  <w14:solidFill>
                    <w14:schemeClr w14:val="tx1"/>
                  </w14:solidFill>
                </w14:textFill>
              </w:rPr>
              <w:t>+0.</w:t>
            </w:r>
            <w:r>
              <w:rPr>
                <w:rFonts w:hint="eastAsia"/>
                <w:color w:val="000000" w:themeColor="text1"/>
                <w:kern w:val="0"/>
                <w:szCs w:val="21"/>
                <w:highlight w:val="none"/>
                <w:lang w:val="en-US" w:eastAsia="zh-CN"/>
                <w14:textFill>
                  <w14:solidFill>
                    <w14:schemeClr w14:val="tx1"/>
                  </w14:solidFill>
                </w14:textFill>
              </w:rPr>
              <w:t>27</w:t>
            </w:r>
          </w:p>
        </w:tc>
      </w:tr>
      <w:tr w14:paraId="5DA655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41" w:type="dxa"/>
            <w:vMerge w:val="continue"/>
            <w:noWrap w:val="0"/>
            <w:vAlign w:val="center"/>
          </w:tcPr>
          <w:p w14:paraId="1276C7C0">
            <w:pPr>
              <w:pStyle w:val="31"/>
              <w:spacing w:beforeLines="0" w:afterLines="0" w:line="240" w:lineRule="auto"/>
              <w:rPr>
                <w:rFonts w:ascii="Times New Roman"/>
                <w:snapToGrid w:val="0"/>
                <w:color w:val="000000" w:themeColor="text1"/>
                <w:kern w:val="21"/>
                <w:sz w:val="21"/>
                <w:szCs w:val="21"/>
                <w:highlight w:val="none"/>
                <w14:textFill>
                  <w14:solidFill>
                    <w14:schemeClr w14:val="tx1"/>
                  </w14:solidFill>
                </w14:textFill>
              </w:rPr>
            </w:pPr>
          </w:p>
        </w:tc>
        <w:tc>
          <w:tcPr>
            <w:tcW w:w="2170" w:type="dxa"/>
            <w:noWrap w:val="0"/>
            <w:vAlign w:val="center"/>
          </w:tcPr>
          <w:p w14:paraId="090307E8">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BOD</w:t>
            </w:r>
            <w:r>
              <w:rPr>
                <w:color w:val="000000" w:themeColor="text1"/>
                <w:szCs w:val="21"/>
                <w:highlight w:val="none"/>
                <w:vertAlign w:val="subscript"/>
                <w14:textFill>
                  <w14:solidFill>
                    <w14:schemeClr w14:val="tx1"/>
                  </w14:solidFill>
                </w14:textFill>
              </w:rPr>
              <w:t>5</w:t>
            </w:r>
          </w:p>
        </w:tc>
        <w:tc>
          <w:tcPr>
            <w:tcW w:w="1584" w:type="dxa"/>
            <w:noWrap w:val="0"/>
            <w:vAlign w:val="center"/>
          </w:tcPr>
          <w:p w14:paraId="7E757760">
            <w:pPr>
              <w:widowControl/>
              <w:jc w:val="center"/>
              <w:rPr>
                <w:rFonts w:hint="eastAsia"/>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w:t>
            </w:r>
          </w:p>
        </w:tc>
        <w:tc>
          <w:tcPr>
            <w:tcW w:w="1307" w:type="dxa"/>
            <w:noWrap w:val="0"/>
            <w:vAlign w:val="center"/>
          </w:tcPr>
          <w:p w14:paraId="283FFAC5">
            <w:pPr>
              <w:widowControl/>
              <w:jc w:val="center"/>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w:t>
            </w:r>
          </w:p>
        </w:tc>
        <w:tc>
          <w:tcPr>
            <w:tcW w:w="1681" w:type="dxa"/>
            <w:noWrap w:val="0"/>
            <w:vAlign w:val="center"/>
          </w:tcPr>
          <w:p w14:paraId="56D0F07C">
            <w:pPr>
              <w:widowControl/>
              <w:jc w:val="center"/>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w:t>
            </w:r>
          </w:p>
        </w:tc>
        <w:tc>
          <w:tcPr>
            <w:tcW w:w="1416" w:type="dxa"/>
            <w:noWrap w:val="0"/>
            <w:vAlign w:val="center"/>
          </w:tcPr>
          <w:p w14:paraId="2D7F2CE9">
            <w:pPr>
              <w:widowControl/>
              <w:jc w:val="center"/>
              <w:rPr>
                <w:rFonts w:hint="default" w:eastAsia="宋体"/>
                <w:color w:val="000000" w:themeColor="text1"/>
                <w:kern w:val="0"/>
                <w:szCs w:val="21"/>
                <w:highlight w:val="none"/>
                <w:lang w:val="en-US" w:eastAsia="zh-CN"/>
                <w14:textFill>
                  <w14:solidFill>
                    <w14:schemeClr w14:val="tx1"/>
                  </w14:solidFill>
                </w14:textFill>
              </w:rPr>
            </w:pPr>
            <w:r>
              <w:rPr>
                <w:color w:val="000000" w:themeColor="text1"/>
                <w:kern w:val="0"/>
                <w:szCs w:val="21"/>
                <w:highlight w:val="none"/>
                <w14:textFill>
                  <w14:solidFill>
                    <w14:schemeClr w14:val="tx1"/>
                  </w14:solidFill>
                </w14:textFill>
              </w:rPr>
              <w:t>0.</w:t>
            </w:r>
            <w:r>
              <w:rPr>
                <w:rFonts w:hint="eastAsia"/>
                <w:color w:val="000000" w:themeColor="text1"/>
                <w:kern w:val="0"/>
                <w:szCs w:val="21"/>
                <w:highlight w:val="none"/>
                <w:lang w:val="en-US" w:eastAsia="zh-CN"/>
                <w14:textFill>
                  <w14:solidFill>
                    <w14:schemeClr w14:val="tx1"/>
                  </w14:solidFill>
                </w14:textFill>
              </w:rPr>
              <w:t>324</w:t>
            </w:r>
          </w:p>
        </w:tc>
        <w:tc>
          <w:tcPr>
            <w:tcW w:w="1318" w:type="dxa"/>
            <w:noWrap w:val="0"/>
            <w:vAlign w:val="center"/>
          </w:tcPr>
          <w:p w14:paraId="335E335F">
            <w:pPr>
              <w:widowControl/>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0</w:t>
            </w:r>
          </w:p>
        </w:tc>
        <w:tc>
          <w:tcPr>
            <w:tcW w:w="1851" w:type="dxa"/>
            <w:noWrap w:val="0"/>
            <w:vAlign w:val="center"/>
          </w:tcPr>
          <w:p w14:paraId="1B6A7E2F">
            <w:pPr>
              <w:widowControl/>
              <w:jc w:val="center"/>
              <w:rPr>
                <w:rFonts w:hint="eastAsia" w:eastAsia="宋体"/>
                <w:color w:val="000000" w:themeColor="text1"/>
                <w:kern w:val="0"/>
                <w:szCs w:val="21"/>
                <w:highlight w:val="none"/>
                <w:lang w:eastAsia="zh-CN"/>
                <w14:textFill>
                  <w14:solidFill>
                    <w14:schemeClr w14:val="tx1"/>
                  </w14:solidFill>
                </w14:textFill>
              </w:rPr>
            </w:pPr>
            <w:r>
              <w:rPr>
                <w:color w:val="000000" w:themeColor="text1"/>
                <w:kern w:val="0"/>
                <w:szCs w:val="21"/>
                <w:highlight w:val="none"/>
                <w14:textFill>
                  <w14:solidFill>
                    <w14:schemeClr w14:val="tx1"/>
                  </w14:solidFill>
                </w14:textFill>
              </w:rPr>
              <w:t>0.</w:t>
            </w:r>
            <w:r>
              <w:rPr>
                <w:rFonts w:hint="eastAsia"/>
                <w:color w:val="000000" w:themeColor="text1"/>
                <w:kern w:val="0"/>
                <w:szCs w:val="21"/>
                <w:highlight w:val="none"/>
                <w:lang w:val="en-US" w:eastAsia="zh-CN"/>
                <w14:textFill>
                  <w14:solidFill>
                    <w14:schemeClr w14:val="tx1"/>
                  </w14:solidFill>
                </w14:textFill>
              </w:rPr>
              <w:t>324</w:t>
            </w:r>
          </w:p>
        </w:tc>
        <w:tc>
          <w:tcPr>
            <w:tcW w:w="1120" w:type="dxa"/>
            <w:noWrap w:val="0"/>
            <w:vAlign w:val="center"/>
          </w:tcPr>
          <w:p w14:paraId="4912E958">
            <w:pPr>
              <w:widowControl/>
              <w:jc w:val="center"/>
              <w:rPr>
                <w:rFonts w:hint="eastAsia" w:eastAsia="宋体"/>
                <w:color w:val="000000" w:themeColor="text1"/>
                <w:kern w:val="0"/>
                <w:szCs w:val="21"/>
                <w:highlight w:val="none"/>
                <w:lang w:val="en-US" w:eastAsia="zh-CN"/>
                <w14:textFill>
                  <w14:solidFill>
                    <w14:schemeClr w14:val="tx1"/>
                  </w14:solidFill>
                </w14:textFill>
              </w:rPr>
            </w:pPr>
            <w:r>
              <w:rPr>
                <w:color w:val="000000" w:themeColor="text1"/>
                <w:kern w:val="0"/>
                <w:szCs w:val="21"/>
                <w:highlight w:val="none"/>
                <w14:textFill>
                  <w14:solidFill>
                    <w14:schemeClr w14:val="tx1"/>
                  </w14:solidFill>
                </w14:textFill>
              </w:rPr>
              <w:t>+0.</w:t>
            </w:r>
            <w:r>
              <w:rPr>
                <w:rFonts w:hint="eastAsia"/>
                <w:color w:val="000000" w:themeColor="text1"/>
                <w:kern w:val="0"/>
                <w:szCs w:val="21"/>
                <w:highlight w:val="none"/>
                <w:lang w:val="en-US" w:eastAsia="zh-CN"/>
                <w14:textFill>
                  <w14:solidFill>
                    <w14:schemeClr w14:val="tx1"/>
                  </w14:solidFill>
                </w14:textFill>
              </w:rPr>
              <w:t>324</w:t>
            </w:r>
          </w:p>
        </w:tc>
      </w:tr>
      <w:tr w14:paraId="370BD9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41" w:type="dxa"/>
            <w:noWrap w:val="0"/>
            <w:vAlign w:val="center"/>
          </w:tcPr>
          <w:p w14:paraId="23DBD070">
            <w:pPr>
              <w:pStyle w:val="31"/>
              <w:spacing w:beforeLines="0" w:afterLines="0" w:line="240" w:lineRule="auto"/>
              <w:ind w:firstLine="0"/>
              <w:jc w:val="both"/>
              <w:rPr>
                <w:rFonts w:hint="eastAsia" w:ascii="Times New Roman" w:eastAsia="宋体"/>
                <w:snapToGrid w:val="0"/>
                <w:color w:val="000000" w:themeColor="text1"/>
                <w:kern w:val="21"/>
                <w:sz w:val="21"/>
                <w:szCs w:val="21"/>
                <w:highlight w:val="none"/>
                <w:lang w:val="en-US" w:eastAsia="zh-CN"/>
                <w14:textFill>
                  <w14:solidFill>
                    <w14:schemeClr w14:val="tx1"/>
                  </w14:solidFill>
                </w14:textFill>
              </w:rPr>
            </w:pPr>
            <w:r>
              <w:rPr>
                <w:rFonts w:hint="eastAsia" w:ascii="Times New Roman"/>
                <w:snapToGrid w:val="0"/>
                <w:color w:val="000000" w:themeColor="text1"/>
                <w:kern w:val="21"/>
                <w:sz w:val="21"/>
                <w:szCs w:val="21"/>
                <w:highlight w:val="none"/>
                <w:lang w:val="en-US" w:eastAsia="zh-CN"/>
                <w14:textFill>
                  <w14:solidFill>
                    <w14:schemeClr w14:val="tx1"/>
                  </w14:solidFill>
                </w14:textFill>
              </w:rPr>
              <w:t>/</w:t>
            </w:r>
          </w:p>
        </w:tc>
        <w:tc>
          <w:tcPr>
            <w:tcW w:w="2170" w:type="dxa"/>
            <w:noWrap w:val="0"/>
            <w:vAlign w:val="center"/>
          </w:tcPr>
          <w:p w14:paraId="5EDB67CA">
            <w:pPr>
              <w:pStyle w:val="31"/>
              <w:spacing w:beforeLines="0" w:afterLines="0" w:line="240" w:lineRule="auto"/>
              <w:ind w:firstLine="0"/>
              <w:rPr>
                <w:rFonts w:ascii="Times New Roman"/>
                <w:snapToGrid w:val="0"/>
                <w:color w:val="000000" w:themeColor="text1"/>
                <w:kern w:val="21"/>
                <w:sz w:val="21"/>
                <w:szCs w:val="21"/>
                <w:highlight w:val="none"/>
                <w14:textFill>
                  <w14:solidFill>
                    <w14:schemeClr w14:val="tx1"/>
                  </w14:solidFill>
                </w14:textFill>
              </w:rPr>
            </w:pPr>
            <w:r>
              <w:rPr>
                <w:rFonts w:ascii="Times New Roman"/>
                <w:snapToGrid w:val="0"/>
                <w:color w:val="000000" w:themeColor="text1"/>
                <w:kern w:val="21"/>
                <w:sz w:val="21"/>
                <w:szCs w:val="21"/>
                <w:highlight w:val="none"/>
                <w14:textFill>
                  <w14:solidFill>
                    <w14:schemeClr w14:val="tx1"/>
                  </w14:solidFill>
                </w14:textFill>
              </w:rPr>
              <w:t>生活垃圾</w:t>
            </w:r>
          </w:p>
        </w:tc>
        <w:tc>
          <w:tcPr>
            <w:tcW w:w="1584" w:type="dxa"/>
            <w:noWrap w:val="0"/>
            <w:vAlign w:val="center"/>
          </w:tcPr>
          <w:p w14:paraId="3647EC48">
            <w:pPr>
              <w:widowControl/>
              <w:jc w:val="center"/>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w:t>
            </w:r>
          </w:p>
        </w:tc>
        <w:tc>
          <w:tcPr>
            <w:tcW w:w="1307" w:type="dxa"/>
            <w:noWrap w:val="0"/>
            <w:vAlign w:val="center"/>
          </w:tcPr>
          <w:p w14:paraId="1A2698A4">
            <w:pPr>
              <w:widowControl/>
              <w:jc w:val="center"/>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w:t>
            </w:r>
          </w:p>
        </w:tc>
        <w:tc>
          <w:tcPr>
            <w:tcW w:w="1681" w:type="dxa"/>
            <w:noWrap w:val="0"/>
            <w:vAlign w:val="center"/>
          </w:tcPr>
          <w:p w14:paraId="0B51526B">
            <w:pPr>
              <w:widowControl/>
              <w:jc w:val="center"/>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w:t>
            </w:r>
          </w:p>
        </w:tc>
        <w:tc>
          <w:tcPr>
            <w:tcW w:w="1416" w:type="dxa"/>
            <w:noWrap w:val="0"/>
            <w:vAlign w:val="center"/>
          </w:tcPr>
          <w:p w14:paraId="212BC07C">
            <w:pPr>
              <w:widowControl/>
              <w:jc w:val="center"/>
              <w:rPr>
                <w:rFonts w:hint="default" w:eastAsia="宋体"/>
                <w:color w:val="000000" w:themeColor="text1"/>
                <w:kern w:val="0"/>
                <w:szCs w:val="21"/>
                <w:highlight w:val="none"/>
                <w:lang w:val="en-US" w:eastAsia="zh-CN"/>
                <w14:textFill>
                  <w14:solidFill>
                    <w14:schemeClr w14:val="tx1"/>
                  </w14:solidFill>
                </w14:textFill>
              </w:rPr>
            </w:pPr>
            <w:r>
              <w:rPr>
                <w:rFonts w:hint="eastAsia" w:eastAsia="宋体"/>
                <w:color w:val="000000" w:themeColor="text1"/>
                <w:kern w:val="0"/>
                <w:szCs w:val="21"/>
                <w:highlight w:val="none"/>
                <w:lang w:val="en-US" w:eastAsia="zh-CN"/>
                <w14:textFill>
                  <w14:solidFill>
                    <w14:schemeClr w14:val="tx1"/>
                  </w14:solidFill>
                </w14:textFill>
              </w:rPr>
              <w:t>5.25</w:t>
            </w:r>
          </w:p>
        </w:tc>
        <w:tc>
          <w:tcPr>
            <w:tcW w:w="1318" w:type="dxa"/>
            <w:noWrap w:val="0"/>
            <w:vAlign w:val="center"/>
          </w:tcPr>
          <w:p w14:paraId="7FE48723">
            <w:pPr>
              <w:widowControl/>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0</w:t>
            </w:r>
          </w:p>
        </w:tc>
        <w:tc>
          <w:tcPr>
            <w:tcW w:w="1851" w:type="dxa"/>
            <w:noWrap w:val="0"/>
            <w:vAlign w:val="center"/>
          </w:tcPr>
          <w:p w14:paraId="1C84D434">
            <w:pPr>
              <w:widowControl/>
              <w:jc w:val="center"/>
              <w:rPr>
                <w:rFonts w:hint="default" w:eastAsia="宋体"/>
                <w:color w:val="000000" w:themeColor="text1"/>
                <w:kern w:val="0"/>
                <w:szCs w:val="21"/>
                <w:highlight w:val="none"/>
                <w:lang w:val="en-US" w:eastAsia="zh-CN"/>
                <w14:textFill>
                  <w14:solidFill>
                    <w14:schemeClr w14:val="tx1"/>
                  </w14:solidFill>
                </w14:textFill>
              </w:rPr>
            </w:pPr>
            <w:r>
              <w:rPr>
                <w:rFonts w:hint="eastAsia" w:eastAsia="宋体"/>
                <w:color w:val="000000" w:themeColor="text1"/>
                <w:kern w:val="0"/>
                <w:szCs w:val="21"/>
                <w:highlight w:val="none"/>
                <w:lang w:val="en-US" w:eastAsia="zh-CN"/>
                <w14:textFill>
                  <w14:solidFill>
                    <w14:schemeClr w14:val="tx1"/>
                  </w14:solidFill>
                </w14:textFill>
              </w:rPr>
              <w:t>5.25</w:t>
            </w:r>
          </w:p>
        </w:tc>
        <w:tc>
          <w:tcPr>
            <w:tcW w:w="1120" w:type="dxa"/>
            <w:noWrap w:val="0"/>
            <w:vAlign w:val="center"/>
          </w:tcPr>
          <w:p w14:paraId="68E3CE2A">
            <w:pPr>
              <w:widowControl/>
              <w:jc w:val="center"/>
              <w:rPr>
                <w:rFonts w:hint="default" w:eastAsia="宋体"/>
                <w:color w:val="000000" w:themeColor="text1"/>
                <w:kern w:val="0"/>
                <w:szCs w:val="21"/>
                <w:highlight w:val="none"/>
                <w:lang w:val="en-US" w:eastAsia="zh-CN"/>
                <w14:textFill>
                  <w14:solidFill>
                    <w14:schemeClr w14:val="tx1"/>
                  </w14:solidFill>
                </w14:textFill>
              </w:rPr>
            </w:pPr>
            <w:r>
              <w:rPr>
                <w:color w:val="000000" w:themeColor="text1"/>
                <w:kern w:val="0"/>
                <w:szCs w:val="21"/>
                <w:highlight w:val="none"/>
                <w14:textFill>
                  <w14:solidFill>
                    <w14:schemeClr w14:val="tx1"/>
                  </w14:solidFill>
                </w14:textFill>
              </w:rPr>
              <w:t>+</w:t>
            </w:r>
            <w:r>
              <w:rPr>
                <w:rFonts w:hint="eastAsia" w:eastAsia="宋体"/>
                <w:color w:val="000000" w:themeColor="text1"/>
                <w:kern w:val="0"/>
                <w:szCs w:val="21"/>
                <w:highlight w:val="none"/>
                <w:lang w:val="en-US" w:eastAsia="zh-CN"/>
                <w14:textFill>
                  <w14:solidFill>
                    <w14:schemeClr w14:val="tx1"/>
                  </w14:solidFill>
                </w14:textFill>
              </w:rPr>
              <w:t>5.25</w:t>
            </w:r>
          </w:p>
        </w:tc>
      </w:tr>
      <w:tr w14:paraId="71E5D6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41" w:type="dxa"/>
            <w:vMerge w:val="restart"/>
            <w:noWrap w:val="0"/>
            <w:vAlign w:val="center"/>
          </w:tcPr>
          <w:p w14:paraId="30486E2D">
            <w:pPr>
              <w:pStyle w:val="31"/>
              <w:spacing w:beforeLines="0" w:afterLines="0" w:line="240" w:lineRule="auto"/>
              <w:ind w:firstLine="0"/>
              <w:rPr>
                <w:rFonts w:ascii="Times New Roman"/>
                <w:snapToGrid w:val="0"/>
                <w:color w:val="000000" w:themeColor="text1"/>
                <w:kern w:val="21"/>
                <w:sz w:val="21"/>
                <w:szCs w:val="21"/>
                <w:highlight w:val="none"/>
                <w14:textFill>
                  <w14:solidFill>
                    <w14:schemeClr w14:val="tx1"/>
                  </w14:solidFill>
                </w14:textFill>
              </w:rPr>
            </w:pPr>
            <w:r>
              <w:rPr>
                <w:rFonts w:ascii="Times New Roman"/>
                <w:snapToGrid w:val="0"/>
                <w:color w:val="000000" w:themeColor="text1"/>
                <w:kern w:val="21"/>
                <w:sz w:val="21"/>
                <w:szCs w:val="21"/>
                <w:highlight w:val="none"/>
                <w14:textFill>
                  <w14:solidFill>
                    <w14:schemeClr w14:val="tx1"/>
                  </w14:solidFill>
                </w14:textFill>
              </w:rPr>
              <w:t>一般固废</w:t>
            </w:r>
          </w:p>
        </w:tc>
        <w:tc>
          <w:tcPr>
            <w:tcW w:w="2170" w:type="dxa"/>
            <w:noWrap w:val="0"/>
            <w:vAlign w:val="center"/>
          </w:tcPr>
          <w:p w14:paraId="21F6E0E2">
            <w:pPr>
              <w:jc w:val="center"/>
              <w:rPr>
                <w:rFonts w:hint="eastAsia" w:eastAsia="宋体"/>
                <w:snapToGrid w:val="0"/>
                <w:color w:val="000000" w:themeColor="text1"/>
                <w:kern w:val="21"/>
                <w:szCs w:val="21"/>
                <w:highlight w:val="none"/>
                <w:lang w:eastAsia="zh-CN"/>
                <w14:textFill>
                  <w14:solidFill>
                    <w14:schemeClr w14:val="tx1"/>
                  </w14:solidFill>
                </w14:textFill>
              </w:rPr>
            </w:pPr>
            <w:r>
              <w:rPr>
                <w:rFonts w:hint="eastAsia"/>
                <w:snapToGrid w:val="0"/>
                <w:color w:val="000000" w:themeColor="text1"/>
                <w:kern w:val="21"/>
                <w:szCs w:val="21"/>
                <w:highlight w:val="none"/>
                <w:lang w:eastAsia="zh-CN"/>
                <w14:textFill>
                  <w14:solidFill>
                    <w14:schemeClr w14:val="tx1"/>
                  </w14:solidFill>
                </w14:textFill>
              </w:rPr>
              <w:t>除尘器回收尘</w:t>
            </w:r>
          </w:p>
        </w:tc>
        <w:tc>
          <w:tcPr>
            <w:tcW w:w="1584" w:type="dxa"/>
            <w:noWrap w:val="0"/>
            <w:vAlign w:val="center"/>
          </w:tcPr>
          <w:p w14:paraId="7C250725">
            <w:pPr>
              <w:widowControl/>
              <w:jc w:val="center"/>
              <w:rPr>
                <w:snapToGrid w:val="0"/>
                <w:color w:val="000000" w:themeColor="text1"/>
                <w:kern w:val="21"/>
                <w:szCs w:val="21"/>
                <w:highlight w:val="none"/>
                <w14:textFill>
                  <w14:solidFill>
                    <w14:schemeClr w14:val="tx1"/>
                  </w14:solidFill>
                </w14:textFill>
              </w:rPr>
            </w:pPr>
            <w:r>
              <w:rPr>
                <w:color w:val="000000" w:themeColor="text1"/>
                <w:kern w:val="0"/>
                <w:sz w:val="24"/>
                <w:highlight w:val="none"/>
                <w14:textFill>
                  <w14:solidFill>
                    <w14:schemeClr w14:val="tx1"/>
                  </w14:solidFill>
                </w14:textFill>
              </w:rPr>
              <w:t>/</w:t>
            </w:r>
          </w:p>
        </w:tc>
        <w:tc>
          <w:tcPr>
            <w:tcW w:w="1307" w:type="dxa"/>
            <w:noWrap w:val="0"/>
            <w:vAlign w:val="center"/>
          </w:tcPr>
          <w:p w14:paraId="6B57514F">
            <w:pPr>
              <w:widowControl/>
              <w:jc w:val="center"/>
              <w:rPr>
                <w:snapToGrid w:val="0"/>
                <w:color w:val="000000" w:themeColor="text1"/>
                <w:kern w:val="21"/>
                <w:szCs w:val="21"/>
                <w:highlight w:val="none"/>
                <w14:textFill>
                  <w14:solidFill>
                    <w14:schemeClr w14:val="tx1"/>
                  </w14:solidFill>
                </w14:textFill>
              </w:rPr>
            </w:pPr>
            <w:r>
              <w:rPr>
                <w:color w:val="000000" w:themeColor="text1"/>
                <w:kern w:val="0"/>
                <w:sz w:val="24"/>
                <w:highlight w:val="none"/>
                <w14:textFill>
                  <w14:solidFill>
                    <w14:schemeClr w14:val="tx1"/>
                  </w14:solidFill>
                </w14:textFill>
              </w:rPr>
              <w:t>/</w:t>
            </w:r>
          </w:p>
        </w:tc>
        <w:tc>
          <w:tcPr>
            <w:tcW w:w="1681" w:type="dxa"/>
            <w:noWrap w:val="0"/>
            <w:vAlign w:val="center"/>
          </w:tcPr>
          <w:p w14:paraId="5DF49992">
            <w:pPr>
              <w:widowControl/>
              <w:jc w:val="center"/>
              <w:rPr>
                <w:snapToGrid w:val="0"/>
                <w:color w:val="000000" w:themeColor="text1"/>
                <w:kern w:val="21"/>
                <w:szCs w:val="21"/>
                <w:highlight w:val="none"/>
                <w14:textFill>
                  <w14:solidFill>
                    <w14:schemeClr w14:val="tx1"/>
                  </w14:solidFill>
                </w14:textFill>
              </w:rPr>
            </w:pPr>
            <w:r>
              <w:rPr>
                <w:color w:val="000000" w:themeColor="text1"/>
                <w:kern w:val="0"/>
                <w:sz w:val="24"/>
                <w:highlight w:val="none"/>
                <w14:textFill>
                  <w14:solidFill>
                    <w14:schemeClr w14:val="tx1"/>
                  </w14:solidFill>
                </w14:textFill>
              </w:rPr>
              <w:t>/</w:t>
            </w:r>
          </w:p>
        </w:tc>
        <w:tc>
          <w:tcPr>
            <w:tcW w:w="1416" w:type="dxa"/>
            <w:noWrap w:val="0"/>
            <w:vAlign w:val="center"/>
          </w:tcPr>
          <w:p w14:paraId="7C9C9DB4">
            <w:pPr>
              <w:widowControl/>
              <w:jc w:val="center"/>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455.84</w:t>
            </w:r>
          </w:p>
        </w:tc>
        <w:tc>
          <w:tcPr>
            <w:tcW w:w="1318" w:type="dxa"/>
            <w:noWrap w:val="0"/>
            <w:vAlign w:val="center"/>
          </w:tcPr>
          <w:p w14:paraId="422025E3">
            <w:pPr>
              <w:widowControl/>
              <w:jc w:val="center"/>
              <w:rPr>
                <w:snapToGrid w:val="0"/>
                <w:color w:val="000000" w:themeColor="text1"/>
                <w:kern w:val="21"/>
                <w:szCs w:val="21"/>
                <w:highlight w:val="none"/>
                <w14:textFill>
                  <w14:solidFill>
                    <w14:schemeClr w14:val="tx1"/>
                  </w14:solidFill>
                </w14:textFill>
              </w:rPr>
            </w:pPr>
            <w:r>
              <w:rPr>
                <w:snapToGrid w:val="0"/>
                <w:color w:val="000000" w:themeColor="text1"/>
                <w:kern w:val="21"/>
                <w:szCs w:val="21"/>
                <w:highlight w:val="none"/>
                <w14:textFill>
                  <w14:solidFill>
                    <w14:schemeClr w14:val="tx1"/>
                  </w14:solidFill>
                </w14:textFill>
              </w:rPr>
              <w:t>0</w:t>
            </w:r>
          </w:p>
        </w:tc>
        <w:tc>
          <w:tcPr>
            <w:tcW w:w="1851" w:type="dxa"/>
            <w:noWrap w:val="0"/>
            <w:vAlign w:val="center"/>
          </w:tcPr>
          <w:p w14:paraId="1C1548C1">
            <w:pPr>
              <w:widowControl/>
              <w:jc w:val="center"/>
              <w:rPr>
                <w:rFonts w:hint="default" w:eastAsia="宋体"/>
                <w:snapToGrid w:val="0"/>
                <w:color w:val="000000" w:themeColor="text1"/>
                <w:kern w:val="2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455.84</w:t>
            </w:r>
          </w:p>
        </w:tc>
        <w:tc>
          <w:tcPr>
            <w:tcW w:w="1120" w:type="dxa"/>
            <w:noWrap w:val="0"/>
            <w:vAlign w:val="center"/>
          </w:tcPr>
          <w:p w14:paraId="5444C82F">
            <w:pPr>
              <w:widowControl/>
              <w:jc w:val="center"/>
              <w:rPr>
                <w:rFonts w:hint="default" w:eastAsia="宋体"/>
                <w:color w:val="000000" w:themeColor="text1"/>
                <w:szCs w:val="21"/>
                <w:highlight w:val="none"/>
                <w:lang w:val="en-US" w:eastAsia="zh-CN"/>
                <w14:textFill>
                  <w14:solidFill>
                    <w14:schemeClr w14:val="tx1"/>
                  </w14:solidFill>
                </w14:textFill>
              </w:rPr>
            </w:pPr>
            <w:r>
              <w:rPr>
                <w:color w:val="000000" w:themeColor="text1"/>
                <w:kern w:val="0"/>
                <w:szCs w:val="21"/>
                <w:highlight w:val="none"/>
                <w14:textFill>
                  <w14:solidFill>
                    <w14:schemeClr w14:val="tx1"/>
                  </w14:solidFill>
                </w14:textFill>
              </w:rPr>
              <w:t>+</w:t>
            </w:r>
            <w:r>
              <w:rPr>
                <w:rFonts w:hint="eastAsia"/>
                <w:color w:val="000000" w:themeColor="text1"/>
                <w:szCs w:val="21"/>
                <w:highlight w:val="none"/>
                <w:lang w:val="en-US" w:eastAsia="zh-CN"/>
                <w14:textFill>
                  <w14:solidFill>
                    <w14:schemeClr w14:val="tx1"/>
                  </w14:solidFill>
                </w14:textFill>
              </w:rPr>
              <w:t>455.84</w:t>
            </w:r>
          </w:p>
        </w:tc>
      </w:tr>
      <w:tr w14:paraId="4EBC5A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41" w:type="dxa"/>
            <w:vMerge w:val="continue"/>
            <w:noWrap w:val="0"/>
            <w:vAlign w:val="center"/>
          </w:tcPr>
          <w:p w14:paraId="3ACFA8C4">
            <w:pPr>
              <w:pStyle w:val="31"/>
              <w:spacing w:beforeLines="0" w:afterLines="0" w:line="240" w:lineRule="auto"/>
              <w:ind w:firstLine="0"/>
              <w:rPr>
                <w:rFonts w:ascii="Times New Roman"/>
                <w:snapToGrid w:val="0"/>
                <w:color w:val="000000" w:themeColor="text1"/>
                <w:kern w:val="21"/>
                <w:sz w:val="21"/>
                <w:szCs w:val="21"/>
                <w:highlight w:val="none"/>
                <w14:textFill>
                  <w14:solidFill>
                    <w14:schemeClr w14:val="tx1"/>
                  </w14:solidFill>
                </w14:textFill>
              </w:rPr>
            </w:pPr>
          </w:p>
        </w:tc>
        <w:tc>
          <w:tcPr>
            <w:tcW w:w="2170" w:type="dxa"/>
            <w:shd w:val="clear" w:color="auto" w:fill="auto"/>
            <w:noWrap w:val="0"/>
            <w:vAlign w:val="center"/>
          </w:tcPr>
          <w:p w14:paraId="2CBE9D41">
            <w:pPr>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空压站废滤芯</w:t>
            </w:r>
          </w:p>
        </w:tc>
        <w:tc>
          <w:tcPr>
            <w:tcW w:w="1584" w:type="dxa"/>
            <w:shd w:val="clear" w:color="auto" w:fill="auto"/>
            <w:noWrap w:val="0"/>
            <w:vAlign w:val="center"/>
          </w:tcPr>
          <w:p w14:paraId="72DD7BF4">
            <w:pPr>
              <w:widowControl/>
              <w:jc w:val="center"/>
              <w:rPr>
                <w:rFonts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color w:val="000000" w:themeColor="text1"/>
                <w:kern w:val="0"/>
                <w:sz w:val="24"/>
                <w:highlight w:val="none"/>
                <w14:textFill>
                  <w14:solidFill>
                    <w14:schemeClr w14:val="tx1"/>
                  </w14:solidFill>
                </w14:textFill>
              </w:rPr>
              <w:t>/</w:t>
            </w:r>
          </w:p>
        </w:tc>
        <w:tc>
          <w:tcPr>
            <w:tcW w:w="1307" w:type="dxa"/>
            <w:shd w:val="clear" w:color="auto" w:fill="auto"/>
            <w:noWrap w:val="0"/>
            <w:vAlign w:val="center"/>
          </w:tcPr>
          <w:p w14:paraId="20C53012">
            <w:pPr>
              <w:widowControl/>
              <w:jc w:val="center"/>
              <w:rPr>
                <w:rFonts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color w:val="000000" w:themeColor="text1"/>
                <w:kern w:val="0"/>
                <w:sz w:val="24"/>
                <w:highlight w:val="none"/>
                <w14:textFill>
                  <w14:solidFill>
                    <w14:schemeClr w14:val="tx1"/>
                  </w14:solidFill>
                </w14:textFill>
              </w:rPr>
              <w:t>/</w:t>
            </w:r>
          </w:p>
        </w:tc>
        <w:tc>
          <w:tcPr>
            <w:tcW w:w="1681" w:type="dxa"/>
            <w:shd w:val="clear" w:color="auto" w:fill="auto"/>
            <w:noWrap w:val="0"/>
            <w:vAlign w:val="center"/>
          </w:tcPr>
          <w:p w14:paraId="15D5BE45">
            <w:pPr>
              <w:widowControl/>
              <w:jc w:val="center"/>
              <w:rPr>
                <w:rFonts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color w:val="000000" w:themeColor="text1"/>
                <w:kern w:val="0"/>
                <w:sz w:val="24"/>
                <w:highlight w:val="none"/>
                <w14:textFill>
                  <w14:solidFill>
                    <w14:schemeClr w14:val="tx1"/>
                  </w14:solidFill>
                </w14:textFill>
              </w:rPr>
              <w:t>/</w:t>
            </w:r>
          </w:p>
        </w:tc>
        <w:tc>
          <w:tcPr>
            <w:tcW w:w="1416" w:type="dxa"/>
            <w:shd w:val="clear" w:color="auto" w:fill="auto"/>
            <w:noWrap w:val="0"/>
            <w:vAlign w:val="center"/>
          </w:tcPr>
          <w:p w14:paraId="302FEAFC">
            <w:pPr>
              <w:widowControl/>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2.5</w:t>
            </w:r>
          </w:p>
        </w:tc>
        <w:tc>
          <w:tcPr>
            <w:tcW w:w="1318" w:type="dxa"/>
            <w:shd w:val="clear" w:color="auto" w:fill="auto"/>
            <w:noWrap w:val="0"/>
            <w:vAlign w:val="center"/>
          </w:tcPr>
          <w:p w14:paraId="4BBD1BCE">
            <w:pPr>
              <w:widowControl/>
              <w:jc w:val="center"/>
              <w:rPr>
                <w:rFonts w:hint="eastAsia"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r>
              <w:rPr>
                <w:rFonts w:hint="eastAsia"/>
                <w:snapToGrid w:val="0"/>
                <w:color w:val="000000" w:themeColor="text1"/>
                <w:kern w:val="21"/>
                <w:szCs w:val="21"/>
                <w:highlight w:val="none"/>
                <w:lang w:val="en-US" w:eastAsia="zh-CN"/>
                <w14:textFill>
                  <w14:solidFill>
                    <w14:schemeClr w14:val="tx1"/>
                  </w14:solidFill>
                </w14:textFill>
              </w:rPr>
              <w:t>0</w:t>
            </w:r>
          </w:p>
        </w:tc>
        <w:tc>
          <w:tcPr>
            <w:tcW w:w="1851" w:type="dxa"/>
            <w:shd w:val="clear" w:color="auto" w:fill="auto"/>
            <w:noWrap w:val="0"/>
            <w:vAlign w:val="center"/>
          </w:tcPr>
          <w:p w14:paraId="5CE563DA">
            <w:pPr>
              <w:widowControl/>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2.5</w:t>
            </w:r>
          </w:p>
        </w:tc>
        <w:tc>
          <w:tcPr>
            <w:tcW w:w="1120" w:type="dxa"/>
            <w:shd w:val="clear" w:color="auto" w:fill="auto"/>
            <w:noWrap w:val="0"/>
            <w:vAlign w:val="center"/>
          </w:tcPr>
          <w:p w14:paraId="3B5BBBC8">
            <w:pPr>
              <w:widowControl/>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kern w:val="0"/>
                <w:szCs w:val="21"/>
                <w:highlight w:val="none"/>
                <w:lang w:val="en-US" w:eastAsia="zh-CN"/>
                <w14:textFill>
                  <w14:solidFill>
                    <w14:schemeClr w14:val="tx1"/>
                  </w14:solidFill>
                </w14:textFill>
              </w:rPr>
              <w:t>+2.5</w:t>
            </w:r>
          </w:p>
        </w:tc>
      </w:tr>
      <w:tr w14:paraId="5B732D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41" w:type="dxa"/>
            <w:vMerge w:val="continue"/>
            <w:noWrap w:val="0"/>
            <w:vAlign w:val="center"/>
          </w:tcPr>
          <w:p w14:paraId="64868812">
            <w:pPr>
              <w:pStyle w:val="31"/>
              <w:spacing w:beforeLines="0" w:afterLines="0" w:line="240" w:lineRule="auto"/>
              <w:ind w:firstLine="0"/>
              <w:rPr>
                <w:rFonts w:ascii="Times New Roman"/>
                <w:snapToGrid w:val="0"/>
                <w:color w:val="000000" w:themeColor="text1"/>
                <w:kern w:val="21"/>
                <w:sz w:val="21"/>
                <w:szCs w:val="21"/>
                <w:highlight w:val="none"/>
                <w14:textFill>
                  <w14:solidFill>
                    <w14:schemeClr w14:val="tx1"/>
                  </w14:solidFill>
                </w14:textFill>
              </w:rPr>
            </w:pPr>
          </w:p>
        </w:tc>
        <w:tc>
          <w:tcPr>
            <w:tcW w:w="2170" w:type="dxa"/>
            <w:shd w:val="clear" w:color="auto" w:fill="auto"/>
            <w:noWrap w:val="0"/>
            <w:vAlign w:val="center"/>
          </w:tcPr>
          <w:p w14:paraId="500EA7DD">
            <w:pPr>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Cs w:val="21"/>
                <w:highlight w:val="none"/>
                <w14:textFill>
                  <w14:solidFill>
                    <w14:schemeClr w14:val="tx1"/>
                  </w14:solidFill>
                </w14:textFill>
              </w:rPr>
              <w:t>不合格品</w:t>
            </w:r>
            <w:r>
              <w:rPr>
                <w:rFonts w:hint="eastAsia"/>
                <w:color w:val="000000" w:themeColor="text1"/>
                <w:szCs w:val="21"/>
                <w:highlight w:val="none"/>
                <w:lang w:val="en-US" w:eastAsia="zh-CN"/>
                <w14:textFill>
                  <w14:solidFill>
                    <w14:schemeClr w14:val="tx1"/>
                  </w14:solidFill>
                </w14:textFill>
              </w:rPr>
              <w:t>（黄料）</w:t>
            </w:r>
          </w:p>
        </w:tc>
        <w:tc>
          <w:tcPr>
            <w:tcW w:w="1584" w:type="dxa"/>
            <w:shd w:val="clear" w:color="auto" w:fill="auto"/>
            <w:noWrap w:val="0"/>
            <w:vAlign w:val="center"/>
          </w:tcPr>
          <w:p w14:paraId="47E5500C">
            <w:pPr>
              <w:widowControl/>
              <w:jc w:val="center"/>
              <w:rPr>
                <w:rFonts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color w:val="000000" w:themeColor="text1"/>
                <w:kern w:val="0"/>
                <w:sz w:val="24"/>
                <w:highlight w:val="none"/>
                <w14:textFill>
                  <w14:solidFill>
                    <w14:schemeClr w14:val="tx1"/>
                  </w14:solidFill>
                </w14:textFill>
              </w:rPr>
              <w:t>/</w:t>
            </w:r>
          </w:p>
        </w:tc>
        <w:tc>
          <w:tcPr>
            <w:tcW w:w="1307" w:type="dxa"/>
            <w:shd w:val="clear" w:color="auto" w:fill="auto"/>
            <w:noWrap w:val="0"/>
            <w:vAlign w:val="center"/>
          </w:tcPr>
          <w:p w14:paraId="5977D4E6">
            <w:pPr>
              <w:widowControl/>
              <w:jc w:val="center"/>
              <w:rPr>
                <w:rFonts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color w:val="000000" w:themeColor="text1"/>
                <w:kern w:val="0"/>
                <w:sz w:val="24"/>
                <w:highlight w:val="none"/>
                <w14:textFill>
                  <w14:solidFill>
                    <w14:schemeClr w14:val="tx1"/>
                  </w14:solidFill>
                </w14:textFill>
              </w:rPr>
              <w:t>/</w:t>
            </w:r>
          </w:p>
        </w:tc>
        <w:tc>
          <w:tcPr>
            <w:tcW w:w="1681" w:type="dxa"/>
            <w:shd w:val="clear" w:color="auto" w:fill="auto"/>
            <w:noWrap w:val="0"/>
            <w:vAlign w:val="center"/>
          </w:tcPr>
          <w:p w14:paraId="0734909A">
            <w:pPr>
              <w:widowControl/>
              <w:jc w:val="center"/>
              <w:rPr>
                <w:rFonts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color w:val="000000" w:themeColor="text1"/>
                <w:kern w:val="0"/>
                <w:sz w:val="24"/>
                <w:highlight w:val="none"/>
                <w14:textFill>
                  <w14:solidFill>
                    <w14:schemeClr w14:val="tx1"/>
                  </w14:solidFill>
                </w14:textFill>
              </w:rPr>
              <w:t>/</w:t>
            </w:r>
          </w:p>
        </w:tc>
        <w:tc>
          <w:tcPr>
            <w:tcW w:w="1416" w:type="dxa"/>
            <w:shd w:val="clear" w:color="auto" w:fill="auto"/>
            <w:noWrap w:val="0"/>
            <w:vAlign w:val="center"/>
          </w:tcPr>
          <w:p w14:paraId="0140D26D">
            <w:pPr>
              <w:widowControl/>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eastAsia="宋体"/>
                <w:color w:val="000000" w:themeColor="text1"/>
                <w:szCs w:val="21"/>
                <w:highlight w:val="none"/>
                <w:lang w:val="en-US" w:eastAsia="zh-CN"/>
                <w14:textFill>
                  <w14:solidFill>
                    <w14:schemeClr w14:val="tx1"/>
                  </w14:solidFill>
                </w14:textFill>
              </w:rPr>
              <w:t>10526</w:t>
            </w:r>
          </w:p>
        </w:tc>
        <w:tc>
          <w:tcPr>
            <w:tcW w:w="1318" w:type="dxa"/>
            <w:shd w:val="clear" w:color="auto" w:fill="auto"/>
            <w:noWrap w:val="0"/>
            <w:vAlign w:val="center"/>
          </w:tcPr>
          <w:p w14:paraId="46B10C12">
            <w:pPr>
              <w:widowControl/>
              <w:jc w:val="center"/>
              <w:rPr>
                <w:rFonts w:hint="eastAsia"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r>
              <w:rPr>
                <w:rFonts w:hint="eastAsia"/>
                <w:snapToGrid w:val="0"/>
                <w:color w:val="000000" w:themeColor="text1"/>
                <w:kern w:val="21"/>
                <w:szCs w:val="21"/>
                <w:highlight w:val="none"/>
                <w14:textFill>
                  <w14:solidFill>
                    <w14:schemeClr w14:val="tx1"/>
                  </w14:solidFill>
                </w14:textFill>
              </w:rPr>
              <w:t>0</w:t>
            </w:r>
          </w:p>
        </w:tc>
        <w:tc>
          <w:tcPr>
            <w:tcW w:w="1851" w:type="dxa"/>
            <w:shd w:val="clear" w:color="auto" w:fill="auto"/>
            <w:noWrap w:val="0"/>
            <w:vAlign w:val="center"/>
          </w:tcPr>
          <w:p w14:paraId="7D16F267">
            <w:pPr>
              <w:widowControl/>
              <w:jc w:val="center"/>
              <w:rPr>
                <w:rFonts w:hint="eastAsia"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r>
              <w:rPr>
                <w:rFonts w:hint="eastAsia" w:eastAsia="宋体"/>
                <w:color w:val="000000" w:themeColor="text1"/>
                <w:szCs w:val="21"/>
                <w:highlight w:val="none"/>
                <w:lang w:val="en-US" w:eastAsia="zh-CN"/>
                <w14:textFill>
                  <w14:solidFill>
                    <w14:schemeClr w14:val="tx1"/>
                  </w14:solidFill>
                </w14:textFill>
              </w:rPr>
              <w:t>10526</w:t>
            </w:r>
          </w:p>
        </w:tc>
        <w:tc>
          <w:tcPr>
            <w:tcW w:w="1120" w:type="dxa"/>
            <w:shd w:val="clear" w:color="auto" w:fill="auto"/>
            <w:noWrap w:val="0"/>
            <w:vAlign w:val="center"/>
          </w:tcPr>
          <w:p w14:paraId="3B613513">
            <w:pPr>
              <w:widowControl/>
              <w:jc w:val="center"/>
              <w:rPr>
                <w:rFonts w:hint="eastAsia"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eastAsia"/>
                <w:color w:val="000000" w:themeColor="text1"/>
                <w:kern w:val="0"/>
                <w:szCs w:val="21"/>
                <w:highlight w:val="none"/>
                <w14:textFill>
                  <w14:solidFill>
                    <w14:schemeClr w14:val="tx1"/>
                  </w14:solidFill>
                </w14:textFill>
              </w:rPr>
              <w:t>+</w:t>
            </w:r>
            <w:r>
              <w:rPr>
                <w:rFonts w:hint="eastAsia" w:eastAsia="宋体"/>
                <w:color w:val="000000" w:themeColor="text1"/>
                <w:szCs w:val="21"/>
                <w:highlight w:val="none"/>
                <w:lang w:val="en-US" w:eastAsia="zh-CN"/>
                <w14:textFill>
                  <w14:solidFill>
                    <w14:schemeClr w14:val="tx1"/>
                  </w14:solidFill>
                </w14:textFill>
              </w:rPr>
              <w:t>10526</w:t>
            </w:r>
          </w:p>
        </w:tc>
      </w:tr>
      <w:tr w14:paraId="45A5A7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41" w:type="dxa"/>
            <w:vMerge w:val="continue"/>
            <w:noWrap w:val="0"/>
            <w:vAlign w:val="center"/>
          </w:tcPr>
          <w:p w14:paraId="07CA9071">
            <w:pPr>
              <w:pStyle w:val="31"/>
              <w:spacing w:beforeLines="0" w:afterLines="0" w:line="240" w:lineRule="auto"/>
              <w:ind w:firstLine="0"/>
              <w:rPr>
                <w:rFonts w:ascii="Times New Roman"/>
                <w:snapToGrid w:val="0"/>
                <w:color w:val="000000" w:themeColor="text1"/>
                <w:kern w:val="21"/>
                <w:sz w:val="21"/>
                <w:szCs w:val="21"/>
                <w:highlight w:val="none"/>
                <w14:textFill>
                  <w14:solidFill>
                    <w14:schemeClr w14:val="tx1"/>
                  </w14:solidFill>
                </w14:textFill>
              </w:rPr>
            </w:pPr>
          </w:p>
        </w:tc>
        <w:tc>
          <w:tcPr>
            <w:tcW w:w="2170" w:type="dxa"/>
            <w:shd w:val="clear" w:color="auto" w:fill="auto"/>
            <w:noWrap w:val="0"/>
            <w:vAlign w:val="center"/>
          </w:tcPr>
          <w:p w14:paraId="61C41AF3">
            <w:pPr>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软水制备废滤材</w:t>
            </w:r>
          </w:p>
        </w:tc>
        <w:tc>
          <w:tcPr>
            <w:tcW w:w="1584" w:type="dxa"/>
            <w:shd w:val="clear" w:color="auto" w:fill="auto"/>
            <w:noWrap w:val="0"/>
            <w:vAlign w:val="center"/>
          </w:tcPr>
          <w:p w14:paraId="5122963B">
            <w:pPr>
              <w:widowControl/>
              <w:jc w:val="center"/>
              <w:rPr>
                <w:rFonts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color w:val="000000" w:themeColor="text1"/>
                <w:kern w:val="0"/>
                <w:sz w:val="24"/>
                <w:highlight w:val="none"/>
                <w14:textFill>
                  <w14:solidFill>
                    <w14:schemeClr w14:val="tx1"/>
                  </w14:solidFill>
                </w14:textFill>
              </w:rPr>
              <w:t>/</w:t>
            </w:r>
          </w:p>
        </w:tc>
        <w:tc>
          <w:tcPr>
            <w:tcW w:w="1307" w:type="dxa"/>
            <w:shd w:val="clear" w:color="auto" w:fill="auto"/>
            <w:noWrap w:val="0"/>
            <w:vAlign w:val="center"/>
          </w:tcPr>
          <w:p w14:paraId="60D80626">
            <w:pPr>
              <w:widowControl/>
              <w:jc w:val="center"/>
              <w:rPr>
                <w:rFonts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color w:val="000000" w:themeColor="text1"/>
                <w:kern w:val="0"/>
                <w:sz w:val="24"/>
                <w:highlight w:val="none"/>
                <w14:textFill>
                  <w14:solidFill>
                    <w14:schemeClr w14:val="tx1"/>
                  </w14:solidFill>
                </w14:textFill>
              </w:rPr>
              <w:t>/</w:t>
            </w:r>
          </w:p>
        </w:tc>
        <w:tc>
          <w:tcPr>
            <w:tcW w:w="1681" w:type="dxa"/>
            <w:shd w:val="clear" w:color="auto" w:fill="auto"/>
            <w:noWrap w:val="0"/>
            <w:vAlign w:val="center"/>
          </w:tcPr>
          <w:p w14:paraId="4CA8A699">
            <w:pPr>
              <w:widowControl/>
              <w:jc w:val="center"/>
              <w:rPr>
                <w:rFonts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color w:val="000000" w:themeColor="text1"/>
                <w:kern w:val="0"/>
                <w:sz w:val="24"/>
                <w:highlight w:val="none"/>
                <w14:textFill>
                  <w14:solidFill>
                    <w14:schemeClr w14:val="tx1"/>
                  </w14:solidFill>
                </w14:textFill>
              </w:rPr>
              <w:t>/</w:t>
            </w:r>
          </w:p>
        </w:tc>
        <w:tc>
          <w:tcPr>
            <w:tcW w:w="1416" w:type="dxa"/>
            <w:shd w:val="clear" w:color="auto" w:fill="auto"/>
            <w:noWrap w:val="0"/>
            <w:vAlign w:val="center"/>
          </w:tcPr>
          <w:p w14:paraId="4CF2393B">
            <w:pPr>
              <w:widowControl/>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2.4</w:t>
            </w:r>
          </w:p>
        </w:tc>
        <w:tc>
          <w:tcPr>
            <w:tcW w:w="1318" w:type="dxa"/>
            <w:shd w:val="clear" w:color="auto" w:fill="auto"/>
            <w:noWrap w:val="0"/>
            <w:vAlign w:val="center"/>
          </w:tcPr>
          <w:p w14:paraId="25E6FE12">
            <w:pPr>
              <w:widowControl/>
              <w:jc w:val="cente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r>
              <w:rPr>
                <w:rFonts w:hint="eastAsia"/>
                <w:snapToGrid w:val="0"/>
                <w:color w:val="000000" w:themeColor="text1"/>
                <w:kern w:val="21"/>
                <w:szCs w:val="21"/>
                <w:highlight w:val="none"/>
                <w:lang w:val="en-US" w:eastAsia="zh-CN"/>
                <w14:textFill>
                  <w14:solidFill>
                    <w14:schemeClr w14:val="tx1"/>
                  </w14:solidFill>
                </w14:textFill>
              </w:rPr>
              <w:t>0</w:t>
            </w:r>
          </w:p>
        </w:tc>
        <w:tc>
          <w:tcPr>
            <w:tcW w:w="1851" w:type="dxa"/>
            <w:shd w:val="clear" w:color="auto" w:fill="auto"/>
            <w:noWrap w:val="0"/>
            <w:vAlign w:val="center"/>
          </w:tcPr>
          <w:p w14:paraId="34A8462C">
            <w:pPr>
              <w:widowControl/>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2.4</w:t>
            </w:r>
          </w:p>
        </w:tc>
        <w:tc>
          <w:tcPr>
            <w:tcW w:w="1120" w:type="dxa"/>
            <w:shd w:val="clear" w:color="auto" w:fill="auto"/>
            <w:noWrap w:val="0"/>
            <w:vAlign w:val="center"/>
          </w:tcPr>
          <w:p w14:paraId="55A57584">
            <w:pPr>
              <w:widowControl/>
              <w:jc w:val="center"/>
              <w:rPr>
                <w:rFonts w:hint="eastAsia"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+2.4</w:t>
            </w:r>
          </w:p>
        </w:tc>
      </w:tr>
      <w:tr w14:paraId="13153C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41" w:type="dxa"/>
            <w:vMerge w:val="continue"/>
            <w:noWrap w:val="0"/>
            <w:vAlign w:val="center"/>
          </w:tcPr>
          <w:p w14:paraId="4749B197">
            <w:pPr>
              <w:pStyle w:val="31"/>
              <w:spacing w:beforeLines="0" w:afterLines="0" w:line="240" w:lineRule="auto"/>
              <w:ind w:firstLine="0"/>
              <w:rPr>
                <w:rFonts w:ascii="Times New Roman"/>
                <w:snapToGrid w:val="0"/>
                <w:color w:val="000000" w:themeColor="text1"/>
                <w:kern w:val="21"/>
                <w:sz w:val="21"/>
                <w:szCs w:val="21"/>
                <w:highlight w:val="none"/>
                <w14:textFill>
                  <w14:solidFill>
                    <w14:schemeClr w14:val="tx1"/>
                  </w14:solidFill>
                </w14:textFill>
              </w:rPr>
            </w:pPr>
          </w:p>
        </w:tc>
        <w:tc>
          <w:tcPr>
            <w:tcW w:w="2170" w:type="dxa"/>
            <w:shd w:val="clear" w:color="auto" w:fill="auto"/>
            <w:noWrap w:val="0"/>
            <w:vAlign w:val="center"/>
          </w:tcPr>
          <w:p w14:paraId="74A566E1">
            <w:pPr>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脱硫石膏</w:t>
            </w:r>
          </w:p>
        </w:tc>
        <w:tc>
          <w:tcPr>
            <w:tcW w:w="1584" w:type="dxa"/>
            <w:shd w:val="clear" w:color="auto" w:fill="auto"/>
            <w:noWrap w:val="0"/>
            <w:vAlign w:val="center"/>
          </w:tcPr>
          <w:p w14:paraId="624FA763">
            <w:pPr>
              <w:widowControl/>
              <w:jc w:val="center"/>
              <w:rPr>
                <w:rFonts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r>
              <w:rPr>
                <w:color w:val="000000" w:themeColor="text1"/>
                <w:kern w:val="0"/>
                <w:sz w:val="24"/>
                <w:highlight w:val="none"/>
                <w14:textFill>
                  <w14:solidFill>
                    <w14:schemeClr w14:val="tx1"/>
                  </w14:solidFill>
                </w14:textFill>
              </w:rPr>
              <w:t>/</w:t>
            </w:r>
          </w:p>
        </w:tc>
        <w:tc>
          <w:tcPr>
            <w:tcW w:w="1307" w:type="dxa"/>
            <w:shd w:val="clear" w:color="auto" w:fill="auto"/>
            <w:noWrap w:val="0"/>
            <w:vAlign w:val="center"/>
          </w:tcPr>
          <w:p w14:paraId="1278F934">
            <w:pPr>
              <w:widowControl/>
              <w:jc w:val="center"/>
              <w:rPr>
                <w:rFonts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r>
              <w:rPr>
                <w:color w:val="000000" w:themeColor="text1"/>
                <w:kern w:val="0"/>
                <w:sz w:val="24"/>
                <w:highlight w:val="none"/>
                <w14:textFill>
                  <w14:solidFill>
                    <w14:schemeClr w14:val="tx1"/>
                  </w14:solidFill>
                </w14:textFill>
              </w:rPr>
              <w:t>/</w:t>
            </w:r>
          </w:p>
        </w:tc>
        <w:tc>
          <w:tcPr>
            <w:tcW w:w="1681" w:type="dxa"/>
            <w:shd w:val="clear" w:color="auto" w:fill="auto"/>
            <w:noWrap w:val="0"/>
            <w:vAlign w:val="center"/>
          </w:tcPr>
          <w:p w14:paraId="0EB269C8">
            <w:pPr>
              <w:widowControl/>
              <w:jc w:val="center"/>
              <w:rPr>
                <w:rFonts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r>
              <w:rPr>
                <w:color w:val="000000" w:themeColor="text1"/>
                <w:kern w:val="0"/>
                <w:sz w:val="24"/>
                <w:highlight w:val="none"/>
                <w14:textFill>
                  <w14:solidFill>
                    <w14:schemeClr w14:val="tx1"/>
                  </w14:solidFill>
                </w14:textFill>
              </w:rPr>
              <w:t>/</w:t>
            </w:r>
          </w:p>
        </w:tc>
        <w:tc>
          <w:tcPr>
            <w:tcW w:w="1416" w:type="dxa"/>
            <w:shd w:val="clear" w:color="auto" w:fill="auto"/>
            <w:noWrap w:val="0"/>
            <w:vAlign w:val="center"/>
          </w:tcPr>
          <w:p w14:paraId="451E2E2E">
            <w:pPr>
              <w:widowControl/>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1243</w:t>
            </w:r>
          </w:p>
        </w:tc>
        <w:tc>
          <w:tcPr>
            <w:tcW w:w="1318" w:type="dxa"/>
            <w:shd w:val="clear" w:color="auto" w:fill="auto"/>
            <w:noWrap w:val="0"/>
            <w:vAlign w:val="center"/>
          </w:tcPr>
          <w:p w14:paraId="0A20A477">
            <w:pPr>
              <w:widowControl/>
              <w:jc w:val="cente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r>
              <w:rPr>
                <w:rFonts w:hint="eastAsia"/>
                <w:snapToGrid w:val="0"/>
                <w:color w:val="000000" w:themeColor="text1"/>
                <w:kern w:val="21"/>
                <w:szCs w:val="21"/>
                <w:highlight w:val="none"/>
                <w:lang w:val="en-US" w:eastAsia="zh-CN"/>
                <w14:textFill>
                  <w14:solidFill>
                    <w14:schemeClr w14:val="tx1"/>
                  </w14:solidFill>
                </w14:textFill>
              </w:rPr>
              <w:t>0</w:t>
            </w:r>
          </w:p>
        </w:tc>
        <w:tc>
          <w:tcPr>
            <w:tcW w:w="1851" w:type="dxa"/>
            <w:shd w:val="clear" w:color="auto" w:fill="auto"/>
            <w:noWrap w:val="0"/>
            <w:vAlign w:val="center"/>
          </w:tcPr>
          <w:p w14:paraId="20B0719A">
            <w:pPr>
              <w:widowControl/>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1243</w:t>
            </w:r>
          </w:p>
        </w:tc>
        <w:tc>
          <w:tcPr>
            <w:tcW w:w="1120" w:type="dxa"/>
            <w:shd w:val="clear" w:color="auto" w:fill="auto"/>
            <w:noWrap w:val="0"/>
            <w:vAlign w:val="center"/>
          </w:tcPr>
          <w:p w14:paraId="78274D1A">
            <w:pPr>
              <w:widowControl/>
              <w:jc w:val="cente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+1243</w:t>
            </w:r>
          </w:p>
        </w:tc>
      </w:tr>
      <w:tr w14:paraId="41C68E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41" w:type="dxa"/>
            <w:vMerge w:val="restart"/>
            <w:noWrap w:val="0"/>
            <w:vAlign w:val="center"/>
          </w:tcPr>
          <w:p w14:paraId="12001AE3">
            <w:pPr>
              <w:pStyle w:val="31"/>
              <w:spacing w:beforeLines="0" w:afterLines="0" w:line="240" w:lineRule="auto"/>
              <w:ind w:firstLine="0"/>
              <w:rPr>
                <w:rFonts w:hint="default" w:ascii="Times New Roman" w:eastAsia="宋体"/>
                <w:snapToGrid w:val="0"/>
                <w:color w:val="000000" w:themeColor="text1"/>
                <w:kern w:val="21"/>
                <w:sz w:val="21"/>
                <w:szCs w:val="21"/>
                <w:highlight w:val="none"/>
                <w:lang w:val="en-US" w:eastAsia="zh-CN"/>
                <w14:textFill>
                  <w14:solidFill>
                    <w14:schemeClr w14:val="tx1"/>
                  </w14:solidFill>
                </w14:textFill>
              </w:rPr>
            </w:pPr>
            <w:r>
              <w:rPr>
                <w:rFonts w:hint="eastAsia" w:ascii="Times New Roman"/>
                <w:snapToGrid w:val="0"/>
                <w:color w:val="000000" w:themeColor="text1"/>
                <w:kern w:val="21"/>
                <w:sz w:val="21"/>
                <w:szCs w:val="21"/>
                <w:highlight w:val="none"/>
                <w:lang w:val="en-US" w:eastAsia="zh-CN"/>
                <w14:textFill>
                  <w14:solidFill>
                    <w14:schemeClr w14:val="tx1"/>
                  </w14:solidFill>
                </w14:textFill>
              </w:rPr>
              <w:t>危险固废</w:t>
            </w:r>
          </w:p>
        </w:tc>
        <w:tc>
          <w:tcPr>
            <w:tcW w:w="2170" w:type="dxa"/>
            <w:noWrap w:val="0"/>
            <w:vAlign w:val="center"/>
          </w:tcPr>
          <w:p w14:paraId="32602B28">
            <w:pPr>
              <w:jc w:val="center"/>
              <w:rPr>
                <w:rFonts w:hint="eastAsia" w:eastAsia="宋体"/>
                <w:color w:val="000000" w:themeColor="text1"/>
                <w:szCs w:val="21"/>
                <w:highlight w:val="none"/>
                <w:lang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脱硫废水处理</w:t>
            </w:r>
            <w:r>
              <w:rPr>
                <w:rFonts w:hint="eastAsia"/>
                <w:color w:val="000000" w:themeColor="text1"/>
                <w:szCs w:val="21"/>
                <w:highlight w:val="none"/>
                <w:lang w:eastAsia="zh-CN"/>
                <w14:textFill>
                  <w14:solidFill>
                    <w14:schemeClr w14:val="tx1"/>
                  </w14:solidFill>
                </w14:textFill>
              </w:rPr>
              <w:t>污泥</w:t>
            </w:r>
          </w:p>
        </w:tc>
        <w:tc>
          <w:tcPr>
            <w:tcW w:w="1584" w:type="dxa"/>
            <w:noWrap w:val="0"/>
            <w:vAlign w:val="center"/>
          </w:tcPr>
          <w:p w14:paraId="3099496C">
            <w:pPr>
              <w:widowControl/>
              <w:jc w:val="center"/>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w:t>
            </w:r>
          </w:p>
        </w:tc>
        <w:tc>
          <w:tcPr>
            <w:tcW w:w="1307" w:type="dxa"/>
            <w:noWrap w:val="0"/>
            <w:vAlign w:val="center"/>
          </w:tcPr>
          <w:p w14:paraId="00155BFD">
            <w:pPr>
              <w:widowControl/>
              <w:jc w:val="center"/>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w:t>
            </w:r>
          </w:p>
        </w:tc>
        <w:tc>
          <w:tcPr>
            <w:tcW w:w="1681" w:type="dxa"/>
            <w:noWrap w:val="0"/>
            <w:vAlign w:val="center"/>
          </w:tcPr>
          <w:p w14:paraId="5BFA329E">
            <w:pPr>
              <w:widowControl/>
              <w:jc w:val="center"/>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w:t>
            </w:r>
          </w:p>
        </w:tc>
        <w:tc>
          <w:tcPr>
            <w:tcW w:w="1416" w:type="dxa"/>
            <w:noWrap w:val="0"/>
            <w:vAlign w:val="center"/>
          </w:tcPr>
          <w:p w14:paraId="7A36E0F4">
            <w:pPr>
              <w:widowControl/>
              <w:jc w:val="center"/>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6</w:t>
            </w:r>
          </w:p>
        </w:tc>
        <w:tc>
          <w:tcPr>
            <w:tcW w:w="1318" w:type="dxa"/>
            <w:noWrap w:val="0"/>
            <w:vAlign w:val="center"/>
          </w:tcPr>
          <w:p w14:paraId="0B87E0AF">
            <w:pPr>
              <w:widowControl/>
              <w:jc w:val="center"/>
              <w:rPr>
                <w:rFonts w:hint="eastAsia" w:eastAsia="宋体"/>
                <w:snapToGrid w:val="0"/>
                <w:color w:val="000000" w:themeColor="text1"/>
                <w:kern w:val="21"/>
                <w:szCs w:val="21"/>
                <w:highlight w:val="none"/>
                <w:lang w:val="en-US" w:eastAsia="zh-CN"/>
                <w14:textFill>
                  <w14:solidFill>
                    <w14:schemeClr w14:val="tx1"/>
                  </w14:solidFill>
                </w14:textFill>
              </w:rPr>
            </w:pPr>
            <w:r>
              <w:rPr>
                <w:rFonts w:hint="eastAsia"/>
                <w:snapToGrid w:val="0"/>
                <w:color w:val="000000" w:themeColor="text1"/>
                <w:kern w:val="21"/>
                <w:szCs w:val="21"/>
                <w:highlight w:val="none"/>
                <w:lang w:val="en-US" w:eastAsia="zh-CN"/>
                <w14:textFill>
                  <w14:solidFill>
                    <w14:schemeClr w14:val="tx1"/>
                  </w14:solidFill>
                </w14:textFill>
              </w:rPr>
              <w:t>0</w:t>
            </w:r>
          </w:p>
        </w:tc>
        <w:tc>
          <w:tcPr>
            <w:tcW w:w="1851" w:type="dxa"/>
            <w:noWrap w:val="0"/>
            <w:vAlign w:val="center"/>
          </w:tcPr>
          <w:p w14:paraId="5D625D3B">
            <w:pPr>
              <w:widowControl/>
              <w:jc w:val="center"/>
              <w:rPr>
                <w:rFonts w:hint="default" w:eastAsia="宋体"/>
                <w:snapToGrid w:val="0"/>
                <w:color w:val="000000" w:themeColor="text1"/>
                <w:kern w:val="2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6</w:t>
            </w:r>
          </w:p>
        </w:tc>
        <w:tc>
          <w:tcPr>
            <w:tcW w:w="1120" w:type="dxa"/>
            <w:noWrap w:val="0"/>
            <w:vAlign w:val="center"/>
          </w:tcPr>
          <w:p w14:paraId="12FD3C75">
            <w:pPr>
              <w:widowControl/>
              <w:jc w:val="center"/>
              <w:rPr>
                <w:rFonts w:hint="default" w:eastAsia="宋体"/>
                <w:color w:val="000000" w:themeColor="text1"/>
                <w:kern w:val="0"/>
                <w:szCs w:val="21"/>
                <w:highlight w:val="none"/>
                <w:lang w:val="en-US" w:eastAsia="zh-CN"/>
                <w14:textFill>
                  <w14:solidFill>
                    <w14:schemeClr w14:val="tx1"/>
                  </w14:solidFill>
                </w14:textFill>
              </w:rPr>
            </w:pPr>
            <w:r>
              <w:rPr>
                <w:rFonts w:hint="eastAsia"/>
                <w:color w:val="000000" w:themeColor="text1"/>
                <w:kern w:val="0"/>
                <w:szCs w:val="21"/>
                <w:highlight w:val="none"/>
                <w:lang w:val="en-US" w:eastAsia="zh-CN"/>
                <w14:textFill>
                  <w14:solidFill>
                    <w14:schemeClr w14:val="tx1"/>
                  </w14:solidFill>
                </w14:textFill>
              </w:rPr>
              <w:t>+</w:t>
            </w:r>
            <w:r>
              <w:rPr>
                <w:rFonts w:hint="eastAsia"/>
                <w:color w:val="000000" w:themeColor="text1"/>
                <w:szCs w:val="21"/>
                <w:highlight w:val="none"/>
                <w:lang w:val="en-US" w:eastAsia="zh-CN"/>
                <w14:textFill>
                  <w14:solidFill>
                    <w14:schemeClr w14:val="tx1"/>
                  </w14:solidFill>
                </w14:textFill>
              </w:rPr>
              <w:t>6</w:t>
            </w:r>
          </w:p>
        </w:tc>
      </w:tr>
      <w:tr w14:paraId="70C5CF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41" w:type="dxa"/>
            <w:vMerge w:val="continue"/>
            <w:noWrap w:val="0"/>
            <w:vAlign w:val="center"/>
          </w:tcPr>
          <w:p w14:paraId="3980638F">
            <w:pPr>
              <w:pStyle w:val="31"/>
              <w:spacing w:beforeLines="0" w:afterLines="0" w:line="240" w:lineRule="auto"/>
              <w:ind w:firstLine="0"/>
              <w:rPr>
                <w:rFonts w:ascii="Times New Roman"/>
                <w:snapToGrid w:val="0"/>
                <w:color w:val="000000" w:themeColor="text1"/>
                <w:kern w:val="21"/>
                <w:sz w:val="21"/>
                <w:szCs w:val="21"/>
                <w:highlight w:val="none"/>
                <w14:textFill>
                  <w14:solidFill>
                    <w14:schemeClr w14:val="tx1"/>
                  </w14:solidFill>
                </w14:textFill>
              </w:rPr>
            </w:pPr>
          </w:p>
        </w:tc>
        <w:tc>
          <w:tcPr>
            <w:tcW w:w="2170" w:type="dxa"/>
            <w:shd w:val="clear" w:color="auto" w:fill="auto"/>
            <w:noWrap w:val="0"/>
            <w:vAlign w:val="center"/>
          </w:tcPr>
          <w:p w14:paraId="255D50E6">
            <w:pPr>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废油</w:t>
            </w:r>
          </w:p>
        </w:tc>
        <w:tc>
          <w:tcPr>
            <w:tcW w:w="1584" w:type="dxa"/>
            <w:shd w:val="clear" w:color="auto" w:fill="auto"/>
            <w:noWrap w:val="0"/>
            <w:vAlign w:val="center"/>
          </w:tcPr>
          <w:p w14:paraId="3D66BEFB">
            <w:pPr>
              <w:widowControl/>
              <w:jc w:val="center"/>
              <w:rPr>
                <w:rFonts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r>
              <w:rPr>
                <w:color w:val="000000" w:themeColor="text1"/>
                <w:kern w:val="0"/>
                <w:sz w:val="24"/>
                <w:highlight w:val="none"/>
                <w14:textFill>
                  <w14:solidFill>
                    <w14:schemeClr w14:val="tx1"/>
                  </w14:solidFill>
                </w14:textFill>
              </w:rPr>
              <w:t>/</w:t>
            </w:r>
          </w:p>
        </w:tc>
        <w:tc>
          <w:tcPr>
            <w:tcW w:w="1307" w:type="dxa"/>
            <w:shd w:val="clear" w:color="auto" w:fill="auto"/>
            <w:noWrap w:val="0"/>
            <w:vAlign w:val="center"/>
          </w:tcPr>
          <w:p w14:paraId="0051919C">
            <w:pPr>
              <w:widowControl/>
              <w:jc w:val="center"/>
              <w:rPr>
                <w:rFonts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r>
              <w:rPr>
                <w:color w:val="000000" w:themeColor="text1"/>
                <w:kern w:val="0"/>
                <w:sz w:val="24"/>
                <w:highlight w:val="none"/>
                <w14:textFill>
                  <w14:solidFill>
                    <w14:schemeClr w14:val="tx1"/>
                  </w14:solidFill>
                </w14:textFill>
              </w:rPr>
              <w:t>/</w:t>
            </w:r>
          </w:p>
        </w:tc>
        <w:tc>
          <w:tcPr>
            <w:tcW w:w="1681" w:type="dxa"/>
            <w:shd w:val="clear" w:color="auto" w:fill="auto"/>
            <w:noWrap w:val="0"/>
            <w:vAlign w:val="center"/>
          </w:tcPr>
          <w:p w14:paraId="06B42856">
            <w:pPr>
              <w:widowControl/>
              <w:jc w:val="center"/>
              <w:rPr>
                <w:rFonts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r>
              <w:rPr>
                <w:color w:val="000000" w:themeColor="text1"/>
                <w:kern w:val="0"/>
                <w:sz w:val="24"/>
                <w:highlight w:val="none"/>
                <w14:textFill>
                  <w14:solidFill>
                    <w14:schemeClr w14:val="tx1"/>
                  </w14:solidFill>
                </w14:textFill>
              </w:rPr>
              <w:t>/</w:t>
            </w:r>
          </w:p>
        </w:tc>
        <w:tc>
          <w:tcPr>
            <w:tcW w:w="1416" w:type="dxa"/>
            <w:shd w:val="clear" w:color="auto" w:fill="auto"/>
            <w:noWrap w:val="0"/>
            <w:vAlign w:val="center"/>
          </w:tcPr>
          <w:p w14:paraId="7154BBBB">
            <w:pPr>
              <w:widowControl/>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1</w:t>
            </w:r>
          </w:p>
        </w:tc>
        <w:tc>
          <w:tcPr>
            <w:tcW w:w="1318" w:type="dxa"/>
            <w:shd w:val="clear" w:color="auto" w:fill="auto"/>
            <w:noWrap w:val="0"/>
            <w:vAlign w:val="center"/>
          </w:tcPr>
          <w:p w14:paraId="46FD3AD8">
            <w:pPr>
              <w:widowControl/>
              <w:jc w:val="center"/>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r>
              <w:rPr>
                <w:rFonts w:hint="eastAsia"/>
                <w:snapToGrid w:val="0"/>
                <w:color w:val="000000" w:themeColor="text1"/>
                <w:kern w:val="21"/>
                <w:szCs w:val="21"/>
                <w:highlight w:val="none"/>
                <w:lang w:val="en-US" w:eastAsia="zh-CN"/>
                <w14:textFill>
                  <w14:solidFill>
                    <w14:schemeClr w14:val="tx1"/>
                  </w14:solidFill>
                </w14:textFill>
              </w:rPr>
              <w:t>0</w:t>
            </w:r>
          </w:p>
        </w:tc>
        <w:tc>
          <w:tcPr>
            <w:tcW w:w="1851" w:type="dxa"/>
            <w:shd w:val="clear" w:color="auto" w:fill="auto"/>
            <w:noWrap w:val="0"/>
            <w:vAlign w:val="center"/>
          </w:tcPr>
          <w:p w14:paraId="09B40C6E">
            <w:pPr>
              <w:widowControl/>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1</w:t>
            </w:r>
          </w:p>
        </w:tc>
        <w:tc>
          <w:tcPr>
            <w:tcW w:w="1120" w:type="dxa"/>
            <w:shd w:val="clear" w:color="auto" w:fill="auto"/>
            <w:noWrap w:val="0"/>
            <w:vAlign w:val="center"/>
          </w:tcPr>
          <w:p w14:paraId="6BB82DF7">
            <w:pPr>
              <w:widowControl/>
              <w:jc w:val="center"/>
              <w:rPr>
                <w:rFonts w:hint="eastAsia"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eastAsia"/>
                <w:color w:val="000000" w:themeColor="text1"/>
                <w:kern w:val="0"/>
                <w:szCs w:val="21"/>
                <w:highlight w:val="none"/>
                <w:lang w:val="en-US" w:eastAsia="zh-CN"/>
                <w14:textFill>
                  <w14:solidFill>
                    <w14:schemeClr w14:val="tx1"/>
                  </w14:solidFill>
                </w14:textFill>
              </w:rPr>
              <w:t>+1</w:t>
            </w:r>
          </w:p>
        </w:tc>
      </w:tr>
      <w:tr w14:paraId="0AB08C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41" w:type="dxa"/>
            <w:vMerge w:val="continue"/>
            <w:noWrap w:val="0"/>
            <w:vAlign w:val="center"/>
          </w:tcPr>
          <w:p w14:paraId="03BCF43C">
            <w:pPr>
              <w:pStyle w:val="31"/>
              <w:spacing w:beforeLines="0" w:afterLines="0" w:line="240" w:lineRule="auto"/>
              <w:ind w:firstLine="0"/>
              <w:rPr>
                <w:rFonts w:ascii="Times New Roman"/>
                <w:snapToGrid w:val="0"/>
                <w:color w:val="000000" w:themeColor="text1"/>
                <w:kern w:val="21"/>
                <w:sz w:val="21"/>
                <w:szCs w:val="21"/>
                <w:highlight w:val="none"/>
                <w14:textFill>
                  <w14:solidFill>
                    <w14:schemeClr w14:val="tx1"/>
                  </w14:solidFill>
                </w14:textFill>
              </w:rPr>
            </w:pPr>
          </w:p>
        </w:tc>
        <w:tc>
          <w:tcPr>
            <w:tcW w:w="2170" w:type="dxa"/>
            <w:shd w:val="clear" w:color="auto" w:fill="auto"/>
            <w:noWrap w:val="0"/>
            <w:vAlign w:val="center"/>
          </w:tcPr>
          <w:p w14:paraId="058E191F">
            <w:pPr>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废油桶</w:t>
            </w:r>
          </w:p>
        </w:tc>
        <w:tc>
          <w:tcPr>
            <w:tcW w:w="1584" w:type="dxa"/>
            <w:shd w:val="clear" w:color="auto" w:fill="auto"/>
            <w:noWrap w:val="0"/>
            <w:vAlign w:val="center"/>
          </w:tcPr>
          <w:p w14:paraId="64E7B3F7">
            <w:pPr>
              <w:widowControl/>
              <w:jc w:val="center"/>
              <w:rPr>
                <w:rFonts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r>
              <w:rPr>
                <w:color w:val="000000" w:themeColor="text1"/>
                <w:kern w:val="0"/>
                <w:sz w:val="24"/>
                <w:highlight w:val="none"/>
                <w14:textFill>
                  <w14:solidFill>
                    <w14:schemeClr w14:val="tx1"/>
                  </w14:solidFill>
                </w14:textFill>
              </w:rPr>
              <w:t>/</w:t>
            </w:r>
          </w:p>
        </w:tc>
        <w:tc>
          <w:tcPr>
            <w:tcW w:w="1307" w:type="dxa"/>
            <w:shd w:val="clear" w:color="auto" w:fill="auto"/>
            <w:noWrap w:val="0"/>
            <w:vAlign w:val="center"/>
          </w:tcPr>
          <w:p w14:paraId="0DEE0386">
            <w:pPr>
              <w:widowControl/>
              <w:jc w:val="center"/>
              <w:rPr>
                <w:rFonts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r>
              <w:rPr>
                <w:color w:val="000000" w:themeColor="text1"/>
                <w:kern w:val="0"/>
                <w:sz w:val="24"/>
                <w:highlight w:val="none"/>
                <w14:textFill>
                  <w14:solidFill>
                    <w14:schemeClr w14:val="tx1"/>
                  </w14:solidFill>
                </w14:textFill>
              </w:rPr>
              <w:t>/</w:t>
            </w:r>
          </w:p>
        </w:tc>
        <w:tc>
          <w:tcPr>
            <w:tcW w:w="1681" w:type="dxa"/>
            <w:shd w:val="clear" w:color="auto" w:fill="auto"/>
            <w:noWrap w:val="0"/>
            <w:vAlign w:val="center"/>
          </w:tcPr>
          <w:p w14:paraId="0730C251">
            <w:pPr>
              <w:widowControl/>
              <w:jc w:val="center"/>
              <w:rPr>
                <w:rFonts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r>
              <w:rPr>
                <w:color w:val="000000" w:themeColor="text1"/>
                <w:kern w:val="0"/>
                <w:sz w:val="24"/>
                <w:highlight w:val="none"/>
                <w14:textFill>
                  <w14:solidFill>
                    <w14:schemeClr w14:val="tx1"/>
                  </w14:solidFill>
                </w14:textFill>
              </w:rPr>
              <w:t>/</w:t>
            </w:r>
          </w:p>
        </w:tc>
        <w:tc>
          <w:tcPr>
            <w:tcW w:w="1416" w:type="dxa"/>
            <w:shd w:val="clear" w:color="auto" w:fill="auto"/>
            <w:noWrap w:val="0"/>
            <w:vAlign w:val="center"/>
          </w:tcPr>
          <w:p w14:paraId="3317C40F">
            <w:pPr>
              <w:widowControl/>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1</w:t>
            </w:r>
          </w:p>
        </w:tc>
        <w:tc>
          <w:tcPr>
            <w:tcW w:w="1318" w:type="dxa"/>
            <w:shd w:val="clear" w:color="auto" w:fill="auto"/>
            <w:noWrap w:val="0"/>
            <w:vAlign w:val="center"/>
          </w:tcPr>
          <w:p w14:paraId="4E843FC1">
            <w:pPr>
              <w:widowControl/>
              <w:jc w:val="center"/>
              <w:rPr>
                <w:rFonts w:hint="eastAsia"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r>
              <w:rPr>
                <w:rFonts w:hint="eastAsia"/>
                <w:snapToGrid w:val="0"/>
                <w:color w:val="000000" w:themeColor="text1"/>
                <w:kern w:val="21"/>
                <w:szCs w:val="21"/>
                <w:highlight w:val="none"/>
                <w:lang w:val="en-US" w:eastAsia="zh-CN"/>
                <w14:textFill>
                  <w14:solidFill>
                    <w14:schemeClr w14:val="tx1"/>
                  </w14:solidFill>
                </w14:textFill>
              </w:rPr>
              <w:t>0</w:t>
            </w:r>
          </w:p>
        </w:tc>
        <w:tc>
          <w:tcPr>
            <w:tcW w:w="1851" w:type="dxa"/>
            <w:shd w:val="clear" w:color="auto" w:fill="auto"/>
            <w:noWrap w:val="0"/>
            <w:vAlign w:val="center"/>
          </w:tcPr>
          <w:p w14:paraId="647A7E5B">
            <w:pPr>
              <w:widowControl/>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1</w:t>
            </w:r>
          </w:p>
        </w:tc>
        <w:tc>
          <w:tcPr>
            <w:tcW w:w="1120" w:type="dxa"/>
            <w:shd w:val="clear" w:color="auto" w:fill="auto"/>
            <w:noWrap w:val="0"/>
            <w:vAlign w:val="center"/>
          </w:tcPr>
          <w:p w14:paraId="63DF0CBE">
            <w:pPr>
              <w:widowControl/>
              <w:jc w:val="cente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eastAsia"/>
                <w:color w:val="000000" w:themeColor="text1"/>
                <w:kern w:val="0"/>
                <w:szCs w:val="21"/>
                <w:highlight w:val="none"/>
                <w:lang w:val="en-US" w:eastAsia="zh-CN"/>
                <w14:textFill>
                  <w14:solidFill>
                    <w14:schemeClr w14:val="tx1"/>
                  </w14:solidFill>
                </w14:textFill>
              </w:rPr>
              <w:t>+1</w:t>
            </w:r>
          </w:p>
        </w:tc>
      </w:tr>
    </w:tbl>
    <w:p w14:paraId="7737C875">
      <w:pPr>
        <w:pStyle w:val="20"/>
        <w:adjustRightInd w:val="0"/>
        <w:snapToGrid w:val="0"/>
        <w:spacing w:before="0" w:beforeAutospacing="0" w:after="0" w:afterAutospacing="0" w:line="500" w:lineRule="exact"/>
        <w:outlineLvl w:val="9"/>
        <w:rPr>
          <w:rFonts w:ascii="Times New Roman" w:hAnsi="Times New Roman" w:eastAsia="黑体"/>
          <w:snapToGrid w:val="0"/>
          <w:color w:val="000000" w:themeColor="text1"/>
          <w:sz w:val="30"/>
          <w:szCs w:val="30"/>
          <w:highlight w:val="none"/>
          <w14:textFill>
            <w14:solidFill>
              <w14:schemeClr w14:val="tx1"/>
            </w14:solidFill>
          </w14:textFill>
        </w:rPr>
      </w:pPr>
      <w:r>
        <w:rPr>
          <w:rFonts w:ascii="Times New Roman"/>
          <w:snapToGrid w:val="0"/>
          <w:color w:val="000000" w:themeColor="text1"/>
          <w:kern w:val="21"/>
          <w:szCs w:val="21"/>
          <w:highlight w:val="none"/>
          <w14:textFill>
            <w14:solidFill>
              <w14:schemeClr w14:val="tx1"/>
            </w14:solidFill>
          </w14:textFill>
        </w:rPr>
        <w:t>注：</w:t>
      </w:r>
      <w:r>
        <w:rPr>
          <w:rFonts w:ascii="Times New Roman"/>
          <w:snapToGrid w:val="0"/>
          <w:color w:val="000000" w:themeColor="text1"/>
          <w:spacing w:val="-16"/>
          <w:kern w:val="21"/>
          <w:szCs w:val="21"/>
          <w:highlight w:val="none"/>
          <w14:textFill>
            <w14:solidFill>
              <w14:schemeClr w14:val="tx1"/>
            </w14:solidFill>
          </w14:textFill>
        </w:rPr>
        <w:fldChar w:fldCharType="begin"/>
      </w:r>
      <w:r>
        <w:rPr>
          <w:rFonts w:ascii="Times New Roman"/>
          <w:snapToGrid w:val="0"/>
          <w:color w:val="000000" w:themeColor="text1"/>
          <w:spacing w:val="-16"/>
          <w:kern w:val="21"/>
          <w:szCs w:val="21"/>
          <w:highlight w:val="none"/>
          <w14:textFill>
            <w14:solidFill>
              <w14:schemeClr w14:val="tx1"/>
            </w14:solidFill>
          </w14:textFill>
        </w:rPr>
        <w:instrText xml:space="preserve"> = 6 \* GB3 \* MERGEFORMAT </w:instrText>
      </w:r>
      <w:r>
        <w:rPr>
          <w:rFonts w:ascii="Times New Roman"/>
          <w:snapToGrid w:val="0"/>
          <w:color w:val="000000" w:themeColor="text1"/>
          <w:spacing w:val="-16"/>
          <w:kern w:val="21"/>
          <w:szCs w:val="21"/>
          <w:highlight w:val="none"/>
          <w14:textFill>
            <w14:solidFill>
              <w14:schemeClr w14:val="tx1"/>
            </w14:solidFill>
          </w14:textFill>
        </w:rPr>
        <w:fldChar w:fldCharType="separate"/>
      </w:r>
      <w:r>
        <w:rPr>
          <w:rFonts w:ascii="Times New Roman"/>
          <w:color w:val="000000" w:themeColor="text1"/>
          <w:szCs w:val="21"/>
          <w:highlight w:val="none"/>
          <w14:textFill>
            <w14:solidFill>
              <w14:schemeClr w14:val="tx1"/>
            </w14:solidFill>
          </w14:textFill>
        </w:rPr>
        <w:t>⑥</w:t>
      </w:r>
      <w:r>
        <w:rPr>
          <w:rFonts w:ascii="Times New Roman"/>
          <w:snapToGrid w:val="0"/>
          <w:color w:val="000000" w:themeColor="text1"/>
          <w:spacing w:val="-16"/>
          <w:kern w:val="21"/>
          <w:szCs w:val="21"/>
          <w:highlight w:val="none"/>
          <w14:textFill>
            <w14:solidFill>
              <w14:schemeClr w14:val="tx1"/>
            </w14:solidFill>
          </w14:textFill>
        </w:rPr>
        <w:fldChar w:fldCharType="end"/>
      </w:r>
      <w:r>
        <w:rPr>
          <w:rFonts w:ascii="Times New Roman"/>
          <w:snapToGrid w:val="0"/>
          <w:color w:val="000000" w:themeColor="text1"/>
          <w:spacing w:val="-16"/>
          <w:kern w:val="21"/>
          <w:szCs w:val="21"/>
          <w:highlight w:val="none"/>
          <w14:textFill>
            <w14:solidFill>
              <w14:schemeClr w14:val="tx1"/>
            </w14:solidFill>
          </w14:textFill>
        </w:rPr>
        <w:t>=</w:t>
      </w:r>
      <w:r>
        <w:rPr>
          <w:rFonts w:ascii="Times New Roman"/>
          <w:snapToGrid w:val="0"/>
          <w:color w:val="000000" w:themeColor="text1"/>
          <w:spacing w:val="-6"/>
          <w:kern w:val="21"/>
          <w:szCs w:val="21"/>
          <w:highlight w:val="none"/>
          <w14:textFill>
            <w14:solidFill>
              <w14:schemeClr w14:val="tx1"/>
            </w14:solidFill>
          </w14:textFill>
        </w:rPr>
        <w:fldChar w:fldCharType="begin"/>
      </w:r>
      <w:r>
        <w:rPr>
          <w:rFonts w:ascii="Times New Roman"/>
          <w:snapToGrid w:val="0"/>
          <w:color w:val="000000" w:themeColor="text1"/>
          <w:spacing w:val="-6"/>
          <w:kern w:val="21"/>
          <w:szCs w:val="21"/>
          <w:highlight w:val="none"/>
          <w14:textFill>
            <w14:solidFill>
              <w14:schemeClr w14:val="tx1"/>
            </w14:solidFill>
          </w14:textFill>
        </w:rPr>
        <w:instrText xml:space="preserve"> = 1 \* GB3 \* MERGEFORMAT </w:instrText>
      </w:r>
      <w:r>
        <w:rPr>
          <w:rFonts w:ascii="Times New Roman"/>
          <w:snapToGrid w:val="0"/>
          <w:color w:val="000000" w:themeColor="text1"/>
          <w:spacing w:val="-6"/>
          <w:kern w:val="21"/>
          <w:szCs w:val="21"/>
          <w:highlight w:val="none"/>
          <w14:textFill>
            <w14:solidFill>
              <w14:schemeClr w14:val="tx1"/>
            </w14:solidFill>
          </w14:textFill>
        </w:rPr>
        <w:fldChar w:fldCharType="separate"/>
      </w:r>
      <w:r>
        <w:rPr>
          <w:rFonts w:ascii="Times New Roman"/>
          <w:color w:val="000000" w:themeColor="text1"/>
          <w:szCs w:val="21"/>
          <w:highlight w:val="none"/>
          <w14:textFill>
            <w14:solidFill>
              <w14:schemeClr w14:val="tx1"/>
            </w14:solidFill>
          </w14:textFill>
        </w:rPr>
        <w:t>①</w:t>
      </w:r>
      <w:r>
        <w:rPr>
          <w:rFonts w:ascii="Times New Roman"/>
          <w:snapToGrid w:val="0"/>
          <w:color w:val="000000" w:themeColor="text1"/>
          <w:spacing w:val="-6"/>
          <w:kern w:val="21"/>
          <w:szCs w:val="21"/>
          <w:highlight w:val="none"/>
          <w14:textFill>
            <w14:solidFill>
              <w14:schemeClr w14:val="tx1"/>
            </w14:solidFill>
          </w14:textFill>
        </w:rPr>
        <w:fldChar w:fldCharType="end"/>
      </w:r>
      <w:r>
        <w:rPr>
          <w:rFonts w:ascii="Times New Roman"/>
          <w:snapToGrid w:val="0"/>
          <w:color w:val="000000" w:themeColor="text1"/>
          <w:spacing w:val="-6"/>
          <w:kern w:val="21"/>
          <w:szCs w:val="21"/>
          <w:highlight w:val="none"/>
          <w14:textFill>
            <w14:solidFill>
              <w14:schemeClr w14:val="tx1"/>
            </w14:solidFill>
          </w14:textFill>
        </w:rPr>
        <w:t>+</w:t>
      </w:r>
      <w:r>
        <w:rPr>
          <w:rFonts w:ascii="Times New Roman"/>
          <w:snapToGrid w:val="0"/>
          <w:color w:val="000000" w:themeColor="text1"/>
          <w:spacing w:val="-6"/>
          <w:kern w:val="21"/>
          <w:szCs w:val="21"/>
          <w:highlight w:val="none"/>
          <w14:textFill>
            <w14:solidFill>
              <w14:schemeClr w14:val="tx1"/>
            </w14:solidFill>
          </w14:textFill>
        </w:rPr>
        <w:fldChar w:fldCharType="begin"/>
      </w:r>
      <w:r>
        <w:rPr>
          <w:rFonts w:ascii="Times New Roman"/>
          <w:snapToGrid w:val="0"/>
          <w:color w:val="000000" w:themeColor="text1"/>
          <w:spacing w:val="-6"/>
          <w:kern w:val="21"/>
          <w:szCs w:val="21"/>
          <w:highlight w:val="none"/>
          <w14:textFill>
            <w14:solidFill>
              <w14:schemeClr w14:val="tx1"/>
            </w14:solidFill>
          </w14:textFill>
        </w:rPr>
        <w:instrText xml:space="preserve"> = 3 \* GB3 \* MERGEFORMAT </w:instrText>
      </w:r>
      <w:r>
        <w:rPr>
          <w:rFonts w:ascii="Times New Roman"/>
          <w:snapToGrid w:val="0"/>
          <w:color w:val="000000" w:themeColor="text1"/>
          <w:spacing w:val="-6"/>
          <w:kern w:val="21"/>
          <w:szCs w:val="21"/>
          <w:highlight w:val="none"/>
          <w14:textFill>
            <w14:solidFill>
              <w14:schemeClr w14:val="tx1"/>
            </w14:solidFill>
          </w14:textFill>
        </w:rPr>
        <w:fldChar w:fldCharType="separate"/>
      </w:r>
      <w:r>
        <w:rPr>
          <w:rFonts w:ascii="Times New Roman"/>
          <w:color w:val="000000" w:themeColor="text1"/>
          <w:szCs w:val="21"/>
          <w:highlight w:val="none"/>
          <w14:textFill>
            <w14:solidFill>
              <w14:schemeClr w14:val="tx1"/>
            </w14:solidFill>
          </w14:textFill>
        </w:rPr>
        <w:t>③</w:t>
      </w:r>
      <w:r>
        <w:rPr>
          <w:rFonts w:ascii="Times New Roman"/>
          <w:snapToGrid w:val="0"/>
          <w:color w:val="000000" w:themeColor="text1"/>
          <w:spacing w:val="-6"/>
          <w:kern w:val="21"/>
          <w:szCs w:val="21"/>
          <w:highlight w:val="none"/>
          <w14:textFill>
            <w14:solidFill>
              <w14:schemeClr w14:val="tx1"/>
            </w14:solidFill>
          </w14:textFill>
        </w:rPr>
        <w:fldChar w:fldCharType="end"/>
      </w:r>
      <w:r>
        <w:rPr>
          <w:rFonts w:ascii="Times New Roman"/>
          <w:snapToGrid w:val="0"/>
          <w:color w:val="000000" w:themeColor="text1"/>
          <w:spacing w:val="-6"/>
          <w:kern w:val="21"/>
          <w:szCs w:val="21"/>
          <w:highlight w:val="none"/>
          <w14:textFill>
            <w14:solidFill>
              <w14:schemeClr w14:val="tx1"/>
            </w14:solidFill>
          </w14:textFill>
        </w:rPr>
        <w:t>+</w:t>
      </w:r>
      <w:r>
        <w:rPr>
          <w:rFonts w:ascii="Times New Roman"/>
          <w:snapToGrid w:val="0"/>
          <w:color w:val="000000" w:themeColor="text1"/>
          <w:spacing w:val="-6"/>
          <w:kern w:val="21"/>
          <w:szCs w:val="21"/>
          <w:highlight w:val="none"/>
          <w14:textFill>
            <w14:solidFill>
              <w14:schemeClr w14:val="tx1"/>
            </w14:solidFill>
          </w14:textFill>
        </w:rPr>
        <w:fldChar w:fldCharType="begin"/>
      </w:r>
      <w:r>
        <w:rPr>
          <w:rFonts w:ascii="Times New Roman"/>
          <w:snapToGrid w:val="0"/>
          <w:color w:val="000000" w:themeColor="text1"/>
          <w:spacing w:val="-6"/>
          <w:kern w:val="21"/>
          <w:szCs w:val="21"/>
          <w:highlight w:val="none"/>
          <w14:textFill>
            <w14:solidFill>
              <w14:schemeClr w14:val="tx1"/>
            </w14:solidFill>
          </w14:textFill>
        </w:rPr>
        <w:instrText xml:space="preserve"> = 4 \* GB3 \* MERGEFORMAT </w:instrText>
      </w:r>
      <w:r>
        <w:rPr>
          <w:rFonts w:ascii="Times New Roman"/>
          <w:snapToGrid w:val="0"/>
          <w:color w:val="000000" w:themeColor="text1"/>
          <w:spacing w:val="-6"/>
          <w:kern w:val="21"/>
          <w:szCs w:val="21"/>
          <w:highlight w:val="none"/>
          <w14:textFill>
            <w14:solidFill>
              <w14:schemeClr w14:val="tx1"/>
            </w14:solidFill>
          </w14:textFill>
        </w:rPr>
        <w:fldChar w:fldCharType="separate"/>
      </w:r>
      <w:r>
        <w:rPr>
          <w:rFonts w:ascii="Times New Roman"/>
          <w:color w:val="000000" w:themeColor="text1"/>
          <w:szCs w:val="21"/>
          <w:highlight w:val="none"/>
          <w14:textFill>
            <w14:solidFill>
              <w14:schemeClr w14:val="tx1"/>
            </w14:solidFill>
          </w14:textFill>
        </w:rPr>
        <w:t>④</w:t>
      </w:r>
      <w:r>
        <w:rPr>
          <w:rFonts w:ascii="Times New Roman"/>
          <w:snapToGrid w:val="0"/>
          <w:color w:val="000000" w:themeColor="text1"/>
          <w:spacing w:val="-6"/>
          <w:kern w:val="21"/>
          <w:szCs w:val="21"/>
          <w:highlight w:val="none"/>
          <w14:textFill>
            <w14:solidFill>
              <w14:schemeClr w14:val="tx1"/>
            </w14:solidFill>
          </w14:textFill>
        </w:rPr>
        <w:fldChar w:fldCharType="end"/>
      </w:r>
      <w:r>
        <w:rPr>
          <w:rFonts w:ascii="Times New Roman"/>
          <w:snapToGrid w:val="0"/>
          <w:color w:val="000000" w:themeColor="text1"/>
          <w:spacing w:val="-6"/>
          <w:kern w:val="21"/>
          <w:szCs w:val="21"/>
          <w:highlight w:val="none"/>
          <w14:textFill>
            <w14:solidFill>
              <w14:schemeClr w14:val="tx1"/>
            </w14:solidFill>
          </w14:textFill>
        </w:rPr>
        <w:t>-</w:t>
      </w:r>
      <w:r>
        <w:rPr>
          <w:rFonts w:ascii="Times New Roman"/>
          <w:snapToGrid w:val="0"/>
          <w:color w:val="000000" w:themeColor="text1"/>
          <w:spacing w:val="-16"/>
          <w:kern w:val="21"/>
          <w:szCs w:val="21"/>
          <w:highlight w:val="none"/>
          <w14:textFill>
            <w14:solidFill>
              <w14:schemeClr w14:val="tx1"/>
            </w14:solidFill>
          </w14:textFill>
        </w:rPr>
        <w:fldChar w:fldCharType="begin"/>
      </w:r>
      <w:r>
        <w:rPr>
          <w:rFonts w:ascii="Times New Roman"/>
          <w:snapToGrid w:val="0"/>
          <w:color w:val="000000" w:themeColor="text1"/>
          <w:spacing w:val="-16"/>
          <w:kern w:val="21"/>
          <w:szCs w:val="21"/>
          <w:highlight w:val="none"/>
          <w14:textFill>
            <w14:solidFill>
              <w14:schemeClr w14:val="tx1"/>
            </w14:solidFill>
          </w14:textFill>
        </w:rPr>
        <w:instrText xml:space="preserve"> = 5 \* GB3 \* MERGEFORMAT </w:instrText>
      </w:r>
      <w:r>
        <w:rPr>
          <w:rFonts w:ascii="Times New Roman"/>
          <w:snapToGrid w:val="0"/>
          <w:color w:val="000000" w:themeColor="text1"/>
          <w:spacing w:val="-16"/>
          <w:kern w:val="21"/>
          <w:szCs w:val="21"/>
          <w:highlight w:val="none"/>
          <w14:textFill>
            <w14:solidFill>
              <w14:schemeClr w14:val="tx1"/>
            </w14:solidFill>
          </w14:textFill>
        </w:rPr>
        <w:fldChar w:fldCharType="separate"/>
      </w:r>
      <w:r>
        <w:rPr>
          <w:rFonts w:ascii="Times New Roman"/>
          <w:color w:val="000000" w:themeColor="text1"/>
          <w:szCs w:val="21"/>
          <w:highlight w:val="none"/>
          <w14:textFill>
            <w14:solidFill>
              <w14:schemeClr w14:val="tx1"/>
            </w14:solidFill>
          </w14:textFill>
        </w:rPr>
        <w:t>⑤</w:t>
      </w:r>
      <w:r>
        <w:rPr>
          <w:rFonts w:ascii="Times New Roman"/>
          <w:snapToGrid w:val="0"/>
          <w:color w:val="000000" w:themeColor="text1"/>
          <w:spacing w:val="-16"/>
          <w:kern w:val="21"/>
          <w:szCs w:val="21"/>
          <w:highlight w:val="none"/>
          <w14:textFill>
            <w14:solidFill>
              <w14:schemeClr w14:val="tx1"/>
            </w14:solidFill>
          </w14:textFill>
        </w:rPr>
        <w:fldChar w:fldCharType="end"/>
      </w:r>
      <w:r>
        <w:rPr>
          <w:rFonts w:ascii="Times New Roman"/>
          <w:snapToGrid w:val="0"/>
          <w:color w:val="000000" w:themeColor="text1"/>
          <w:spacing w:val="-16"/>
          <w:kern w:val="21"/>
          <w:szCs w:val="21"/>
          <w:highlight w:val="none"/>
          <w14:textFill>
            <w14:solidFill>
              <w14:schemeClr w14:val="tx1"/>
            </w14:solidFill>
          </w14:textFill>
        </w:rPr>
        <w:t>；</w:t>
      </w:r>
      <w:r>
        <w:rPr>
          <w:rFonts w:ascii="Times New Roman"/>
          <w:snapToGrid w:val="0"/>
          <w:color w:val="000000" w:themeColor="text1"/>
          <w:spacing w:val="-6"/>
          <w:kern w:val="21"/>
          <w:szCs w:val="21"/>
          <w:highlight w:val="none"/>
          <w14:textFill>
            <w14:solidFill>
              <w14:schemeClr w14:val="tx1"/>
            </w14:solidFill>
          </w14:textFill>
        </w:rPr>
        <w:fldChar w:fldCharType="begin"/>
      </w:r>
      <w:r>
        <w:rPr>
          <w:rFonts w:ascii="Times New Roman"/>
          <w:snapToGrid w:val="0"/>
          <w:color w:val="000000" w:themeColor="text1"/>
          <w:spacing w:val="-6"/>
          <w:kern w:val="21"/>
          <w:szCs w:val="21"/>
          <w:highlight w:val="none"/>
          <w14:textFill>
            <w14:solidFill>
              <w14:schemeClr w14:val="tx1"/>
            </w14:solidFill>
          </w14:textFill>
        </w:rPr>
        <w:instrText xml:space="preserve"> = 7 \* GB3 \* MERGEFORMAT </w:instrText>
      </w:r>
      <w:r>
        <w:rPr>
          <w:rFonts w:ascii="Times New Roman"/>
          <w:snapToGrid w:val="0"/>
          <w:color w:val="000000" w:themeColor="text1"/>
          <w:spacing w:val="-6"/>
          <w:kern w:val="21"/>
          <w:szCs w:val="21"/>
          <w:highlight w:val="none"/>
          <w14:textFill>
            <w14:solidFill>
              <w14:schemeClr w14:val="tx1"/>
            </w14:solidFill>
          </w14:textFill>
        </w:rPr>
        <w:fldChar w:fldCharType="separate"/>
      </w:r>
      <w:r>
        <w:rPr>
          <w:rFonts w:ascii="Times New Roman"/>
          <w:color w:val="000000" w:themeColor="text1"/>
          <w:szCs w:val="21"/>
          <w:highlight w:val="none"/>
          <w14:textFill>
            <w14:solidFill>
              <w14:schemeClr w14:val="tx1"/>
            </w14:solidFill>
          </w14:textFill>
        </w:rPr>
        <w:t>⑦</w:t>
      </w:r>
      <w:r>
        <w:rPr>
          <w:rFonts w:ascii="Times New Roman"/>
          <w:snapToGrid w:val="0"/>
          <w:color w:val="000000" w:themeColor="text1"/>
          <w:spacing w:val="-6"/>
          <w:kern w:val="21"/>
          <w:szCs w:val="21"/>
          <w:highlight w:val="none"/>
          <w14:textFill>
            <w14:solidFill>
              <w14:schemeClr w14:val="tx1"/>
            </w14:solidFill>
          </w14:textFill>
        </w:rPr>
        <w:fldChar w:fldCharType="end"/>
      </w:r>
      <w:r>
        <w:rPr>
          <w:rFonts w:ascii="Times New Roman"/>
          <w:snapToGrid w:val="0"/>
          <w:color w:val="000000" w:themeColor="text1"/>
          <w:spacing w:val="-6"/>
          <w:kern w:val="21"/>
          <w:szCs w:val="21"/>
          <w:highlight w:val="none"/>
          <w14:textFill>
            <w14:solidFill>
              <w14:schemeClr w14:val="tx1"/>
            </w14:solidFill>
          </w14:textFill>
        </w:rPr>
        <w:t>=</w:t>
      </w:r>
      <w:r>
        <w:rPr>
          <w:rFonts w:ascii="Times New Roman"/>
          <w:snapToGrid w:val="0"/>
          <w:color w:val="000000" w:themeColor="text1"/>
          <w:spacing w:val="-16"/>
          <w:kern w:val="21"/>
          <w:szCs w:val="21"/>
          <w:highlight w:val="none"/>
          <w14:textFill>
            <w14:solidFill>
              <w14:schemeClr w14:val="tx1"/>
            </w14:solidFill>
          </w14:textFill>
        </w:rPr>
        <w:fldChar w:fldCharType="begin"/>
      </w:r>
      <w:r>
        <w:rPr>
          <w:rFonts w:ascii="Times New Roman"/>
          <w:snapToGrid w:val="0"/>
          <w:color w:val="000000" w:themeColor="text1"/>
          <w:spacing w:val="-16"/>
          <w:kern w:val="21"/>
          <w:szCs w:val="21"/>
          <w:highlight w:val="none"/>
          <w14:textFill>
            <w14:solidFill>
              <w14:schemeClr w14:val="tx1"/>
            </w14:solidFill>
          </w14:textFill>
        </w:rPr>
        <w:instrText xml:space="preserve"> = 6 \* GB3 \* MERGEFORMAT </w:instrText>
      </w:r>
      <w:r>
        <w:rPr>
          <w:rFonts w:ascii="Times New Roman"/>
          <w:snapToGrid w:val="0"/>
          <w:color w:val="000000" w:themeColor="text1"/>
          <w:spacing w:val="-16"/>
          <w:kern w:val="21"/>
          <w:szCs w:val="21"/>
          <w:highlight w:val="none"/>
          <w14:textFill>
            <w14:solidFill>
              <w14:schemeClr w14:val="tx1"/>
            </w14:solidFill>
          </w14:textFill>
        </w:rPr>
        <w:fldChar w:fldCharType="separate"/>
      </w:r>
      <w:r>
        <w:rPr>
          <w:rFonts w:ascii="Times New Roman"/>
          <w:color w:val="000000" w:themeColor="text1"/>
          <w:szCs w:val="21"/>
          <w:highlight w:val="none"/>
          <w14:textFill>
            <w14:solidFill>
              <w14:schemeClr w14:val="tx1"/>
            </w14:solidFill>
          </w14:textFill>
        </w:rPr>
        <w:t>⑥</w:t>
      </w:r>
      <w:r>
        <w:rPr>
          <w:rFonts w:ascii="Times New Roman"/>
          <w:snapToGrid w:val="0"/>
          <w:color w:val="000000" w:themeColor="text1"/>
          <w:spacing w:val="-16"/>
          <w:kern w:val="21"/>
          <w:szCs w:val="21"/>
          <w:highlight w:val="none"/>
          <w14:textFill>
            <w14:solidFill>
              <w14:schemeClr w14:val="tx1"/>
            </w14:solidFill>
          </w14:textFill>
        </w:rPr>
        <w:fldChar w:fldCharType="end"/>
      </w:r>
      <w:r>
        <w:rPr>
          <w:rFonts w:ascii="Times New Roman"/>
          <w:snapToGrid w:val="0"/>
          <w:color w:val="000000" w:themeColor="text1"/>
          <w:spacing w:val="-16"/>
          <w:kern w:val="21"/>
          <w:szCs w:val="21"/>
          <w:highlight w:val="none"/>
          <w14:textFill>
            <w14:solidFill>
              <w14:schemeClr w14:val="tx1"/>
            </w14:solidFill>
          </w14:textFill>
        </w:rPr>
        <w:t>-</w:t>
      </w:r>
      <w:r>
        <w:rPr>
          <w:rFonts w:ascii="Times New Roman"/>
          <w:snapToGrid w:val="0"/>
          <w:color w:val="000000" w:themeColor="text1"/>
          <w:spacing w:val="-6"/>
          <w:kern w:val="21"/>
          <w:szCs w:val="21"/>
          <w:highlight w:val="none"/>
          <w14:textFill>
            <w14:solidFill>
              <w14:schemeClr w14:val="tx1"/>
            </w14:solidFill>
          </w14:textFill>
        </w:rPr>
        <w:fldChar w:fldCharType="begin"/>
      </w:r>
      <w:r>
        <w:rPr>
          <w:rFonts w:ascii="Times New Roman"/>
          <w:snapToGrid w:val="0"/>
          <w:color w:val="000000" w:themeColor="text1"/>
          <w:spacing w:val="-6"/>
          <w:kern w:val="21"/>
          <w:szCs w:val="21"/>
          <w:highlight w:val="none"/>
          <w14:textFill>
            <w14:solidFill>
              <w14:schemeClr w14:val="tx1"/>
            </w14:solidFill>
          </w14:textFill>
        </w:rPr>
        <w:instrText xml:space="preserve"> = 1 \* GB3 \* MERGEFORMAT </w:instrText>
      </w:r>
      <w:r>
        <w:rPr>
          <w:rFonts w:ascii="Times New Roman"/>
          <w:snapToGrid w:val="0"/>
          <w:color w:val="000000" w:themeColor="text1"/>
          <w:spacing w:val="-6"/>
          <w:kern w:val="21"/>
          <w:szCs w:val="21"/>
          <w:highlight w:val="none"/>
          <w14:textFill>
            <w14:solidFill>
              <w14:schemeClr w14:val="tx1"/>
            </w14:solidFill>
          </w14:textFill>
        </w:rPr>
        <w:fldChar w:fldCharType="separate"/>
      </w:r>
      <w:r>
        <w:rPr>
          <w:rFonts w:ascii="Times New Roman"/>
          <w:color w:val="000000" w:themeColor="text1"/>
          <w:szCs w:val="21"/>
          <w:highlight w:val="none"/>
          <w14:textFill>
            <w14:solidFill>
              <w14:schemeClr w14:val="tx1"/>
            </w14:solidFill>
          </w14:textFill>
        </w:rPr>
        <w:t>①</w:t>
      </w:r>
      <w:r>
        <w:rPr>
          <w:rFonts w:ascii="Times New Roman"/>
          <w:snapToGrid w:val="0"/>
          <w:color w:val="000000" w:themeColor="text1"/>
          <w:spacing w:val="-6"/>
          <w:kern w:val="21"/>
          <w:szCs w:val="21"/>
          <w:highlight w:val="none"/>
          <w14:textFill>
            <w14:solidFill>
              <w14:schemeClr w14:val="tx1"/>
            </w14:solidFill>
          </w14:textFill>
        </w:rPr>
        <w:fldChar w:fldCharType="end"/>
      </w:r>
      <w:r>
        <w:rPr>
          <w:rFonts w:hint="eastAsia" w:ascii="Times New Roman"/>
          <w:snapToGrid w:val="0"/>
          <w:color w:val="000000" w:themeColor="text1"/>
          <w:spacing w:val="-6"/>
          <w:kern w:val="21"/>
          <w:szCs w:val="21"/>
          <w:highlight w:val="none"/>
          <w:lang w:val="en-US" w:eastAsia="zh-CN"/>
          <w14:textFill>
            <w14:solidFill>
              <w14:schemeClr w14:val="tx1"/>
            </w14:solidFill>
          </w14:textFill>
        </w:rPr>
        <w:t xml:space="preserve">  单位</w:t>
      </w:r>
      <w:r>
        <w:rPr>
          <w:rFonts w:hint="default" w:ascii="Times New Roman" w:hAnsi="Times New Roman" w:eastAsia="宋体" w:cs="Times New Roman"/>
          <w:snapToGrid w:val="0"/>
          <w:color w:val="000000" w:themeColor="text1"/>
          <w:kern w:val="21"/>
          <w:szCs w:val="21"/>
          <w:highlight w:val="none"/>
          <w14:textFill>
            <w14:solidFill>
              <w14:schemeClr w14:val="tx1"/>
            </w14:solidFill>
          </w14:textFill>
        </w:rPr>
        <w:t>t/a</w:t>
      </w:r>
    </w:p>
    <w:p w14:paraId="60C61C8B">
      <w:pPr>
        <w:pStyle w:val="31"/>
        <w:spacing w:before="192" w:beforeLines="80" w:after="24"/>
        <w:ind w:firstLine="0"/>
        <w:jc w:val="both"/>
        <w:rPr>
          <w:rFonts w:hint="default" w:ascii="Times New Roman" w:eastAsia="宋体"/>
          <w:snapToGrid w:val="0"/>
          <w:color w:val="000000" w:themeColor="text1"/>
          <w:spacing w:val="-6"/>
          <w:kern w:val="21"/>
          <w:szCs w:val="21"/>
          <w:highlight w:val="none"/>
          <w:lang w:val="en-US" w:eastAsia="zh-CN"/>
          <w14:textFill>
            <w14:solidFill>
              <w14:schemeClr w14:val="tx1"/>
            </w14:solidFill>
          </w14:textFill>
        </w:rPr>
        <w:sectPr>
          <w:footerReference r:id="rId6" w:type="default"/>
          <w:pgSz w:w="16838" w:h="11906" w:orient="landscape"/>
          <w:pgMar w:top="1531" w:right="1701" w:bottom="1531" w:left="1701" w:header="851" w:footer="851" w:gutter="0"/>
          <w:pgBorders>
            <w:top w:val="none" w:sz="0" w:space="0"/>
            <w:left w:val="none" w:sz="0" w:space="0"/>
            <w:bottom w:val="none" w:sz="0" w:space="0"/>
            <w:right w:val="none" w:sz="0" w:space="0"/>
          </w:pgBorders>
          <w:cols w:space="720" w:num="1"/>
          <w:docGrid w:linePitch="312" w:charSpace="0"/>
        </w:sectPr>
      </w:pPr>
    </w:p>
    <w:p w14:paraId="2B632B1A">
      <w:pPr>
        <w:pStyle w:val="20"/>
        <w:adjustRightInd w:val="0"/>
        <w:snapToGrid w:val="0"/>
        <w:spacing w:before="0" w:beforeAutospacing="0" w:after="0" w:afterAutospacing="0" w:line="500" w:lineRule="exact"/>
        <w:outlineLvl w:val="0"/>
        <w:rPr>
          <w:rFonts w:hint="default" w:ascii="Times New Roman" w:hAnsi="Times New Roman" w:eastAsia="黑体" w:cs="Times New Roman"/>
          <w:snapToGrid w:val="0"/>
          <w:color w:val="000000" w:themeColor="text1"/>
          <w:sz w:val="30"/>
          <w:szCs w:val="30"/>
          <w:highlight w:val="none"/>
          <w:lang w:val="en-US" w:eastAsia="zh-CN"/>
          <w14:textFill>
            <w14:solidFill>
              <w14:schemeClr w14:val="tx1"/>
            </w14:solidFill>
          </w14:textFill>
        </w:rPr>
      </w:pPr>
      <w:r>
        <w:rPr>
          <w:rFonts w:ascii="Times New Roman" w:hAnsi="Times New Roman" w:eastAsia="黑体" w:cs="Times New Roman"/>
          <w:snapToGrid w:val="0"/>
          <w:color w:val="000000" w:themeColor="text1"/>
          <w:sz w:val="30"/>
          <w:szCs w:val="30"/>
          <w:highlight w:val="none"/>
          <w14:textFill>
            <w14:solidFill>
              <w14:schemeClr w14:val="tx1"/>
            </w14:solidFill>
          </w14:textFill>
        </w:rPr>
        <w:t>附图1：项目地理位置图</w:t>
      </w:r>
      <w:r>
        <w:rPr>
          <w:rFonts w:hint="eastAsia" w:ascii="Times New Roman" w:hAnsi="Times New Roman" w:eastAsia="黑体" w:cs="Times New Roman"/>
          <w:snapToGrid w:val="0"/>
          <w:color w:val="000000" w:themeColor="text1"/>
          <w:sz w:val="30"/>
          <w:szCs w:val="30"/>
          <w:highlight w:val="none"/>
          <w:lang w:val="en-US" w:eastAsia="zh-CN"/>
          <w14:textFill>
            <w14:solidFill>
              <w14:schemeClr w14:val="tx1"/>
            </w14:solidFill>
          </w14:textFill>
        </w:rPr>
        <w:t>及交通路线图</w:t>
      </w:r>
    </w:p>
    <w:p w14:paraId="3DA9B6B7">
      <w:pPr>
        <w:ind w:left="0" w:leftChars="0" w:firstLine="0" w:firstLineChars="0"/>
        <w:jc w:val="center"/>
        <w:rPr>
          <w:color w:val="000000" w:themeColor="text1"/>
          <w:highlight w:val="none"/>
          <w14:textFill>
            <w14:solidFill>
              <w14:schemeClr w14:val="tx1"/>
            </w14:solidFill>
          </w14:textFill>
        </w:rPr>
      </w:pPr>
      <w:r>
        <w:rPr>
          <w:color w:val="000000" w:themeColor="text1"/>
          <w:sz w:val="24"/>
          <w:highlight w:val="none"/>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4085590</wp:posOffset>
                </wp:positionH>
                <wp:positionV relativeFrom="paragraph">
                  <wp:posOffset>3290570</wp:posOffset>
                </wp:positionV>
                <wp:extent cx="95250" cy="88265"/>
                <wp:effectExtent l="15240" t="15240" r="22860" b="29845"/>
                <wp:wrapNone/>
                <wp:docPr id="2" name="自选图形 143"/>
                <wp:cNvGraphicFramePr/>
                <a:graphic xmlns:a="http://schemas.openxmlformats.org/drawingml/2006/main">
                  <a:graphicData uri="http://schemas.microsoft.com/office/word/2010/wordprocessingShape">
                    <wps:wsp>
                      <wps:cNvSpPr/>
                      <wps:spPr>
                        <a:xfrm>
                          <a:off x="0" y="0"/>
                          <a:ext cx="95250" cy="88265"/>
                        </a:xfrm>
                        <a:prstGeom prst="star5">
                          <a:avLst/>
                        </a:prstGeom>
                        <a:solidFill>
                          <a:srgbClr val="FF0000"/>
                        </a:solidFill>
                        <a:ln w="9525" cap="flat" cmpd="sng">
                          <a:solidFill>
                            <a:srgbClr val="FF0000"/>
                          </a:solidFill>
                          <a:prstDash val="solid"/>
                          <a:miter/>
                          <a:headEnd type="none" w="med" len="med"/>
                          <a:tailEnd type="none" w="med" len="med"/>
                        </a:ln>
                      </wps:spPr>
                      <wps:bodyPr upright="1"/>
                    </wps:wsp>
                  </a:graphicData>
                </a:graphic>
              </wp:anchor>
            </w:drawing>
          </mc:Choice>
          <mc:Fallback>
            <w:pict>
              <v:shape id="自选图形 143" o:spid="_x0000_s1026" style="position:absolute;left:0pt;margin-left:321.7pt;margin-top:259.1pt;height:6.95pt;width:7.5pt;z-index:251660288;mso-width-relative:page;mso-height-relative:page;" fillcolor="#FF0000" filled="t" stroked="t" coordsize="95250,88265" o:gfxdata="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CiDv72QAAAAsBAAAPAAAAAAAAAAEAIAAAACIAAABkcnMv&#10;ZG93bnJldi54bWxQSwECFAAUAAAACACHTuJAK59cnwICAAAkBAAADgAAAAAAAAABACAAAAAoAQAA&#10;ZHJzL2Uyb0RvYy54bWxQSwUGAAAAAAYABgBZAQAAnAUAAAAA&#10;" path="m0,33714l36382,33714,47625,0,58867,33714,95249,33714,65815,54550,77058,88264,47625,67427,18191,88264,29434,54550xe">
                <v:path o:connectlocs="47625,0;0,33714;18191,88264;77058,88264;95249,33714" o:connectangles="247,164,82,82,0"/>
                <v:fill on="t" focussize="0,0"/>
                <v:stroke color="#FF0000" joinstyle="miter"/>
                <v:imagedata o:title=""/>
                <o:lock v:ext="edit" aspectratio="f"/>
              </v:shape>
            </w:pict>
          </mc:Fallback>
        </mc:AlternateContent>
      </w:r>
      <w:r>
        <w:rPr>
          <w:color w:val="000000" w:themeColor="text1"/>
          <w:sz w:val="24"/>
          <w:highlight w:val="none"/>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4161155</wp:posOffset>
                </wp:positionH>
                <wp:positionV relativeFrom="paragraph">
                  <wp:posOffset>2435860</wp:posOffset>
                </wp:positionV>
                <wp:extent cx="996315" cy="285750"/>
                <wp:effectExtent l="8255" t="4445" r="5080" b="643255"/>
                <wp:wrapNone/>
                <wp:docPr id="3" name="自选图形 142"/>
                <wp:cNvGraphicFramePr/>
                <a:graphic xmlns:a="http://schemas.openxmlformats.org/drawingml/2006/main">
                  <a:graphicData uri="http://schemas.microsoft.com/office/word/2010/wordprocessingShape">
                    <wps:wsp>
                      <wps:cNvSpPr/>
                      <wps:spPr>
                        <a:xfrm>
                          <a:off x="0" y="0"/>
                          <a:ext cx="996315" cy="285750"/>
                        </a:xfrm>
                        <a:prstGeom prst="wedgeRectCallout">
                          <a:avLst>
                            <a:gd name="adj1" fmla="val -49616"/>
                            <a:gd name="adj2" fmla="val 264889"/>
                          </a:avLst>
                        </a:prstGeom>
                        <a:solidFill>
                          <a:srgbClr val="FFFFFF"/>
                        </a:solidFill>
                        <a:ln w="9525" cap="flat" cmpd="sng">
                          <a:solidFill>
                            <a:srgbClr val="000000"/>
                          </a:solidFill>
                          <a:prstDash val="solid"/>
                          <a:miter/>
                          <a:headEnd type="none" w="med" len="med"/>
                          <a:tailEnd type="none" w="med" len="med"/>
                        </a:ln>
                      </wps:spPr>
                      <wps:txbx>
                        <w:txbxContent>
                          <w:p w14:paraId="2DFE8C80">
                            <w:pPr>
                              <w:ind w:left="0" w:leftChars="0" w:firstLine="0" w:firstLineChars="0"/>
                              <w:rPr>
                                <w:rFonts w:hint="default" w:eastAsia="宋体"/>
                                <w:lang w:val="en-US" w:eastAsia="zh-CN"/>
                              </w:rPr>
                            </w:pPr>
                            <w:r>
                              <w:rPr>
                                <w:rFonts w:hint="eastAsia"/>
                                <w:lang w:val="en-US" w:eastAsia="zh-CN"/>
                              </w:rPr>
                              <w:t>本项目位置</w:t>
                            </w:r>
                          </w:p>
                        </w:txbxContent>
                      </wps:txbx>
                      <wps:bodyPr upright="1"/>
                    </wps:wsp>
                  </a:graphicData>
                </a:graphic>
              </wp:anchor>
            </w:drawing>
          </mc:Choice>
          <mc:Fallback>
            <w:pict>
              <v:shape id="自选图形 142" o:spid="_x0000_s1026" o:spt="61" type="#_x0000_t61" style="position:absolute;left:0pt;margin-left:327.65pt;margin-top:191.8pt;height:22.5pt;width:78.45pt;z-index:251661312;mso-width-relative:page;mso-height-relative:page;" fillcolor="#FFFFFF" filled="t" stroked="t" coordsize="21600,21600" o:gfxdata="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BZ/7uK2wAAAAsBAAAPAAAAAAAAAAEAIAAAACIAAABk&#10;cnMvZG93bnJldi54bWxQSwECFAAUAAAACACHTuJAsLOW4DwCAACPBAAADgAAAAAAAAABACAAAAAq&#10;AQAAZHJzL2Uyb0RvYy54bWxQSwUGAAAAAAYABgBZAQAA2AUAAAAA&#10;" adj="83,68016">
                <v:fill on="t" focussize="0,0"/>
                <v:stroke color="#000000" joinstyle="miter"/>
                <v:imagedata o:title=""/>
                <o:lock v:ext="edit" aspectratio="f"/>
                <v:textbox>
                  <w:txbxContent>
                    <w:p w14:paraId="2DFE8C80">
                      <w:pPr>
                        <w:ind w:left="0" w:leftChars="0" w:firstLine="0" w:firstLineChars="0"/>
                        <w:rPr>
                          <w:rFonts w:hint="default" w:eastAsia="宋体"/>
                          <w:lang w:val="en-US" w:eastAsia="zh-CN"/>
                        </w:rPr>
                      </w:pPr>
                      <w:r>
                        <w:rPr>
                          <w:rFonts w:hint="eastAsia"/>
                          <w:lang w:val="en-US" w:eastAsia="zh-CN"/>
                        </w:rPr>
                        <w:t>本项目位置</w:t>
                      </w:r>
                    </w:p>
                  </w:txbxContent>
                </v:textbox>
              </v:shape>
            </w:pict>
          </mc:Fallback>
        </mc:AlternateContent>
      </w:r>
      <w:r>
        <w:rPr>
          <w:color w:val="000000" w:themeColor="text1"/>
          <w:highlight w:val="none"/>
          <w14:textFill>
            <w14:solidFill>
              <w14:schemeClr w14:val="tx1"/>
            </w14:solidFill>
          </w14:textFill>
        </w:rPr>
        <w:drawing>
          <wp:inline distT="0" distB="0" distL="114300" distR="114300">
            <wp:extent cx="8520430" cy="5385435"/>
            <wp:effectExtent l="0" t="0" r="13970" b="5715"/>
            <wp:docPr id="59" name="图片 21" descr="F:\报告\新地图\274-275准恪尔旗.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21" descr="F:\报告\新地图\274-275准恪尔旗.jpg"/>
                    <pic:cNvPicPr>
                      <a:picLocks noChangeAspect="1"/>
                    </pic:cNvPicPr>
                  </pic:nvPicPr>
                  <pic:blipFill>
                    <a:blip r:embed="rId37"/>
                    <a:stretch>
                      <a:fillRect/>
                    </a:stretch>
                  </pic:blipFill>
                  <pic:spPr>
                    <a:xfrm>
                      <a:off x="0" y="0"/>
                      <a:ext cx="8520430" cy="5385435"/>
                    </a:xfrm>
                    <a:prstGeom prst="rect">
                      <a:avLst/>
                    </a:prstGeom>
                    <a:noFill/>
                    <a:ln>
                      <a:noFill/>
                    </a:ln>
                  </pic:spPr>
                </pic:pic>
              </a:graphicData>
            </a:graphic>
          </wp:inline>
        </w:drawing>
      </w:r>
    </w:p>
    <w:p w14:paraId="10292969">
      <w:pPr>
        <w:adjustRightInd w:val="0"/>
        <w:snapToGrid w:val="0"/>
        <w:spacing w:before="0" w:beforeAutospacing="0" w:after="0" w:afterAutospacing="0"/>
        <w:rPr>
          <w:rFonts w:hint="eastAsia" w:ascii="Times New Roman" w:hAnsi="Times New Roman" w:eastAsia="宋体"/>
          <w:color w:val="000000" w:themeColor="text1"/>
          <w:highlight w:val="none"/>
          <w:lang w:eastAsia="zh-CN"/>
          <w14:textFill>
            <w14:solidFill>
              <w14:schemeClr w14:val="tx1"/>
            </w14:solidFill>
          </w14:textFill>
        </w:rPr>
        <w:sectPr>
          <w:pgSz w:w="16838" w:h="11905" w:orient="landscape"/>
          <w:pgMar w:top="1417" w:right="1417" w:bottom="1417" w:left="1417" w:header="850" w:footer="850" w:gutter="0"/>
          <w:pgBorders>
            <w:top w:val="none" w:sz="0" w:space="0"/>
            <w:left w:val="none" w:sz="0" w:space="0"/>
            <w:bottom w:val="none" w:sz="0" w:space="0"/>
            <w:right w:val="none" w:sz="0" w:space="0"/>
          </w:pgBorders>
          <w:cols w:space="720" w:num="1"/>
          <w:docGrid w:linePitch="326" w:charSpace="0"/>
        </w:sectPr>
      </w:pPr>
      <w:r>
        <w:rPr>
          <w:rFonts w:hint="eastAsia" w:ascii="Times New Roman" w:hAnsi="Times New Roman" w:eastAsia="宋体"/>
          <w:color w:val="000000" w:themeColor="text1"/>
          <w:highlight w:val="none"/>
          <w:lang w:eastAsia="zh-CN"/>
          <w14:textFill>
            <w14:solidFill>
              <w14:schemeClr w14:val="tx1"/>
            </w14:solidFill>
          </w14:textFill>
        </w:rPr>
        <w:drawing>
          <wp:inline distT="0" distB="0" distL="114300" distR="114300">
            <wp:extent cx="8811895" cy="4632325"/>
            <wp:effectExtent l="0" t="0" r="8255" b="15875"/>
            <wp:docPr id="60" name="图片 22" descr="项目位置现状图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22" descr="项目位置现状图_01"/>
                    <pic:cNvPicPr>
                      <a:picLocks noChangeAspect="1"/>
                    </pic:cNvPicPr>
                  </pic:nvPicPr>
                  <pic:blipFill>
                    <a:blip r:embed="rId38"/>
                    <a:stretch>
                      <a:fillRect/>
                    </a:stretch>
                  </pic:blipFill>
                  <pic:spPr>
                    <a:xfrm>
                      <a:off x="0" y="0"/>
                      <a:ext cx="8811895" cy="4632325"/>
                    </a:xfrm>
                    <a:prstGeom prst="rect">
                      <a:avLst/>
                    </a:prstGeom>
                    <a:noFill/>
                    <a:ln>
                      <a:noFill/>
                    </a:ln>
                  </pic:spPr>
                </pic:pic>
              </a:graphicData>
            </a:graphic>
          </wp:inline>
        </w:drawing>
      </w:r>
    </w:p>
    <w:p w14:paraId="79697586">
      <w:pPr>
        <w:pStyle w:val="20"/>
        <w:adjustRightInd w:val="0"/>
        <w:snapToGrid w:val="0"/>
        <w:spacing w:before="0" w:beforeAutospacing="0" w:after="0" w:afterAutospacing="0" w:line="500" w:lineRule="exact"/>
        <w:outlineLvl w:val="0"/>
        <w:rPr>
          <w:rFonts w:hint="eastAsia" w:ascii="Times New Roman" w:hAnsi="Times New Roman" w:eastAsia="黑体" w:cs="Times New Roman"/>
          <w:snapToGrid w:val="0"/>
          <w:color w:val="000000" w:themeColor="text1"/>
          <w:sz w:val="30"/>
          <w:szCs w:val="30"/>
          <w:highlight w:val="none"/>
          <w:lang w:val="en-US" w:eastAsia="zh-CN"/>
          <w14:textFill>
            <w14:solidFill>
              <w14:schemeClr w14:val="tx1"/>
            </w14:solidFill>
          </w14:textFill>
        </w:rPr>
      </w:pPr>
      <w:r>
        <w:rPr>
          <w:rFonts w:hint="eastAsia" w:ascii="Times New Roman" w:hAnsi="Times New Roman" w:eastAsia="黑体" w:cs="Times New Roman"/>
          <w:snapToGrid w:val="0"/>
          <w:color w:val="000000" w:themeColor="text1"/>
          <w:sz w:val="30"/>
          <w:szCs w:val="30"/>
          <w:highlight w:val="none"/>
          <w:lang w:val="en-US" w:eastAsia="zh-CN"/>
          <w14:textFill>
            <w14:solidFill>
              <w14:schemeClr w14:val="tx1"/>
            </w14:solidFill>
          </w14:textFill>
        </w:rPr>
        <w:t>附图2：平面布置图</w:t>
      </w:r>
    </w:p>
    <w:p w14:paraId="0E130C7B">
      <w:pPr>
        <w:rPr>
          <w:rFonts w:hint="eastAsia"/>
          <w:color w:val="000000" w:themeColor="text1"/>
          <w:highlight w:val="none"/>
          <w:lang w:val="en-US" w:eastAsia="zh-CN"/>
          <w14:textFill>
            <w14:solidFill>
              <w14:schemeClr w14:val="tx1"/>
            </w14:solidFill>
          </w14:textFill>
        </w:rPr>
      </w:pPr>
    </w:p>
    <w:p w14:paraId="66BE0864">
      <w:pPr>
        <w:rPr>
          <w:rFonts w:hint="default"/>
          <w:color w:val="000000" w:themeColor="text1"/>
          <w:highlight w:val="none"/>
          <w:lang w:val="en-US" w:eastAsia="zh-CN"/>
          <w14:textFill>
            <w14:solidFill>
              <w14:schemeClr w14:val="tx1"/>
            </w14:solidFill>
          </w14:textFill>
        </w:rPr>
        <w:sectPr>
          <w:pgSz w:w="16838" w:h="11906" w:orient="landscape"/>
          <w:pgMar w:top="1531" w:right="1701" w:bottom="1531" w:left="1701" w:header="851" w:footer="851" w:gutter="0"/>
          <w:pgBorders>
            <w:top w:val="none" w:sz="0" w:space="0"/>
            <w:left w:val="none" w:sz="0" w:space="0"/>
            <w:bottom w:val="none" w:sz="0" w:space="0"/>
            <w:right w:val="none" w:sz="0" w:space="0"/>
          </w:pgBorders>
          <w:cols w:space="720" w:num="1"/>
          <w:docGrid w:linePitch="312" w:charSpace="0"/>
        </w:sectPr>
      </w:pPr>
      <w:r>
        <w:rPr>
          <w:color w:val="000000" w:themeColor="text1"/>
          <w:highlight w:val="none"/>
          <w14:textFill>
            <w14:solidFill>
              <w14:schemeClr w14:val="tx1"/>
            </w14:solidFill>
          </w14:textFill>
        </w:rPr>
        <w:drawing>
          <wp:inline distT="0" distB="0" distL="114300" distR="114300">
            <wp:extent cx="8510270" cy="5046345"/>
            <wp:effectExtent l="0" t="0" r="11430" b="8255"/>
            <wp:docPr id="61"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23"/>
                    <pic:cNvPicPr>
                      <a:picLocks noChangeAspect="1"/>
                    </pic:cNvPicPr>
                  </pic:nvPicPr>
                  <pic:blipFill>
                    <a:blip r:embed="rId39"/>
                    <a:stretch>
                      <a:fillRect/>
                    </a:stretch>
                  </pic:blipFill>
                  <pic:spPr>
                    <a:xfrm>
                      <a:off x="0" y="0"/>
                      <a:ext cx="8510270" cy="5046345"/>
                    </a:xfrm>
                    <a:prstGeom prst="rect">
                      <a:avLst/>
                    </a:prstGeom>
                    <a:noFill/>
                    <a:ln>
                      <a:noFill/>
                    </a:ln>
                  </pic:spPr>
                </pic:pic>
              </a:graphicData>
            </a:graphic>
          </wp:inline>
        </w:drawing>
      </w:r>
    </w:p>
    <w:p w14:paraId="1D7E2097">
      <w:pPr>
        <w:pStyle w:val="20"/>
        <w:adjustRightInd w:val="0"/>
        <w:snapToGrid w:val="0"/>
        <w:spacing w:before="0" w:beforeAutospacing="0" w:after="0" w:afterAutospacing="0" w:line="500" w:lineRule="exact"/>
        <w:outlineLvl w:val="0"/>
        <w:rPr>
          <w:rFonts w:hint="eastAsia" w:ascii="Times New Roman" w:hAnsi="Times New Roman" w:eastAsia="黑体" w:cs="Times New Roman"/>
          <w:snapToGrid w:val="0"/>
          <w:color w:val="000000" w:themeColor="text1"/>
          <w:sz w:val="30"/>
          <w:szCs w:val="30"/>
          <w:highlight w:val="none"/>
          <w:lang w:val="en-US" w:eastAsia="zh-CN"/>
          <w14:textFill>
            <w14:solidFill>
              <w14:schemeClr w14:val="tx1"/>
            </w14:solidFill>
          </w14:textFill>
        </w:rPr>
      </w:pPr>
      <w:r>
        <w:rPr>
          <w:rFonts w:hint="eastAsia" w:ascii="Times New Roman" w:hAnsi="Times New Roman" w:eastAsia="黑体" w:cs="Times New Roman"/>
          <w:snapToGrid w:val="0"/>
          <w:color w:val="000000" w:themeColor="text1"/>
          <w:sz w:val="30"/>
          <w:szCs w:val="30"/>
          <w:highlight w:val="none"/>
          <w:lang w:val="en-US" w:eastAsia="zh-CN"/>
          <w14:textFill>
            <w14:solidFill>
              <w14:schemeClr w14:val="tx1"/>
            </w14:solidFill>
          </w14:textFill>
        </w:rPr>
        <w:t>附图3：伊东东晟煤矸石项目用地红线图</w:t>
      </w:r>
    </w:p>
    <w:p w14:paraId="3E01B914">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drawing>
          <wp:anchor distT="0" distB="0" distL="114300" distR="114300" simplePos="0" relativeHeight="251663360" behindDoc="0" locked="0" layoutInCell="1" allowOverlap="1">
            <wp:simplePos x="0" y="0"/>
            <wp:positionH relativeFrom="column">
              <wp:posOffset>2540</wp:posOffset>
            </wp:positionH>
            <wp:positionV relativeFrom="paragraph">
              <wp:posOffset>86995</wp:posOffset>
            </wp:positionV>
            <wp:extent cx="5614035" cy="7567295"/>
            <wp:effectExtent l="0" t="0" r="5715" b="14605"/>
            <wp:wrapTopAndBottom/>
            <wp:docPr id="5" name="图片 146" descr="10.30-伊东东晟煤矸石项目用地红线图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46" descr="10.30-伊东东晟煤矸石项目用地红线图_01"/>
                    <pic:cNvPicPr>
                      <a:picLocks noChangeAspect="1"/>
                    </pic:cNvPicPr>
                  </pic:nvPicPr>
                  <pic:blipFill>
                    <a:blip r:embed="rId40"/>
                    <a:stretch>
                      <a:fillRect/>
                    </a:stretch>
                  </pic:blipFill>
                  <pic:spPr>
                    <a:xfrm>
                      <a:off x="0" y="0"/>
                      <a:ext cx="5614035" cy="7567295"/>
                    </a:xfrm>
                    <a:prstGeom prst="rect">
                      <a:avLst/>
                    </a:prstGeom>
                    <a:noFill/>
                    <a:ln>
                      <a:noFill/>
                    </a:ln>
                  </pic:spPr>
                </pic:pic>
              </a:graphicData>
            </a:graphic>
          </wp:anchor>
        </w:drawing>
      </w:r>
    </w:p>
    <w:p w14:paraId="7F3AACB9">
      <w:pPr>
        <w:pStyle w:val="20"/>
        <w:adjustRightInd w:val="0"/>
        <w:snapToGrid w:val="0"/>
        <w:spacing w:before="0" w:beforeAutospacing="0" w:after="0" w:afterAutospacing="0" w:line="500" w:lineRule="exact"/>
        <w:outlineLvl w:val="0"/>
        <w:rPr>
          <w:rFonts w:hint="eastAsia" w:ascii="Times New Roman" w:hAnsi="Times New Roman" w:eastAsia="黑体" w:cs="Times New Roman"/>
          <w:snapToGrid w:val="0"/>
          <w:color w:val="000000" w:themeColor="text1"/>
          <w:sz w:val="30"/>
          <w:szCs w:val="30"/>
          <w:highlight w:val="none"/>
          <w:lang w:val="en-US" w:eastAsia="zh-CN"/>
          <w14:textFill>
            <w14:solidFill>
              <w14:schemeClr w14:val="tx1"/>
            </w14:solidFill>
          </w14:textFill>
        </w:rPr>
        <w:sectPr>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p w14:paraId="1442C77F">
      <w:pPr>
        <w:pStyle w:val="20"/>
        <w:adjustRightInd w:val="0"/>
        <w:snapToGrid w:val="0"/>
        <w:spacing w:before="0" w:beforeAutospacing="0" w:after="0" w:afterAutospacing="0" w:line="500" w:lineRule="exact"/>
        <w:outlineLvl w:val="0"/>
        <w:rPr>
          <w:rFonts w:hint="eastAsia" w:ascii="Times New Roman" w:hAnsi="Times New Roman" w:eastAsia="黑体" w:cs="Times New Roman"/>
          <w:snapToGrid w:val="0"/>
          <w:color w:val="000000" w:themeColor="text1"/>
          <w:sz w:val="30"/>
          <w:szCs w:val="30"/>
          <w:highlight w:val="none"/>
          <w:lang w:val="en-US" w:eastAsia="zh-CN"/>
          <w14:textFill>
            <w14:solidFill>
              <w14:schemeClr w14:val="tx1"/>
            </w14:solidFill>
          </w14:textFill>
        </w:rPr>
      </w:pPr>
      <w:r>
        <w:rPr>
          <w:rFonts w:hint="eastAsia" w:ascii="Times New Roman" w:hAnsi="Times New Roman" w:eastAsia="黑体" w:cs="Times New Roman"/>
          <w:snapToGrid w:val="0"/>
          <w:color w:val="000000" w:themeColor="text1"/>
          <w:sz w:val="30"/>
          <w:szCs w:val="30"/>
          <w:highlight w:val="none"/>
          <w:lang w:val="en-US" w:eastAsia="zh-CN"/>
          <w14:textFill>
            <w14:solidFill>
              <w14:schemeClr w14:val="tx1"/>
            </w14:solidFill>
          </w14:textFill>
        </w:rPr>
        <w:t>附图4：项目位于园区位置</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52"/>
      </w:tblGrid>
      <w:tr w14:paraId="7B31C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52" w:type="dxa"/>
          </w:tcPr>
          <w:p w14:paraId="41D7C206">
            <w:pPr>
              <w:pStyle w:val="20"/>
              <w:adjustRightInd w:val="0"/>
              <w:snapToGrid w:val="0"/>
              <w:spacing w:before="0" w:beforeAutospacing="0" w:after="0" w:afterAutospacing="0" w:line="240" w:lineRule="auto"/>
              <w:outlineLvl w:val="0"/>
              <w:rPr>
                <w:rFonts w:hint="eastAsia" w:ascii="Times New Roman" w:hAnsi="Times New Roman" w:eastAsia="黑体" w:cs="Times New Roman"/>
                <w:snapToGrid w:val="0"/>
                <w:color w:val="000000" w:themeColor="text1"/>
                <w:sz w:val="30"/>
                <w:szCs w:val="30"/>
                <w:highlight w:val="none"/>
                <w:vertAlign w:val="baseline"/>
                <w:lang w:val="en-US" w:eastAsia="zh-CN"/>
                <w14:textFill>
                  <w14:solidFill>
                    <w14:schemeClr w14:val="tx1"/>
                  </w14:solidFill>
                </w14:textFill>
              </w:rPr>
            </w:pPr>
            <w:r>
              <w:rPr>
                <w:color w:val="000000" w:themeColor="text1"/>
                <w:sz w:val="30"/>
                <w14:textFill>
                  <w14:solidFill>
                    <w14:schemeClr w14:val="tx1"/>
                  </w14:solidFill>
                </w14:textFill>
              </w:rPr>
              <mc:AlternateContent>
                <mc:Choice Requires="wps">
                  <w:drawing>
                    <wp:anchor distT="0" distB="0" distL="114300" distR="114300" simplePos="0" relativeHeight="251708416" behindDoc="0" locked="0" layoutInCell="1" allowOverlap="1">
                      <wp:simplePos x="0" y="0"/>
                      <wp:positionH relativeFrom="column">
                        <wp:posOffset>4617085</wp:posOffset>
                      </wp:positionH>
                      <wp:positionV relativeFrom="paragraph">
                        <wp:posOffset>2886710</wp:posOffset>
                      </wp:positionV>
                      <wp:extent cx="786765" cy="471805"/>
                      <wp:effectExtent l="428625" t="12700" r="16510" b="23495"/>
                      <wp:wrapNone/>
                      <wp:docPr id="84" name="矩形标注 84"/>
                      <wp:cNvGraphicFramePr/>
                      <a:graphic xmlns:a="http://schemas.openxmlformats.org/drawingml/2006/main">
                        <a:graphicData uri="http://schemas.microsoft.com/office/word/2010/wordprocessingShape">
                          <wps:wsp>
                            <wps:cNvSpPr/>
                            <wps:spPr>
                              <a:xfrm>
                                <a:off x="5300980" y="3950335"/>
                                <a:ext cx="786765" cy="471805"/>
                              </a:xfrm>
                              <a:prstGeom prst="wedgeRectCallout">
                                <a:avLst>
                                  <a:gd name="adj1" fmla="val -102865"/>
                                  <a:gd name="adj2" fmla="val 740"/>
                                </a:avLst>
                              </a:prstGeom>
                            </wps:spPr>
                            <wps:style>
                              <a:lnRef idx="2">
                                <a:schemeClr val="accent1">
                                  <a:lumMod val="75000"/>
                                </a:schemeClr>
                              </a:lnRef>
                              <a:fillRef idx="1">
                                <a:schemeClr val="accent1"/>
                              </a:fillRef>
                              <a:effectRef idx="0">
                                <a:srgbClr val="FFFFFF"/>
                              </a:effectRef>
                              <a:fontRef idx="minor">
                                <a:schemeClr val="lt1"/>
                              </a:fontRef>
                            </wps:style>
                            <wps:txbx>
                              <w:txbxContent>
                                <w:p w14:paraId="566B251B">
                                  <w:pPr>
                                    <w:jc w:val="center"/>
                                    <w:rPr>
                                      <w:rFonts w:hint="default" w:eastAsia="宋体"/>
                                      <w:lang w:val="en-US" w:eastAsia="zh-CN"/>
                                    </w:rPr>
                                  </w:pPr>
                                  <w:r>
                                    <w:rPr>
                                      <w:rFonts w:hint="eastAsia"/>
                                      <w:lang w:val="en-US" w:eastAsia="zh-CN"/>
                                    </w:rPr>
                                    <w:t>项目位置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363.55pt;margin-top:227.3pt;height:37.15pt;width:61.95pt;z-index:251708416;v-text-anchor:middle;mso-width-relative:page;mso-height-relative:page;" fillcolor="#4F81BD [3204]" filled="t" stroked="t" coordsize="21600,21600" o:gfxdata="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" adj="-11419,10960">
                      <v:fill on="t" focussize="0,0"/>
                      <v:stroke weight="2pt" color="#376092 [2404]" joinstyle="round"/>
                      <v:imagedata o:title=""/>
                      <o:lock v:ext="edit" aspectratio="f"/>
                      <v:textbox>
                        <w:txbxContent>
                          <w:p w14:paraId="566B251B">
                            <w:pPr>
                              <w:jc w:val="center"/>
                              <w:rPr>
                                <w:rFonts w:hint="default" w:eastAsia="宋体"/>
                                <w:lang w:val="en-US" w:eastAsia="zh-CN"/>
                              </w:rPr>
                            </w:pPr>
                            <w:r>
                              <w:rPr>
                                <w:rFonts w:hint="eastAsia"/>
                                <w:lang w:val="en-US" w:eastAsia="zh-CN"/>
                              </w:rPr>
                              <w:t>项目位置</w:t>
                            </w:r>
                          </w:p>
                        </w:txbxContent>
                      </v:textbox>
                    </v:shape>
                  </w:pict>
                </mc:Fallback>
              </mc:AlternateContent>
            </w:r>
            <w:r>
              <w:rPr>
                <w:rFonts w:hint="eastAsia" w:ascii="Times New Roman" w:hAnsi="Times New Roman" w:eastAsia="黑体" w:cs="Times New Roman"/>
                <w:snapToGrid w:val="0"/>
                <w:color w:val="000000" w:themeColor="text1"/>
                <w:sz w:val="30"/>
                <w:szCs w:val="30"/>
                <w:highlight w:val="none"/>
                <w:vertAlign w:val="baseline"/>
                <w:lang w:val="en-US" w:eastAsia="zh-CN"/>
                <w14:textFill>
                  <w14:solidFill>
                    <w14:schemeClr w14:val="tx1"/>
                  </w14:solidFill>
                </w14:textFill>
              </w:rPr>
              <w:drawing>
                <wp:inline distT="0" distB="0" distL="114300" distR="114300">
                  <wp:extent cx="8468995" cy="5095875"/>
                  <wp:effectExtent l="0" t="0" r="1905" b="9525"/>
                  <wp:docPr id="83" name="图片 83" descr="3609890068e5d8367c00be989659c2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3" descr="3609890068e5d8367c00be989659c29a"/>
                          <pic:cNvPicPr>
                            <a:picLocks noChangeAspect="1"/>
                          </pic:cNvPicPr>
                        </pic:nvPicPr>
                        <pic:blipFill>
                          <a:blip r:embed="rId41"/>
                          <a:srcRect l="3414" t="2839" r="3664" b="2285"/>
                          <a:stretch>
                            <a:fillRect/>
                          </a:stretch>
                        </pic:blipFill>
                        <pic:spPr>
                          <a:xfrm>
                            <a:off x="0" y="0"/>
                            <a:ext cx="8468995" cy="5095875"/>
                          </a:xfrm>
                          <a:prstGeom prst="rect">
                            <a:avLst/>
                          </a:prstGeom>
                        </pic:spPr>
                      </pic:pic>
                    </a:graphicData>
                  </a:graphic>
                </wp:inline>
              </w:drawing>
            </w:r>
          </w:p>
        </w:tc>
      </w:tr>
    </w:tbl>
    <w:p w14:paraId="0B57E738">
      <w:pPr>
        <w:pStyle w:val="20"/>
        <w:adjustRightInd w:val="0"/>
        <w:snapToGrid w:val="0"/>
        <w:spacing w:before="0" w:beforeAutospacing="0" w:after="0" w:afterAutospacing="0" w:line="500" w:lineRule="exact"/>
        <w:outlineLvl w:val="0"/>
        <w:rPr>
          <w:rFonts w:hint="eastAsia" w:ascii="Times New Roman" w:hAnsi="Times New Roman" w:eastAsia="黑体" w:cs="Times New Roman"/>
          <w:snapToGrid w:val="0"/>
          <w:color w:val="000000" w:themeColor="text1"/>
          <w:sz w:val="30"/>
          <w:szCs w:val="30"/>
          <w:highlight w:val="none"/>
          <w:lang w:val="en-US" w:eastAsia="zh-CN"/>
          <w14:textFill>
            <w14:solidFill>
              <w14:schemeClr w14:val="tx1"/>
            </w14:solidFill>
          </w14:textFill>
        </w:rPr>
        <w:sectPr>
          <w:pgSz w:w="16838" w:h="11906" w:orient="landscape"/>
          <w:pgMar w:top="1531" w:right="1701" w:bottom="1531" w:left="1701" w:header="851" w:footer="851" w:gutter="0"/>
          <w:pgBorders>
            <w:top w:val="none" w:sz="0" w:space="0"/>
            <w:left w:val="none" w:sz="0" w:space="0"/>
            <w:bottom w:val="none" w:sz="0" w:space="0"/>
            <w:right w:val="none" w:sz="0" w:space="0"/>
          </w:pgBorders>
          <w:cols w:space="720" w:num="1"/>
          <w:docGrid w:linePitch="312" w:charSpace="0"/>
        </w:sectPr>
      </w:pPr>
    </w:p>
    <w:p w14:paraId="721A7D7E">
      <w:pPr>
        <w:pStyle w:val="20"/>
        <w:adjustRightInd w:val="0"/>
        <w:snapToGrid w:val="0"/>
        <w:spacing w:before="0" w:beforeAutospacing="0" w:after="0" w:afterAutospacing="0" w:line="500" w:lineRule="exact"/>
        <w:outlineLvl w:val="0"/>
        <w:rPr>
          <w:rFonts w:hint="eastAsia" w:ascii="Times New Roman" w:hAnsi="Times New Roman" w:eastAsia="黑体" w:cs="Times New Roman"/>
          <w:snapToGrid w:val="0"/>
          <w:color w:val="000000" w:themeColor="text1"/>
          <w:sz w:val="30"/>
          <w:szCs w:val="30"/>
          <w:highlight w:val="none"/>
          <w:lang w:val="en-US" w:eastAsia="zh-CN"/>
          <w14:textFill>
            <w14:solidFill>
              <w14:schemeClr w14:val="tx1"/>
            </w14:solidFill>
          </w14:textFill>
        </w:rPr>
      </w:pPr>
      <w:r>
        <w:rPr>
          <w:rFonts w:hint="eastAsia" w:ascii="Times New Roman" w:hAnsi="Times New Roman" w:eastAsia="黑体" w:cs="Times New Roman"/>
          <w:snapToGrid w:val="0"/>
          <w:color w:val="000000" w:themeColor="text1"/>
          <w:sz w:val="30"/>
          <w:szCs w:val="30"/>
          <w:highlight w:val="none"/>
          <w:lang w:val="en-US" w:eastAsia="zh-CN"/>
          <w14:textFill>
            <w14:solidFill>
              <w14:schemeClr w14:val="tx1"/>
            </w14:solidFill>
          </w14:textFill>
        </w:rPr>
        <w:t>附图5：本项目与</w:t>
      </w:r>
      <w:r>
        <w:rPr>
          <w:rFonts w:hint="default" w:ascii="Times New Roman" w:hAnsi="Times New Roman" w:eastAsia="黑体" w:cs="Times New Roman"/>
          <w:snapToGrid w:val="0"/>
          <w:color w:val="000000" w:themeColor="text1"/>
          <w:sz w:val="30"/>
          <w:szCs w:val="30"/>
          <w:highlight w:val="none"/>
          <w:lang w:val="en-US" w:eastAsia="zh-CN"/>
          <w14:textFill>
            <w14:solidFill>
              <w14:schemeClr w14:val="tx1"/>
            </w14:solidFill>
          </w14:textFill>
        </w:rPr>
        <w:t>内蒙古伊东东方能源公司</w:t>
      </w:r>
      <w:r>
        <w:rPr>
          <w:rFonts w:hint="eastAsia" w:ascii="Times New Roman" w:hAnsi="Times New Roman" w:eastAsia="黑体" w:cs="Times New Roman"/>
          <w:snapToGrid w:val="0"/>
          <w:color w:val="000000" w:themeColor="text1"/>
          <w:sz w:val="30"/>
          <w:szCs w:val="30"/>
          <w:highlight w:val="none"/>
          <w:lang w:val="en-US" w:eastAsia="zh-CN"/>
          <w14:textFill>
            <w14:solidFill>
              <w14:schemeClr w14:val="tx1"/>
            </w14:solidFill>
          </w14:textFill>
        </w:rPr>
        <w:t>位置关系图</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50"/>
      </w:tblGrid>
      <w:tr w14:paraId="64B09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0" w:type="dxa"/>
          </w:tcPr>
          <w:p w14:paraId="7E7581AD">
            <w:pPr>
              <w:pStyle w:val="20"/>
              <w:adjustRightInd w:val="0"/>
              <w:snapToGrid w:val="0"/>
              <w:spacing w:before="0" w:beforeAutospacing="0" w:after="0" w:afterAutospacing="0" w:line="240" w:lineRule="auto"/>
              <w:outlineLvl w:val="0"/>
              <w:rPr>
                <w:color w:val="000000" w:themeColor="text1"/>
                <w:highlight w:val="none"/>
                <w:vertAlign w:val="baseline"/>
                <w14:textFill>
                  <w14:solidFill>
                    <w14:schemeClr w14:val="tx1"/>
                  </w14:solidFill>
                </w14:textFill>
              </w:rPr>
            </w:pPr>
            <w:r>
              <w:rPr>
                <w:color w:val="000000" w:themeColor="text1"/>
                <w:sz w:val="24"/>
                <w:highlight w:val="none"/>
                <w14:textFill>
                  <w14:solidFill>
                    <w14:schemeClr w14:val="tx1"/>
                  </w14:solidFill>
                </w14:textFill>
              </w:rPr>
              <mc:AlternateContent>
                <mc:Choice Requires="wps">
                  <w:drawing>
                    <wp:anchor distT="0" distB="0" distL="114300" distR="114300" simplePos="0" relativeHeight="251694080" behindDoc="0" locked="0" layoutInCell="1" allowOverlap="1">
                      <wp:simplePos x="0" y="0"/>
                      <wp:positionH relativeFrom="column">
                        <wp:posOffset>4052570</wp:posOffset>
                      </wp:positionH>
                      <wp:positionV relativeFrom="paragraph">
                        <wp:posOffset>2096770</wp:posOffset>
                      </wp:positionV>
                      <wp:extent cx="1028065" cy="521970"/>
                      <wp:effectExtent l="0" t="0" r="0" b="0"/>
                      <wp:wrapNone/>
                      <wp:docPr id="38" name="文本框 200"/>
                      <wp:cNvGraphicFramePr/>
                      <a:graphic xmlns:a="http://schemas.openxmlformats.org/drawingml/2006/main">
                        <a:graphicData uri="http://schemas.microsoft.com/office/word/2010/wordprocessingShape">
                          <wps:wsp>
                            <wps:cNvSpPr txBox="1"/>
                            <wps:spPr>
                              <a:xfrm>
                                <a:off x="0" y="0"/>
                                <a:ext cx="1028065" cy="521970"/>
                              </a:xfrm>
                              <a:prstGeom prst="rect">
                                <a:avLst/>
                              </a:prstGeom>
                              <a:noFill/>
                              <a:ln>
                                <a:noFill/>
                              </a:ln>
                            </wps:spPr>
                            <wps:txbx>
                              <w:txbxContent>
                                <w:p w14:paraId="6137BFCF">
                                  <w:pPr>
                                    <w:jc w:val="center"/>
                                    <w:rPr>
                                      <w:rFonts w:hint="eastAsia" w:eastAsia="宋体"/>
                                      <w:b/>
                                      <w:bCs/>
                                      <w:lang w:val="en-US" w:eastAsia="zh-CN"/>
                                    </w:rPr>
                                  </w:pPr>
                                  <w:r>
                                    <w:rPr>
                                      <w:rFonts w:hint="eastAsia"/>
                                      <w:b/>
                                      <w:bCs/>
                                      <w:lang w:val="en-US" w:eastAsia="zh-CN"/>
                                    </w:rPr>
                                    <w:t>本项目</w:t>
                                  </w:r>
                                </w:p>
                              </w:txbxContent>
                            </wps:txbx>
                            <wps:bodyPr upright="1"/>
                          </wps:wsp>
                        </a:graphicData>
                      </a:graphic>
                    </wp:anchor>
                  </w:drawing>
                </mc:Choice>
                <mc:Fallback>
                  <w:pict>
                    <v:shape id="文本框 200" o:spid="_x0000_s1026" o:spt="202" type="#_x0000_t202" style="position:absolute;left:0pt;margin-left:319.1pt;margin-top:165.1pt;height:41.1pt;width:80.95pt;z-index:251694080;mso-width-relative:page;mso-height-relative:page;" filled="f" stroked="f" coordsize="21600,21600" o:gfxdata="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AfMx9T&#10;2AAAAAsBAAAPAAAAAAAAAAEAIAAAACIAAABkcnMvZG93bnJldi54bWxQSwECFAAUAAAACACHTuJA&#10;AZo1Zq8BAABRAwAADgAAAAAAAAABACAAAAAnAQAAZHJzL2Uyb0RvYy54bWxQSwUGAAAAAAYABgBZ&#10;AQAASAUAAAAA&#10;">
                      <v:fill on="f" focussize="0,0"/>
                      <v:stroke on="f"/>
                      <v:imagedata o:title=""/>
                      <o:lock v:ext="edit" aspectratio="f"/>
                      <v:textbox>
                        <w:txbxContent>
                          <w:p w14:paraId="6137BFCF">
                            <w:pPr>
                              <w:jc w:val="center"/>
                              <w:rPr>
                                <w:rFonts w:hint="eastAsia" w:eastAsia="宋体"/>
                                <w:b/>
                                <w:bCs/>
                                <w:lang w:val="en-US" w:eastAsia="zh-CN"/>
                              </w:rPr>
                            </w:pPr>
                            <w:r>
                              <w:rPr>
                                <w:rFonts w:hint="eastAsia"/>
                                <w:b/>
                                <w:bCs/>
                                <w:lang w:val="en-US" w:eastAsia="zh-CN"/>
                              </w:rPr>
                              <w:t>本项目</w:t>
                            </w:r>
                          </w:p>
                        </w:txbxContent>
                      </v:textbox>
                    </v:shape>
                  </w:pict>
                </mc:Fallback>
              </mc:AlternateContent>
            </w:r>
            <w:r>
              <w:rPr>
                <w:color w:val="000000" w:themeColor="text1"/>
                <w:sz w:val="24"/>
                <w:highlight w:val="none"/>
                <w14:textFill>
                  <w14:solidFill>
                    <w14:schemeClr w14:val="tx1"/>
                  </w14:solidFill>
                </w14:textFill>
              </w:rPr>
              <mc:AlternateContent>
                <mc:Choice Requires="wps">
                  <w:drawing>
                    <wp:anchor distT="0" distB="0" distL="114300" distR="114300" simplePos="0" relativeHeight="251693056" behindDoc="0" locked="0" layoutInCell="1" allowOverlap="1">
                      <wp:simplePos x="0" y="0"/>
                      <wp:positionH relativeFrom="column">
                        <wp:posOffset>2820670</wp:posOffset>
                      </wp:positionH>
                      <wp:positionV relativeFrom="paragraph">
                        <wp:posOffset>2045335</wp:posOffset>
                      </wp:positionV>
                      <wp:extent cx="1028065" cy="521970"/>
                      <wp:effectExtent l="0" t="0" r="0" b="0"/>
                      <wp:wrapNone/>
                      <wp:docPr id="37" name="文本框 199"/>
                      <wp:cNvGraphicFramePr/>
                      <a:graphic xmlns:a="http://schemas.openxmlformats.org/drawingml/2006/main">
                        <a:graphicData uri="http://schemas.microsoft.com/office/word/2010/wordprocessingShape">
                          <wps:wsp>
                            <wps:cNvSpPr txBox="1"/>
                            <wps:spPr>
                              <a:xfrm>
                                <a:off x="0" y="0"/>
                                <a:ext cx="1028065" cy="521970"/>
                              </a:xfrm>
                              <a:prstGeom prst="rect">
                                <a:avLst/>
                              </a:prstGeom>
                              <a:noFill/>
                              <a:ln>
                                <a:noFill/>
                              </a:ln>
                            </wps:spPr>
                            <wps:txbx>
                              <w:txbxContent>
                                <w:p w14:paraId="10F149A0">
                                  <w:pPr>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内蒙古伊东东方能源公司</w:t>
                                  </w:r>
                                </w:p>
                              </w:txbxContent>
                            </wps:txbx>
                            <wps:bodyPr upright="1"/>
                          </wps:wsp>
                        </a:graphicData>
                      </a:graphic>
                    </wp:anchor>
                  </w:drawing>
                </mc:Choice>
                <mc:Fallback>
                  <w:pict>
                    <v:shape id="文本框 199" o:spid="_x0000_s1026" o:spt="202" type="#_x0000_t202" style="position:absolute;left:0pt;margin-left:222.1pt;margin-top:161.05pt;height:41.1pt;width:80.95pt;z-index:251693056;mso-width-relative:page;mso-height-relative:page;" filled="f" stroked="f" coordsize="21600,21600" o:gfxdata="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qCk1&#10;4NcAAAALAQAADwAAAAAAAAABACAAAAAiAAAAZHJzL2Rvd25yZXYueG1sUEsBAhQAFAAAAAgAh07i&#10;QKToAgSxAQAAUQMAAA4AAAAAAAAAAQAgAAAAJgEAAGRycy9lMm9Eb2MueG1sUEsFBgAAAAAGAAYA&#10;WQEAAEkFAAAAAA==&#10;">
                      <v:fill on="f" focussize="0,0"/>
                      <v:stroke on="f"/>
                      <v:imagedata o:title=""/>
                      <o:lock v:ext="edit" aspectratio="f"/>
                      <v:textbox>
                        <w:txbxContent>
                          <w:p w14:paraId="10F149A0">
                            <w:pPr>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内蒙古伊东东方能源公司</w:t>
                            </w:r>
                          </w:p>
                        </w:txbxContent>
                      </v:textbox>
                    </v:shape>
                  </w:pict>
                </mc:Fallback>
              </mc:AlternateContent>
            </w:r>
            <w:r>
              <w:rPr>
                <w:color w:val="000000" w:themeColor="text1"/>
                <w:highlight w:val="none"/>
                <w14:textFill>
                  <w14:solidFill>
                    <w14:schemeClr w14:val="tx1"/>
                  </w14:solidFill>
                </w14:textFill>
              </w:rPr>
              <w:drawing>
                <wp:anchor distT="0" distB="0" distL="114300" distR="114300" simplePos="0" relativeHeight="251692032" behindDoc="0" locked="0" layoutInCell="1" allowOverlap="1">
                  <wp:simplePos x="0" y="0"/>
                  <wp:positionH relativeFrom="column">
                    <wp:posOffset>0</wp:posOffset>
                  </wp:positionH>
                  <wp:positionV relativeFrom="paragraph">
                    <wp:posOffset>-2805430</wp:posOffset>
                  </wp:positionV>
                  <wp:extent cx="8384540" cy="5006975"/>
                  <wp:effectExtent l="0" t="0" r="16510" b="3175"/>
                  <wp:wrapTopAndBottom/>
                  <wp:docPr id="36" name="图片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98"/>
                          <pic:cNvPicPr>
                            <a:picLocks noChangeAspect="1"/>
                          </pic:cNvPicPr>
                        </pic:nvPicPr>
                        <pic:blipFill>
                          <a:blip r:embed="rId42"/>
                          <a:stretch>
                            <a:fillRect/>
                          </a:stretch>
                        </pic:blipFill>
                        <pic:spPr>
                          <a:xfrm>
                            <a:off x="0" y="0"/>
                            <a:ext cx="8384540" cy="5006975"/>
                          </a:xfrm>
                          <a:prstGeom prst="rect">
                            <a:avLst/>
                          </a:prstGeom>
                          <a:noFill/>
                          <a:ln>
                            <a:noFill/>
                          </a:ln>
                        </pic:spPr>
                      </pic:pic>
                    </a:graphicData>
                  </a:graphic>
                </wp:anchor>
              </w:drawing>
            </w:r>
          </w:p>
        </w:tc>
      </w:tr>
    </w:tbl>
    <w:p w14:paraId="4C78567E">
      <w:pPr>
        <w:pStyle w:val="20"/>
        <w:adjustRightInd w:val="0"/>
        <w:snapToGrid w:val="0"/>
        <w:spacing w:before="0" w:beforeAutospacing="0" w:after="0" w:afterAutospacing="0" w:line="500" w:lineRule="exact"/>
        <w:outlineLvl w:val="0"/>
        <w:rPr>
          <w:rFonts w:hint="default" w:ascii="Times New Roman" w:hAnsi="Times New Roman" w:eastAsia="黑体" w:cs="Times New Roman"/>
          <w:snapToGrid w:val="0"/>
          <w:color w:val="000000" w:themeColor="text1"/>
          <w:sz w:val="30"/>
          <w:szCs w:val="30"/>
          <w:highlight w:val="none"/>
          <w:lang w:val="en-US" w:eastAsia="zh-CN"/>
          <w14:textFill>
            <w14:solidFill>
              <w14:schemeClr w14:val="tx1"/>
            </w14:solidFill>
          </w14:textFill>
        </w:rPr>
        <w:sectPr>
          <w:pgSz w:w="16838" w:h="11906" w:orient="landscape"/>
          <w:pgMar w:top="1531" w:right="1701" w:bottom="1531" w:left="1701" w:header="851" w:footer="851" w:gutter="0"/>
          <w:pgBorders>
            <w:top w:val="none" w:sz="0" w:space="0"/>
            <w:left w:val="none" w:sz="0" w:space="0"/>
            <w:bottom w:val="none" w:sz="0" w:space="0"/>
            <w:right w:val="none" w:sz="0" w:space="0"/>
          </w:pgBorders>
          <w:cols w:space="720" w:num="1"/>
          <w:docGrid w:linePitch="312" w:charSpace="0"/>
        </w:sectPr>
      </w:pPr>
    </w:p>
    <w:p w14:paraId="768A540B">
      <w:pPr>
        <w:pStyle w:val="20"/>
        <w:adjustRightInd w:val="0"/>
        <w:snapToGrid w:val="0"/>
        <w:spacing w:before="0" w:beforeAutospacing="0" w:after="0" w:afterAutospacing="0" w:line="500" w:lineRule="exact"/>
        <w:outlineLvl w:val="0"/>
        <w:rPr>
          <w:rFonts w:hint="eastAsia" w:ascii="Times New Roman" w:hAnsi="Times New Roman" w:eastAsia="黑体" w:cs="Times New Roman"/>
          <w:snapToGrid w:val="0"/>
          <w:color w:val="000000" w:themeColor="text1"/>
          <w:sz w:val="30"/>
          <w:szCs w:val="30"/>
          <w:highlight w:val="none"/>
          <w:lang w:val="en-US" w:eastAsia="zh-CN"/>
          <w14:textFill>
            <w14:solidFill>
              <w14:schemeClr w14:val="tx1"/>
            </w14:solidFill>
          </w14:textFill>
        </w:rPr>
      </w:pPr>
      <w:r>
        <w:rPr>
          <w:rFonts w:hint="eastAsia" w:ascii="Times New Roman" w:hAnsi="Times New Roman" w:eastAsia="黑体" w:cs="Times New Roman"/>
          <w:snapToGrid w:val="0"/>
          <w:color w:val="000000" w:themeColor="text1"/>
          <w:sz w:val="30"/>
          <w:szCs w:val="30"/>
          <w:highlight w:val="none"/>
          <w:lang w:val="en-US" w:eastAsia="zh-CN"/>
          <w14:textFill>
            <w14:solidFill>
              <w14:schemeClr w14:val="tx1"/>
            </w14:solidFill>
          </w14:textFill>
        </w:rPr>
        <w:t>附图6：本项目与</w:t>
      </w:r>
      <w:r>
        <w:rPr>
          <w:rFonts w:hint="default" w:ascii="Times New Roman" w:hAnsi="Times New Roman" w:eastAsia="黑体" w:cs="Times New Roman"/>
          <w:snapToGrid w:val="0"/>
          <w:color w:val="000000" w:themeColor="text1"/>
          <w:sz w:val="30"/>
          <w:szCs w:val="30"/>
          <w:highlight w:val="none"/>
          <w:lang w:val="en-US" w:eastAsia="zh-CN"/>
          <w14:textFill>
            <w14:solidFill>
              <w14:schemeClr w14:val="tx1"/>
            </w14:solidFill>
          </w14:textFill>
        </w:rPr>
        <w:t>内蒙古伊东</w:t>
      </w:r>
      <w:r>
        <w:rPr>
          <w:rFonts w:hint="eastAsia" w:ascii="Times New Roman" w:hAnsi="Times New Roman" w:eastAsia="黑体" w:cs="Times New Roman"/>
          <w:snapToGrid w:val="0"/>
          <w:color w:val="000000" w:themeColor="text1"/>
          <w:sz w:val="30"/>
          <w:szCs w:val="30"/>
          <w:highlight w:val="none"/>
          <w:lang w:val="en-US" w:eastAsia="zh-CN"/>
          <w14:textFill>
            <w14:solidFill>
              <w14:schemeClr w14:val="tx1"/>
            </w14:solidFill>
          </w14:textFill>
        </w:rPr>
        <w:t>东发</w:t>
      </w:r>
      <w:r>
        <w:rPr>
          <w:rFonts w:hint="default" w:ascii="Times New Roman" w:hAnsi="Times New Roman" w:eastAsia="黑体" w:cs="Times New Roman"/>
          <w:snapToGrid w:val="0"/>
          <w:color w:val="000000" w:themeColor="text1"/>
          <w:sz w:val="30"/>
          <w:szCs w:val="30"/>
          <w:highlight w:val="none"/>
          <w:lang w:val="en-US" w:eastAsia="zh-CN"/>
          <w14:textFill>
            <w14:solidFill>
              <w14:schemeClr w14:val="tx1"/>
            </w14:solidFill>
          </w14:textFill>
        </w:rPr>
        <w:t>公司</w:t>
      </w:r>
      <w:r>
        <w:rPr>
          <w:rFonts w:hint="eastAsia" w:ascii="Times New Roman" w:hAnsi="Times New Roman" w:eastAsia="黑体" w:cs="Times New Roman"/>
          <w:snapToGrid w:val="0"/>
          <w:color w:val="000000" w:themeColor="text1"/>
          <w:sz w:val="30"/>
          <w:szCs w:val="30"/>
          <w:highlight w:val="none"/>
          <w:lang w:val="en-US" w:eastAsia="zh-CN"/>
          <w14:textFill>
            <w14:solidFill>
              <w14:schemeClr w14:val="tx1"/>
            </w14:solidFill>
          </w14:textFill>
        </w:rPr>
        <w:t>位置关系图</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16327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52" w:type="dxa"/>
          </w:tcPr>
          <w:p w14:paraId="0545B0AB">
            <w:pPr>
              <w:pStyle w:val="20"/>
              <w:adjustRightInd w:val="0"/>
              <w:snapToGrid w:val="0"/>
              <w:spacing w:before="0" w:beforeAutospacing="0" w:after="0" w:afterAutospacing="0" w:line="500" w:lineRule="exact"/>
              <w:outlineLvl w:val="0"/>
              <w:rPr>
                <w:rFonts w:hint="eastAsia" w:ascii="Times New Roman" w:hAnsi="Times New Roman" w:eastAsia="黑体" w:cs="Times New Roman"/>
                <w:snapToGrid w:val="0"/>
                <w:color w:val="000000" w:themeColor="text1"/>
                <w:sz w:val="30"/>
                <w:szCs w:val="30"/>
                <w:highlight w:val="none"/>
                <w:vertAlign w:val="baseline"/>
                <w:lang w:val="en-US" w:eastAsia="zh-CN"/>
                <w14:textFill>
                  <w14:solidFill>
                    <w14:schemeClr w14:val="tx1"/>
                  </w14:solidFill>
                </w14:textFill>
              </w:rPr>
            </w:pPr>
            <w:r>
              <w:rPr>
                <w:color w:val="000000" w:themeColor="text1"/>
                <w14:textFill>
                  <w14:solidFill>
                    <w14:schemeClr w14:val="tx1"/>
                  </w14:solidFill>
                </w14:textFill>
              </w:rPr>
              <w:drawing>
                <wp:anchor distT="0" distB="0" distL="114300" distR="114300" simplePos="0" relativeHeight="251707392" behindDoc="0" locked="0" layoutInCell="1" allowOverlap="1">
                  <wp:simplePos x="0" y="0"/>
                  <wp:positionH relativeFrom="column">
                    <wp:posOffset>-52705</wp:posOffset>
                  </wp:positionH>
                  <wp:positionV relativeFrom="paragraph">
                    <wp:posOffset>384810</wp:posOffset>
                  </wp:positionV>
                  <wp:extent cx="8513445" cy="4816475"/>
                  <wp:effectExtent l="0" t="0" r="8255" b="9525"/>
                  <wp:wrapTopAndBottom/>
                  <wp:docPr id="8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2"/>
                          <pic:cNvPicPr>
                            <a:picLocks noChangeAspect="1"/>
                          </pic:cNvPicPr>
                        </pic:nvPicPr>
                        <pic:blipFill>
                          <a:blip r:embed="rId43"/>
                          <a:stretch>
                            <a:fillRect/>
                          </a:stretch>
                        </pic:blipFill>
                        <pic:spPr>
                          <a:xfrm>
                            <a:off x="0" y="0"/>
                            <a:ext cx="8513445" cy="4816475"/>
                          </a:xfrm>
                          <a:prstGeom prst="rect">
                            <a:avLst/>
                          </a:prstGeom>
                          <a:noFill/>
                          <a:ln>
                            <a:noFill/>
                          </a:ln>
                        </pic:spPr>
                      </pic:pic>
                    </a:graphicData>
                  </a:graphic>
                </wp:anchor>
              </w:drawing>
            </w:r>
          </w:p>
        </w:tc>
      </w:tr>
    </w:tbl>
    <w:p w14:paraId="6B20FD44">
      <w:pPr>
        <w:bidi w:val="0"/>
        <w:rPr>
          <w:rFonts w:hint="eastAsia"/>
          <w:color w:val="000000" w:themeColor="text1"/>
          <w:lang w:val="en-US" w:eastAsia="zh-CN"/>
          <w14:textFill>
            <w14:solidFill>
              <w14:schemeClr w14:val="tx1"/>
            </w14:solidFill>
          </w14:textFill>
        </w:rPr>
      </w:pPr>
    </w:p>
    <w:p w14:paraId="45B21FB6">
      <w:pPr>
        <w:pStyle w:val="20"/>
        <w:adjustRightInd w:val="0"/>
        <w:snapToGrid w:val="0"/>
        <w:spacing w:before="0" w:beforeAutospacing="0" w:after="0" w:afterAutospacing="0" w:line="500" w:lineRule="exact"/>
        <w:outlineLvl w:val="0"/>
        <w:rPr>
          <w:rFonts w:hint="eastAsia" w:ascii="Times New Roman" w:hAnsi="Times New Roman" w:eastAsia="黑体" w:cs="Times New Roman"/>
          <w:snapToGrid w:val="0"/>
          <w:color w:val="000000" w:themeColor="text1"/>
          <w:sz w:val="30"/>
          <w:szCs w:val="30"/>
          <w:highlight w:val="none"/>
          <w:lang w:val="en-US" w:eastAsia="zh-CN"/>
          <w14:textFill>
            <w14:solidFill>
              <w14:schemeClr w14:val="tx1"/>
            </w14:solidFill>
          </w14:textFill>
        </w:rPr>
        <w:sectPr>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p w14:paraId="4CFCDD1E">
      <w:pPr>
        <w:pStyle w:val="20"/>
        <w:adjustRightInd w:val="0"/>
        <w:snapToGrid w:val="0"/>
        <w:spacing w:before="0" w:beforeAutospacing="0" w:after="0" w:afterAutospacing="0" w:line="500" w:lineRule="exact"/>
        <w:outlineLvl w:val="0"/>
        <w:rPr>
          <w:rFonts w:hint="eastAsia" w:ascii="Times New Roman" w:hAnsi="Times New Roman" w:eastAsia="黑体" w:cs="Times New Roman"/>
          <w:snapToGrid w:val="0"/>
          <w:color w:val="000000" w:themeColor="text1"/>
          <w:sz w:val="30"/>
          <w:szCs w:val="30"/>
          <w:highlight w:val="none"/>
          <w:lang w:val="en-US" w:eastAsia="zh-CN"/>
          <w14:textFill>
            <w14:solidFill>
              <w14:schemeClr w14:val="tx1"/>
            </w14:solidFill>
          </w14:textFill>
        </w:rPr>
      </w:pPr>
      <w:r>
        <w:rPr>
          <w:rFonts w:hint="eastAsia" w:ascii="Times New Roman" w:hAnsi="Times New Roman" w:eastAsia="黑体" w:cs="Times New Roman"/>
          <w:snapToGrid w:val="0"/>
          <w:color w:val="000000" w:themeColor="text1"/>
          <w:sz w:val="30"/>
          <w:szCs w:val="30"/>
          <w:highlight w:val="none"/>
          <w:lang w:val="en-US" w:eastAsia="zh-CN"/>
          <w14:textFill>
            <w14:solidFill>
              <w14:schemeClr w14:val="tx1"/>
            </w14:solidFill>
          </w14:textFill>
        </w:rPr>
        <w:t>附件1：备案立项</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3C527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14:paraId="009BAFE8">
            <w:pPr>
              <w:pStyle w:val="20"/>
              <w:adjustRightInd w:val="0"/>
              <w:snapToGrid w:val="0"/>
              <w:spacing w:before="0" w:beforeAutospacing="0" w:after="0" w:afterAutospacing="0" w:line="500" w:lineRule="exact"/>
              <w:outlineLvl w:val="0"/>
              <w:rPr>
                <w:rFonts w:hint="default" w:ascii="Times New Roman" w:hAnsi="Times New Roman" w:eastAsia="黑体" w:cs="Times New Roman"/>
                <w:snapToGrid w:val="0"/>
                <w:color w:val="000000" w:themeColor="text1"/>
                <w:sz w:val="30"/>
                <w:szCs w:val="30"/>
                <w:highlight w:val="none"/>
                <w:vertAlign w:val="baseline"/>
                <w:lang w:val="en-US" w:eastAsia="zh-CN"/>
                <w14:textFill>
                  <w14:solidFill>
                    <w14:schemeClr w14:val="tx1"/>
                  </w14:solidFill>
                </w14:textFill>
              </w:rPr>
            </w:pPr>
            <w:r>
              <w:rPr>
                <w:color w:val="000000" w:themeColor="text1"/>
                <w:highlight w:val="none"/>
                <w14:textFill>
                  <w14:solidFill>
                    <w14:schemeClr w14:val="tx1"/>
                  </w14:solidFill>
                </w14:textFill>
              </w:rPr>
              <w:drawing>
                <wp:anchor distT="0" distB="0" distL="114300" distR="114300" simplePos="0" relativeHeight="251689984" behindDoc="0" locked="0" layoutInCell="1" allowOverlap="1">
                  <wp:simplePos x="0" y="0"/>
                  <wp:positionH relativeFrom="column">
                    <wp:posOffset>8890</wp:posOffset>
                  </wp:positionH>
                  <wp:positionV relativeFrom="paragraph">
                    <wp:posOffset>117475</wp:posOffset>
                  </wp:positionV>
                  <wp:extent cx="5608955" cy="7738110"/>
                  <wp:effectExtent l="0" t="0" r="10795" b="15240"/>
                  <wp:wrapTopAndBottom/>
                  <wp:docPr id="34" name="图片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96"/>
                          <pic:cNvPicPr>
                            <a:picLocks noChangeAspect="1"/>
                          </pic:cNvPicPr>
                        </pic:nvPicPr>
                        <pic:blipFill>
                          <a:blip r:embed="rId44"/>
                          <a:stretch>
                            <a:fillRect/>
                          </a:stretch>
                        </pic:blipFill>
                        <pic:spPr>
                          <a:xfrm>
                            <a:off x="0" y="0"/>
                            <a:ext cx="5608955" cy="7738110"/>
                          </a:xfrm>
                          <a:prstGeom prst="rect">
                            <a:avLst/>
                          </a:prstGeom>
                          <a:noFill/>
                          <a:ln>
                            <a:noFill/>
                          </a:ln>
                        </pic:spPr>
                      </pic:pic>
                    </a:graphicData>
                  </a:graphic>
                </wp:anchor>
              </w:drawing>
            </w:r>
          </w:p>
        </w:tc>
      </w:tr>
    </w:tbl>
    <w:p w14:paraId="745B7888">
      <w:pPr>
        <w:pStyle w:val="20"/>
        <w:adjustRightInd w:val="0"/>
        <w:snapToGrid w:val="0"/>
        <w:spacing w:before="0" w:beforeAutospacing="0" w:after="0" w:afterAutospacing="0" w:line="500" w:lineRule="exact"/>
        <w:outlineLvl w:val="0"/>
        <w:rPr>
          <w:rFonts w:hint="eastAsia" w:ascii="Times New Roman" w:hAnsi="Times New Roman" w:eastAsia="黑体" w:cs="Times New Roman"/>
          <w:snapToGrid w:val="0"/>
          <w:color w:val="000000" w:themeColor="text1"/>
          <w:sz w:val="30"/>
          <w:szCs w:val="30"/>
          <w:highlight w:val="none"/>
          <w:lang w:val="en-US" w:eastAsia="zh-CN"/>
          <w14:textFill>
            <w14:solidFill>
              <w14:schemeClr w14:val="tx1"/>
            </w14:solidFill>
          </w14:textFill>
        </w:rPr>
      </w:pPr>
      <w:r>
        <w:rPr>
          <w:rFonts w:hint="eastAsia" w:ascii="Times New Roman" w:hAnsi="Times New Roman" w:eastAsia="黑体" w:cs="Times New Roman"/>
          <w:snapToGrid w:val="0"/>
          <w:color w:val="000000" w:themeColor="text1"/>
          <w:sz w:val="30"/>
          <w:szCs w:val="30"/>
          <w:highlight w:val="none"/>
          <w:lang w:val="en-US" w:eastAsia="zh-CN"/>
          <w14:textFill>
            <w14:solidFill>
              <w14:schemeClr w14:val="tx1"/>
            </w14:solidFill>
          </w14:textFill>
        </w:rPr>
        <w:t>附件2：营业执照</w:t>
      </w:r>
    </w:p>
    <w:p w14:paraId="4BAC55B1">
      <w:pPr>
        <w:bidi w:val="0"/>
        <w:rPr>
          <w:rFonts w:hint="eastAsia"/>
          <w:color w:val="000000" w:themeColor="text1"/>
          <w:lang w:val="en-US" w:eastAsia="zh-CN"/>
          <w14:textFill>
            <w14:solidFill>
              <w14:schemeClr w14:val="tx1"/>
            </w14:solidFill>
          </w14:textFill>
        </w:rPr>
      </w:pPr>
    </w:p>
    <w:p w14:paraId="2DE1B6FE">
      <w:pPr>
        <w:bidi w:val="0"/>
        <w:rPr>
          <w:rFonts w:hint="default"/>
          <w:color w:val="000000" w:themeColor="text1"/>
          <w:lang w:val="en-US" w:eastAsia="zh-CN"/>
          <w14:textFill>
            <w14:solidFill>
              <w14:schemeClr w14:val="tx1"/>
            </w14:solidFill>
          </w14:textFill>
        </w:rPr>
        <w:sectPr>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r>
        <w:drawing>
          <wp:inline distT="0" distB="0" distL="114300" distR="114300">
            <wp:extent cx="5609590" cy="7700645"/>
            <wp:effectExtent l="0" t="0" r="10160" b="14605"/>
            <wp:docPr id="8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1"/>
                    <pic:cNvPicPr>
                      <a:picLocks noChangeAspect="1"/>
                    </pic:cNvPicPr>
                  </pic:nvPicPr>
                  <pic:blipFill>
                    <a:blip r:embed="rId45"/>
                    <a:stretch>
                      <a:fillRect/>
                    </a:stretch>
                  </pic:blipFill>
                  <pic:spPr>
                    <a:xfrm rot="10800000">
                      <a:off x="0" y="0"/>
                      <a:ext cx="5609590" cy="7700645"/>
                    </a:xfrm>
                    <a:prstGeom prst="rect">
                      <a:avLst/>
                    </a:prstGeom>
                    <a:noFill/>
                    <a:ln>
                      <a:noFill/>
                    </a:ln>
                  </pic:spPr>
                </pic:pic>
              </a:graphicData>
            </a:graphic>
          </wp:inline>
        </w:drawing>
      </w:r>
    </w:p>
    <w:p w14:paraId="600AE686">
      <w:pPr>
        <w:pStyle w:val="20"/>
        <w:adjustRightInd w:val="0"/>
        <w:snapToGrid w:val="0"/>
        <w:spacing w:before="0" w:beforeAutospacing="0" w:after="0" w:afterAutospacing="0" w:line="500" w:lineRule="exact"/>
        <w:outlineLvl w:val="0"/>
        <w:rPr>
          <w:rFonts w:hint="eastAsia" w:ascii="Times New Roman" w:hAnsi="Times New Roman" w:eastAsia="黑体" w:cs="Times New Roman"/>
          <w:snapToGrid w:val="0"/>
          <w:color w:val="000000" w:themeColor="text1"/>
          <w:sz w:val="30"/>
          <w:szCs w:val="30"/>
          <w:highlight w:val="none"/>
          <w:lang w:val="en-US" w:eastAsia="zh-CN"/>
          <w14:textFill>
            <w14:solidFill>
              <w14:schemeClr w14:val="tx1"/>
            </w14:solidFill>
          </w14:textFill>
        </w:rPr>
      </w:pPr>
      <w:r>
        <w:rPr>
          <w:rFonts w:hint="eastAsia" w:ascii="Times New Roman" w:hAnsi="Times New Roman" w:eastAsia="黑体" w:cs="Times New Roman"/>
          <w:snapToGrid w:val="0"/>
          <w:color w:val="000000" w:themeColor="text1"/>
          <w:sz w:val="30"/>
          <w:szCs w:val="30"/>
          <w:highlight w:val="none"/>
          <w:lang w:val="en-US" w:eastAsia="zh-CN"/>
          <w14:textFill>
            <w14:solidFill>
              <w14:schemeClr w14:val="tx1"/>
            </w14:solidFill>
          </w14:textFill>
        </w:rPr>
        <w:t>附件3：入园文件</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1CE09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14:paraId="12879FE9">
            <w:pPr>
              <w:pStyle w:val="20"/>
              <w:adjustRightInd w:val="0"/>
              <w:snapToGrid w:val="0"/>
              <w:spacing w:before="0" w:beforeAutospacing="0" w:after="0" w:afterAutospacing="0" w:line="500" w:lineRule="exact"/>
              <w:outlineLvl w:val="0"/>
              <w:rPr>
                <w:rFonts w:hint="eastAsia" w:ascii="Times New Roman" w:hAnsi="Times New Roman" w:eastAsia="黑体" w:cs="Times New Roman"/>
                <w:snapToGrid w:val="0"/>
                <w:color w:val="000000" w:themeColor="text1"/>
                <w:sz w:val="30"/>
                <w:szCs w:val="30"/>
                <w:highlight w:val="none"/>
                <w:vertAlign w:val="baseline"/>
                <w:lang w:val="en-US" w:eastAsia="zh-CN"/>
                <w14:textFill>
                  <w14:solidFill>
                    <w14:schemeClr w14:val="tx1"/>
                  </w14:solidFill>
                </w14:textFill>
              </w:rPr>
            </w:pPr>
            <w:r>
              <w:rPr>
                <w:rFonts w:hint="default" w:ascii="Times New Roman" w:hAnsi="Times New Roman" w:eastAsia="黑体" w:cs="Times New Roman"/>
                <w:snapToGrid w:val="0"/>
                <w:color w:val="000000" w:themeColor="text1"/>
                <w:sz w:val="30"/>
                <w:szCs w:val="30"/>
                <w:highlight w:val="none"/>
                <w:lang w:val="en-US" w:eastAsia="zh-CN"/>
                <w14:textFill>
                  <w14:solidFill>
                    <w14:schemeClr w14:val="tx1"/>
                  </w14:solidFill>
                </w14:textFill>
              </w:rPr>
              <w:drawing>
                <wp:anchor distT="0" distB="0" distL="114300" distR="114300" simplePos="0" relativeHeight="251695104" behindDoc="0" locked="0" layoutInCell="1" allowOverlap="1">
                  <wp:simplePos x="0" y="0"/>
                  <wp:positionH relativeFrom="column">
                    <wp:posOffset>27940</wp:posOffset>
                  </wp:positionH>
                  <wp:positionV relativeFrom="paragraph">
                    <wp:posOffset>574040</wp:posOffset>
                  </wp:positionV>
                  <wp:extent cx="5591175" cy="7847330"/>
                  <wp:effectExtent l="0" t="0" r="9525" b="1270"/>
                  <wp:wrapTopAndBottom/>
                  <wp:docPr id="47" name="图片 47" descr="19.主任办公会议纪要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19.主任办公会议纪要_01"/>
                          <pic:cNvPicPr>
                            <a:picLocks noChangeAspect="1"/>
                          </pic:cNvPicPr>
                        </pic:nvPicPr>
                        <pic:blipFill>
                          <a:blip r:embed="rId46"/>
                          <a:stretch>
                            <a:fillRect/>
                          </a:stretch>
                        </pic:blipFill>
                        <pic:spPr>
                          <a:xfrm>
                            <a:off x="0" y="0"/>
                            <a:ext cx="5591175" cy="7847330"/>
                          </a:xfrm>
                          <a:prstGeom prst="rect">
                            <a:avLst/>
                          </a:prstGeom>
                        </pic:spPr>
                      </pic:pic>
                    </a:graphicData>
                  </a:graphic>
                </wp:anchor>
              </w:drawing>
            </w:r>
          </w:p>
        </w:tc>
      </w:tr>
      <w:tr w14:paraId="3AD91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14:paraId="023C6CA9">
            <w:pPr>
              <w:pStyle w:val="20"/>
              <w:adjustRightInd w:val="0"/>
              <w:snapToGrid w:val="0"/>
              <w:spacing w:before="0" w:beforeAutospacing="0" w:after="0" w:afterAutospacing="0" w:line="500" w:lineRule="exact"/>
              <w:outlineLvl w:val="0"/>
              <w:rPr>
                <w:rFonts w:hint="eastAsia" w:ascii="Times New Roman" w:hAnsi="Times New Roman" w:eastAsia="黑体" w:cs="Times New Roman"/>
                <w:snapToGrid w:val="0"/>
                <w:color w:val="000000" w:themeColor="text1"/>
                <w:sz w:val="30"/>
                <w:szCs w:val="30"/>
                <w:highlight w:val="none"/>
                <w:vertAlign w:val="baseline"/>
                <w:lang w:val="en-US" w:eastAsia="zh-CN"/>
                <w14:textFill>
                  <w14:solidFill>
                    <w14:schemeClr w14:val="tx1"/>
                  </w14:solidFill>
                </w14:textFill>
              </w:rPr>
            </w:pPr>
            <w:r>
              <w:rPr>
                <w:rFonts w:hint="default" w:ascii="Times New Roman" w:hAnsi="Times New Roman" w:eastAsia="黑体" w:cs="Times New Roman"/>
                <w:snapToGrid w:val="0"/>
                <w:color w:val="000000" w:themeColor="text1"/>
                <w:sz w:val="30"/>
                <w:szCs w:val="30"/>
                <w:highlight w:val="none"/>
                <w:lang w:val="en-US" w:eastAsia="zh-CN"/>
                <w14:textFill>
                  <w14:solidFill>
                    <w14:schemeClr w14:val="tx1"/>
                  </w14:solidFill>
                </w14:textFill>
              </w:rPr>
              <w:drawing>
                <wp:anchor distT="0" distB="0" distL="114300" distR="114300" simplePos="0" relativeHeight="251696128" behindDoc="0" locked="0" layoutInCell="1" allowOverlap="1">
                  <wp:simplePos x="0" y="0"/>
                  <wp:positionH relativeFrom="column">
                    <wp:posOffset>55880</wp:posOffset>
                  </wp:positionH>
                  <wp:positionV relativeFrom="paragraph">
                    <wp:posOffset>-314325</wp:posOffset>
                  </wp:positionV>
                  <wp:extent cx="5591175" cy="7914005"/>
                  <wp:effectExtent l="0" t="0" r="9525" b="10795"/>
                  <wp:wrapTopAndBottom/>
                  <wp:docPr id="65" name="图片 65" descr="19.主任办公会议纪要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descr="19.主任办公会议纪要_02"/>
                          <pic:cNvPicPr>
                            <a:picLocks noChangeAspect="1"/>
                          </pic:cNvPicPr>
                        </pic:nvPicPr>
                        <pic:blipFill>
                          <a:blip r:embed="rId47"/>
                          <a:stretch>
                            <a:fillRect/>
                          </a:stretch>
                        </pic:blipFill>
                        <pic:spPr>
                          <a:xfrm>
                            <a:off x="0" y="0"/>
                            <a:ext cx="5591175" cy="7914005"/>
                          </a:xfrm>
                          <a:prstGeom prst="rect">
                            <a:avLst/>
                          </a:prstGeom>
                        </pic:spPr>
                      </pic:pic>
                    </a:graphicData>
                  </a:graphic>
                </wp:anchor>
              </w:drawing>
            </w:r>
          </w:p>
        </w:tc>
      </w:tr>
      <w:tr w14:paraId="2BB2F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14:paraId="07EB1AD1">
            <w:pPr>
              <w:pStyle w:val="20"/>
              <w:adjustRightInd w:val="0"/>
              <w:snapToGrid w:val="0"/>
              <w:spacing w:before="0" w:beforeAutospacing="0" w:after="0" w:afterAutospacing="0" w:line="500" w:lineRule="exact"/>
              <w:outlineLvl w:val="0"/>
              <w:rPr>
                <w:rFonts w:hint="eastAsia" w:ascii="Times New Roman" w:hAnsi="Times New Roman" w:eastAsia="黑体" w:cs="Times New Roman"/>
                <w:snapToGrid w:val="0"/>
                <w:color w:val="000000" w:themeColor="text1"/>
                <w:sz w:val="30"/>
                <w:szCs w:val="30"/>
                <w:highlight w:val="none"/>
                <w:vertAlign w:val="baseline"/>
                <w:lang w:val="en-US" w:eastAsia="zh-CN"/>
                <w14:textFill>
                  <w14:solidFill>
                    <w14:schemeClr w14:val="tx1"/>
                  </w14:solidFill>
                </w14:textFill>
              </w:rPr>
            </w:pPr>
            <w:r>
              <w:rPr>
                <w:rFonts w:hint="eastAsia" w:ascii="Times New Roman" w:hAnsi="Times New Roman" w:eastAsia="黑体" w:cs="Times New Roman"/>
                <w:snapToGrid w:val="0"/>
                <w:color w:val="000000" w:themeColor="text1"/>
                <w:sz w:val="30"/>
                <w:szCs w:val="30"/>
                <w:highlight w:val="none"/>
                <w:vertAlign w:val="baseline"/>
                <w:lang w:val="en-US" w:eastAsia="zh-CN"/>
                <w14:textFill>
                  <w14:solidFill>
                    <w14:schemeClr w14:val="tx1"/>
                  </w14:solidFill>
                </w14:textFill>
              </w:rPr>
              <w:drawing>
                <wp:anchor distT="0" distB="0" distL="114300" distR="114300" simplePos="0" relativeHeight="251697152" behindDoc="0" locked="0" layoutInCell="1" allowOverlap="1">
                  <wp:simplePos x="0" y="0"/>
                  <wp:positionH relativeFrom="column">
                    <wp:posOffset>0</wp:posOffset>
                  </wp:positionH>
                  <wp:positionV relativeFrom="paragraph">
                    <wp:posOffset>-7670800</wp:posOffset>
                  </wp:positionV>
                  <wp:extent cx="5591175" cy="7914005"/>
                  <wp:effectExtent l="0" t="0" r="9525" b="10795"/>
                  <wp:wrapTopAndBottom/>
                  <wp:docPr id="67" name="图片 67" descr="19.主任办公会议纪要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descr="19.主任办公会议纪要_03"/>
                          <pic:cNvPicPr>
                            <a:picLocks noChangeAspect="1"/>
                          </pic:cNvPicPr>
                        </pic:nvPicPr>
                        <pic:blipFill>
                          <a:blip r:embed="rId48"/>
                          <a:stretch>
                            <a:fillRect/>
                          </a:stretch>
                        </pic:blipFill>
                        <pic:spPr>
                          <a:xfrm>
                            <a:off x="0" y="0"/>
                            <a:ext cx="5591175" cy="7914005"/>
                          </a:xfrm>
                          <a:prstGeom prst="rect">
                            <a:avLst/>
                          </a:prstGeom>
                        </pic:spPr>
                      </pic:pic>
                    </a:graphicData>
                  </a:graphic>
                </wp:anchor>
              </w:drawing>
            </w:r>
          </w:p>
        </w:tc>
      </w:tr>
      <w:tr w14:paraId="21E78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14:paraId="24410D63">
            <w:pPr>
              <w:pStyle w:val="20"/>
              <w:adjustRightInd w:val="0"/>
              <w:snapToGrid w:val="0"/>
              <w:spacing w:before="0" w:beforeAutospacing="0" w:after="0" w:afterAutospacing="0" w:line="500" w:lineRule="exact"/>
              <w:outlineLvl w:val="0"/>
              <w:rPr>
                <w:rFonts w:hint="eastAsia" w:ascii="Times New Roman" w:hAnsi="Times New Roman" w:eastAsia="黑体" w:cs="Times New Roman"/>
                <w:snapToGrid w:val="0"/>
                <w:color w:val="000000" w:themeColor="text1"/>
                <w:sz w:val="30"/>
                <w:szCs w:val="30"/>
                <w:highlight w:val="none"/>
                <w:vertAlign w:val="baseline"/>
                <w:lang w:val="en-US" w:eastAsia="zh-CN"/>
                <w14:textFill>
                  <w14:solidFill>
                    <w14:schemeClr w14:val="tx1"/>
                  </w14:solidFill>
                </w14:textFill>
              </w:rPr>
            </w:pPr>
            <w:r>
              <w:rPr>
                <w:rFonts w:hint="eastAsia" w:ascii="Times New Roman" w:hAnsi="Times New Roman" w:eastAsia="黑体" w:cs="Times New Roman"/>
                <w:snapToGrid w:val="0"/>
                <w:color w:val="000000" w:themeColor="text1"/>
                <w:sz w:val="30"/>
                <w:szCs w:val="30"/>
                <w:highlight w:val="none"/>
                <w:vertAlign w:val="baseline"/>
                <w:lang w:val="en-US" w:eastAsia="zh-CN"/>
                <w14:textFill>
                  <w14:solidFill>
                    <w14:schemeClr w14:val="tx1"/>
                  </w14:solidFill>
                </w14:textFill>
              </w:rPr>
              <w:drawing>
                <wp:anchor distT="0" distB="0" distL="114300" distR="114300" simplePos="0" relativeHeight="251698176" behindDoc="0" locked="0" layoutInCell="1" allowOverlap="1">
                  <wp:simplePos x="0" y="0"/>
                  <wp:positionH relativeFrom="column">
                    <wp:posOffset>0</wp:posOffset>
                  </wp:positionH>
                  <wp:positionV relativeFrom="paragraph">
                    <wp:posOffset>-7670800</wp:posOffset>
                  </wp:positionV>
                  <wp:extent cx="5591175" cy="7914005"/>
                  <wp:effectExtent l="0" t="0" r="9525" b="10795"/>
                  <wp:wrapTopAndBottom/>
                  <wp:docPr id="68" name="图片 68" descr="19.主任办公会议纪要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descr="19.主任办公会议纪要_04"/>
                          <pic:cNvPicPr>
                            <a:picLocks noChangeAspect="1"/>
                          </pic:cNvPicPr>
                        </pic:nvPicPr>
                        <pic:blipFill>
                          <a:blip r:embed="rId49"/>
                          <a:stretch>
                            <a:fillRect/>
                          </a:stretch>
                        </pic:blipFill>
                        <pic:spPr>
                          <a:xfrm>
                            <a:off x="0" y="0"/>
                            <a:ext cx="5591175" cy="7914005"/>
                          </a:xfrm>
                          <a:prstGeom prst="rect">
                            <a:avLst/>
                          </a:prstGeom>
                        </pic:spPr>
                      </pic:pic>
                    </a:graphicData>
                  </a:graphic>
                </wp:anchor>
              </w:drawing>
            </w:r>
          </w:p>
        </w:tc>
      </w:tr>
    </w:tbl>
    <w:p w14:paraId="1E868BF0">
      <w:pPr>
        <w:pStyle w:val="20"/>
        <w:adjustRightInd w:val="0"/>
        <w:snapToGrid w:val="0"/>
        <w:spacing w:before="0" w:beforeAutospacing="0" w:after="0" w:afterAutospacing="0" w:line="500" w:lineRule="exact"/>
        <w:outlineLvl w:val="0"/>
        <w:rPr>
          <w:rFonts w:hint="default" w:ascii="Times New Roman" w:hAnsi="Times New Roman" w:eastAsia="黑体" w:cs="Times New Roman"/>
          <w:snapToGrid w:val="0"/>
          <w:color w:val="000000" w:themeColor="text1"/>
          <w:sz w:val="30"/>
          <w:szCs w:val="30"/>
          <w:highlight w:val="none"/>
          <w:lang w:val="en-US" w:eastAsia="zh-CN"/>
          <w14:textFill>
            <w14:solidFill>
              <w14:schemeClr w14:val="tx1"/>
            </w14:solidFill>
          </w14:textFill>
        </w:rPr>
        <w:sectPr>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p w14:paraId="6FDDF0EA">
      <w:pPr>
        <w:pStyle w:val="20"/>
        <w:adjustRightInd w:val="0"/>
        <w:snapToGrid w:val="0"/>
        <w:spacing w:before="0" w:beforeAutospacing="0" w:after="0" w:afterAutospacing="0" w:line="500" w:lineRule="exact"/>
        <w:outlineLvl w:val="0"/>
        <w:rPr>
          <w:rFonts w:hint="eastAsia" w:ascii="Times New Roman" w:hAnsi="Times New Roman" w:eastAsia="黑体" w:cs="Times New Roman"/>
          <w:snapToGrid w:val="0"/>
          <w:color w:val="000000" w:themeColor="text1"/>
          <w:sz w:val="30"/>
          <w:szCs w:val="30"/>
          <w:highlight w:val="none"/>
          <w:lang w:val="en-US" w:eastAsia="zh-CN"/>
          <w14:textFill>
            <w14:solidFill>
              <w14:schemeClr w14:val="tx1"/>
            </w14:solidFill>
          </w14:textFill>
        </w:rPr>
      </w:pPr>
      <w:r>
        <w:rPr>
          <w:rFonts w:hint="eastAsia" w:ascii="Times New Roman" w:hAnsi="Times New Roman" w:eastAsia="黑体" w:cs="Times New Roman"/>
          <w:snapToGrid w:val="0"/>
          <w:color w:val="000000" w:themeColor="text1"/>
          <w:sz w:val="30"/>
          <w:szCs w:val="30"/>
          <w:highlight w:val="none"/>
          <w:lang w:val="en-US" w:eastAsia="zh-CN"/>
          <w14:textFill>
            <w14:solidFill>
              <w14:schemeClr w14:val="tx1"/>
            </w14:solidFill>
          </w14:textFill>
        </w:rPr>
        <w:t>附件4：用地文件</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55C05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8" w:hRule="atLeast"/>
        </w:trPr>
        <w:tc>
          <w:tcPr>
            <w:tcW w:w="9060" w:type="dxa"/>
          </w:tcPr>
          <w:p w14:paraId="6EF9C1F5">
            <w:pPr>
              <w:pStyle w:val="20"/>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textAlignment w:val="auto"/>
              <w:outlineLvl w:val="0"/>
              <w:rPr>
                <w:rFonts w:hint="eastAsia" w:ascii="Times New Roman" w:hAnsi="Times New Roman" w:eastAsia="宋体" w:cs="Times New Roman"/>
                <w:snapToGrid w:val="0"/>
                <w:color w:val="000000" w:themeColor="text1"/>
                <w:sz w:val="30"/>
                <w:szCs w:val="30"/>
                <w:highlight w:val="none"/>
                <w:vertAlign w:val="baseline"/>
                <w:lang w:val="en-US" w:eastAsia="zh-CN"/>
                <w14:textFill>
                  <w14:solidFill>
                    <w14:schemeClr w14:val="tx1"/>
                  </w14:solidFill>
                </w14:textFill>
              </w:rPr>
            </w:pPr>
            <w:r>
              <w:rPr>
                <w:rFonts w:hint="eastAsia" w:ascii="Times New Roman" w:hAnsi="Times New Roman" w:eastAsia="宋体" w:cs="Times New Roman"/>
                <w:snapToGrid w:val="0"/>
                <w:color w:val="000000" w:themeColor="text1"/>
                <w:sz w:val="30"/>
                <w:szCs w:val="30"/>
                <w:highlight w:val="none"/>
                <w:vertAlign w:val="baseline"/>
                <w:lang w:val="en-US" w:eastAsia="zh-CN"/>
                <w14:textFill>
                  <w14:solidFill>
                    <w14:schemeClr w14:val="tx1"/>
                  </w14:solidFill>
                </w14:textFill>
              </w:rPr>
              <w:drawing>
                <wp:anchor distT="0" distB="0" distL="114300" distR="114300" simplePos="0" relativeHeight="251703296" behindDoc="0" locked="0" layoutInCell="1" allowOverlap="1">
                  <wp:simplePos x="0" y="0"/>
                  <wp:positionH relativeFrom="column">
                    <wp:posOffset>0</wp:posOffset>
                  </wp:positionH>
                  <wp:positionV relativeFrom="paragraph">
                    <wp:posOffset>-3727450</wp:posOffset>
                  </wp:positionV>
                  <wp:extent cx="5603875" cy="3754120"/>
                  <wp:effectExtent l="0" t="0" r="15875" b="17780"/>
                  <wp:wrapTopAndBottom/>
                  <wp:docPr id="64" name="图片 64" descr="东晟预告登记（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descr="东晟预告登记（1）_01"/>
                          <pic:cNvPicPr>
                            <a:picLocks noChangeAspect="1"/>
                          </pic:cNvPicPr>
                        </pic:nvPicPr>
                        <pic:blipFill>
                          <a:blip r:embed="rId50"/>
                          <a:stretch>
                            <a:fillRect/>
                          </a:stretch>
                        </pic:blipFill>
                        <pic:spPr>
                          <a:xfrm>
                            <a:off x="0" y="0"/>
                            <a:ext cx="5603875" cy="3754120"/>
                          </a:xfrm>
                          <a:prstGeom prst="rect">
                            <a:avLst/>
                          </a:prstGeom>
                        </pic:spPr>
                      </pic:pic>
                    </a:graphicData>
                  </a:graphic>
                </wp:anchor>
              </w:drawing>
            </w:r>
          </w:p>
        </w:tc>
      </w:tr>
      <w:tr w14:paraId="4D425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0" w:hRule="atLeast"/>
        </w:trPr>
        <w:tc>
          <w:tcPr>
            <w:tcW w:w="9060" w:type="dxa"/>
          </w:tcPr>
          <w:p w14:paraId="54121FD0">
            <w:pPr>
              <w:pStyle w:val="20"/>
              <w:adjustRightInd w:val="0"/>
              <w:snapToGrid w:val="0"/>
              <w:spacing w:before="0" w:beforeAutospacing="0" w:after="0" w:afterAutospacing="0" w:line="240" w:lineRule="auto"/>
              <w:outlineLvl w:val="0"/>
              <w:rPr>
                <w:color w:val="000000" w:themeColor="text1"/>
                <w14:textFill>
                  <w14:solidFill>
                    <w14:schemeClr w14:val="tx1"/>
                  </w14:solidFill>
                </w14:textFill>
              </w:rPr>
            </w:pPr>
            <w:r>
              <w:rPr>
                <w:rFonts w:hint="eastAsia" w:ascii="Times New Roman" w:hAnsi="Times New Roman" w:eastAsia="宋体" w:cs="Times New Roman"/>
                <w:snapToGrid w:val="0"/>
                <w:color w:val="000000" w:themeColor="text1"/>
                <w:sz w:val="30"/>
                <w:szCs w:val="30"/>
                <w:highlight w:val="none"/>
                <w:vertAlign w:val="baseline"/>
                <w:lang w:val="en-US" w:eastAsia="zh-CN"/>
                <w14:textFill>
                  <w14:solidFill>
                    <w14:schemeClr w14:val="tx1"/>
                  </w14:solidFill>
                </w14:textFill>
              </w:rPr>
              <w:drawing>
                <wp:anchor distT="0" distB="0" distL="114300" distR="114300" simplePos="0" relativeHeight="251704320" behindDoc="0" locked="0" layoutInCell="1" allowOverlap="1">
                  <wp:simplePos x="0" y="0"/>
                  <wp:positionH relativeFrom="column">
                    <wp:posOffset>-16510</wp:posOffset>
                  </wp:positionH>
                  <wp:positionV relativeFrom="paragraph">
                    <wp:posOffset>64135</wp:posOffset>
                  </wp:positionV>
                  <wp:extent cx="5603875" cy="3629660"/>
                  <wp:effectExtent l="0" t="0" r="15875" b="8890"/>
                  <wp:wrapTopAndBottom/>
                  <wp:docPr id="77" name="图片 77" descr="东晟预告登记（2）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descr="东晟预告登记（2）_01"/>
                          <pic:cNvPicPr>
                            <a:picLocks noChangeAspect="1"/>
                          </pic:cNvPicPr>
                        </pic:nvPicPr>
                        <pic:blipFill>
                          <a:blip r:embed="rId51"/>
                          <a:stretch>
                            <a:fillRect/>
                          </a:stretch>
                        </pic:blipFill>
                        <pic:spPr>
                          <a:xfrm>
                            <a:off x="0" y="0"/>
                            <a:ext cx="5603875" cy="3629660"/>
                          </a:xfrm>
                          <a:prstGeom prst="rect">
                            <a:avLst/>
                          </a:prstGeom>
                        </pic:spPr>
                      </pic:pic>
                    </a:graphicData>
                  </a:graphic>
                </wp:anchor>
              </w:drawing>
            </w:r>
          </w:p>
        </w:tc>
      </w:tr>
      <w:tr w14:paraId="0B22A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0" w:hRule="atLeast"/>
        </w:trPr>
        <w:tc>
          <w:tcPr>
            <w:tcW w:w="9060" w:type="dxa"/>
          </w:tcPr>
          <w:p w14:paraId="66AD0E9A">
            <w:pPr>
              <w:pStyle w:val="20"/>
              <w:adjustRightInd w:val="0"/>
              <w:snapToGrid w:val="0"/>
              <w:spacing w:before="0" w:beforeAutospacing="0" w:after="0" w:afterAutospacing="0" w:line="240" w:lineRule="auto"/>
              <w:outlineLvl w:val="0"/>
              <w:rPr>
                <w:rFonts w:hint="eastAsia" w:ascii="Times New Roman" w:hAnsi="Times New Roman" w:eastAsia="宋体" w:cs="Times New Roman"/>
                <w:snapToGrid w:val="0"/>
                <w:color w:val="000000" w:themeColor="text1"/>
                <w:sz w:val="30"/>
                <w:szCs w:val="30"/>
                <w:highlight w:val="none"/>
                <w:vertAlign w:val="baseline"/>
                <w:lang w:val="en-US" w:eastAsia="zh-CN"/>
                <w14:textFill>
                  <w14:solidFill>
                    <w14:schemeClr w14:val="tx1"/>
                  </w14:solidFill>
                </w14:textFill>
              </w:rPr>
            </w:pPr>
            <w:r>
              <w:rPr>
                <w:rFonts w:hint="eastAsia" w:ascii="Times New Roman" w:hAnsi="Times New Roman" w:eastAsia="宋体" w:cs="Times New Roman"/>
                <w:snapToGrid w:val="0"/>
                <w:color w:val="000000" w:themeColor="text1"/>
                <w:sz w:val="30"/>
                <w:szCs w:val="30"/>
                <w:highlight w:val="none"/>
                <w:vertAlign w:val="baseline"/>
                <w:lang w:val="en-US" w:eastAsia="zh-CN"/>
                <w14:textFill>
                  <w14:solidFill>
                    <w14:schemeClr w14:val="tx1"/>
                  </w14:solidFill>
                </w14:textFill>
              </w:rPr>
              <w:drawing>
                <wp:inline distT="0" distB="0" distL="114300" distR="114300">
                  <wp:extent cx="5607050" cy="3632835"/>
                  <wp:effectExtent l="0" t="0" r="12700" b="5715"/>
                  <wp:docPr id="78" name="图片 78" descr="高新分割东晟土地证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descr="高新分割东晟土地证1_01"/>
                          <pic:cNvPicPr>
                            <a:picLocks noChangeAspect="1"/>
                          </pic:cNvPicPr>
                        </pic:nvPicPr>
                        <pic:blipFill>
                          <a:blip r:embed="rId52"/>
                          <a:srcRect l="9250" t="1443" r="159" b="6830"/>
                          <a:stretch>
                            <a:fillRect/>
                          </a:stretch>
                        </pic:blipFill>
                        <pic:spPr>
                          <a:xfrm>
                            <a:off x="0" y="0"/>
                            <a:ext cx="5607050" cy="3632835"/>
                          </a:xfrm>
                          <a:prstGeom prst="rect">
                            <a:avLst/>
                          </a:prstGeom>
                        </pic:spPr>
                      </pic:pic>
                    </a:graphicData>
                  </a:graphic>
                </wp:inline>
              </w:drawing>
            </w:r>
          </w:p>
        </w:tc>
      </w:tr>
      <w:tr w14:paraId="2714B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0" w:hRule="atLeast"/>
        </w:trPr>
        <w:tc>
          <w:tcPr>
            <w:tcW w:w="9060" w:type="dxa"/>
          </w:tcPr>
          <w:p w14:paraId="400C50CF">
            <w:pPr>
              <w:pStyle w:val="20"/>
              <w:adjustRightInd w:val="0"/>
              <w:snapToGrid w:val="0"/>
              <w:spacing w:before="0" w:beforeAutospacing="0" w:after="0" w:afterAutospacing="0" w:line="240" w:lineRule="auto"/>
              <w:outlineLvl w:val="0"/>
              <w:rPr>
                <w:rFonts w:hint="eastAsia" w:ascii="Times New Roman" w:hAnsi="Times New Roman" w:eastAsia="宋体" w:cs="Times New Roman"/>
                <w:snapToGrid w:val="0"/>
                <w:color w:val="000000" w:themeColor="text1"/>
                <w:sz w:val="30"/>
                <w:szCs w:val="30"/>
                <w:highlight w:val="none"/>
                <w:vertAlign w:val="baseline"/>
                <w:lang w:val="en-US" w:eastAsia="zh-CN"/>
                <w14:textFill>
                  <w14:solidFill>
                    <w14:schemeClr w14:val="tx1"/>
                  </w14:solidFill>
                </w14:textFill>
              </w:rPr>
            </w:pPr>
            <w:r>
              <w:rPr>
                <w:rFonts w:hint="eastAsia" w:ascii="Times New Roman" w:hAnsi="Times New Roman" w:eastAsia="宋体" w:cs="Times New Roman"/>
                <w:snapToGrid w:val="0"/>
                <w:color w:val="000000" w:themeColor="text1"/>
                <w:sz w:val="30"/>
                <w:szCs w:val="30"/>
                <w:highlight w:val="none"/>
                <w:vertAlign w:val="baseline"/>
                <w:lang w:val="en-US" w:eastAsia="zh-CN"/>
                <w14:textFill>
                  <w14:solidFill>
                    <w14:schemeClr w14:val="tx1"/>
                  </w14:solidFill>
                </w14:textFill>
              </w:rPr>
              <w:drawing>
                <wp:anchor distT="0" distB="0" distL="114300" distR="114300" simplePos="0" relativeHeight="251705344" behindDoc="0" locked="0" layoutInCell="1" allowOverlap="1">
                  <wp:simplePos x="0" y="0"/>
                  <wp:positionH relativeFrom="column">
                    <wp:posOffset>43180</wp:posOffset>
                  </wp:positionH>
                  <wp:positionV relativeFrom="paragraph">
                    <wp:posOffset>0</wp:posOffset>
                  </wp:positionV>
                  <wp:extent cx="5565140" cy="3670935"/>
                  <wp:effectExtent l="0" t="0" r="16510" b="5715"/>
                  <wp:wrapTopAndBottom/>
                  <wp:docPr id="79" name="图片 79" descr="煤炭分割东晟土地证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descr="煤炭分割东晟土地证_01"/>
                          <pic:cNvPicPr>
                            <a:picLocks noChangeAspect="1"/>
                          </pic:cNvPicPr>
                        </pic:nvPicPr>
                        <pic:blipFill>
                          <a:blip r:embed="rId53"/>
                          <a:srcRect l="7914" b="7311"/>
                          <a:stretch>
                            <a:fillRect/>
                          </a:stretch>
                        </pic:blipFill>
                        <pic:spPr>
                          <a:xfrm>
                            <a:off x="0" y="0"/>
                            <a:ext cx="5565140" cy="3670935"/>
                          </a:xfrm>
                          <a:prstGeom prst="rect">
                            <a:avLst/>
                          </a:prstGeom>
                        </pic:spPr>
                      </pic:pic>
                    </a:graphicData>
                  </a:graphic>
                </wp:anchor>
              </w:drawing>
            </w:r>
          </w:p>
        </w:tc>
      </w:tr>
      <w:tr w14:paraId="08E7B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14:paraId="2D8E82D0">
            <w:pPr>
              <w:pStyle w:val="20"/>
              <w:adjustRightInd w:val="0"/>
              <w:snapToGrid w:val="0"/>
              <w:spacing w:before="0" w:beforeAutospacing="0" w:after="0" w:afterAutospacing="0" w:line="500" w:lineRule="exact"/>
              <w:outlineLvl w:val="0"/>
              <w:rPr>
                <w:rFonts w:hint="default" w:ascii="Times New Roman" w:hAnsi="Times New Roman" w:eastAsia="黑体" w:cs="Times New Roman"/>
                <w:snapToGrid w:val="0"/>
                <w:color w:val="000000" w:themeColor="text1"/>
                <w:sz w:val="30"/>
                <w:szCs w:val="30"/>
                <w:highlight w:val="none"/>
                <w:lang w:val="en-US" w:eastAsia="zh-CN"/>
                <w14:textFill>
                  <w14:solidFill>
                    <w14:schemeClr w14:val="tx1"/>
                  </w14:solidFill>
                </w14:textFill>
              </w:rPr>
            </w:pPr>
            <w:r>
              <w:rPr>
                <w:rFonts w:hint="default" w:ascii="Times New Roman" w:hAnsi="Times New Roman" w:eastAsia="黑体" w:cs="Times New Roman"/>
                <w:snapToGrid w:val="0"/>
                <w:color w:val="000000" w:themeColor="text1"/>
                <w:sz w:val="30"/>
                <w:szCs w:val="30"/>
                <w:highlight w:val="none"/>
                <w:lang w:val="en-US" w:eastAsia="zh-CN"/>
                <w14:textFill>
                  <w14:solidFill>
                    <w14:schemeClr w14:val="tx1"/>
                  </w14:solidFill>
                </w14:textFill>
              </w:rPr>
              <w:drawing>
                <wp:anchor distT="0" distB="0" distL="114300" distR="114300" simplePos="0" relativeHeight="251702272" behindDoc="0" locked="0" layoutInCell="1" allowOverlap="1">
                  <wp:simplePos x="0" y="0"/>
                  <wp:positionH relativeFrom="column">
                    <wp:posOffset>0</wp:posOffset>
                  </wp:positionH>
                  <wp:positionV relativeFrom="paragraph">
                    <wp:posOffset>-7645400</wp:posOffset>
                  </wp:positionV>
                  <wp:extent cx="5579110" cy="8030845"/>
                  <wp:effectExtent l="0" t="0" r="8890" b="8255"/>
                  <wp:wrapTopAndBottom/>
                  <wp:docPr id="44" name="图片 44" descr="东晟合并后宗地图 Model (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东晟合并后宗地图 Model (1)_01"/>
                          <pic:cNvPicPr>
                            <a:picLocks noChangeAspect="1"/>
                          </pic:cNvPicPr>
                        </pic:nvPicPr>
                        <pic:blipFill>
                          <a:blip r:embed="rId54"/>
                          <a:stretch>
                            <a:fillRect/>
                          </a:stretch>
                        </pic:blipFill>
                        <pic:spPr>
                          <a:xfrm>
                            <a:off x="0" y="0"/>
                            <a:ext cx="5579110" cy="8030845"/>
                          </a:xfrm>
                          <a:prstGeom prst="rect">
                            <a:avLst/>
                          </a:prstGeom>
                        </pic:spPr>
                      </pic:pic>
                    </a:graphicData>
                  </a:graphic>
                </wp:anchor>
              </w:drawing>
            </w:r>
          </w:p>
        </w:tc>
      </w:tr>
    </w:tbl>
    <w:p w14:paraId="520B7115">
      <w:pPr>
        <w:pStyle w:val="20"/>
        <w:adjustRightInd w:val="0"/>
        <w:snapToGrid w:val="0"/>
        <w:spacing w:before="0" w:beforeAutospacing="0" w:after="0" w:afterAutospacing="0" w:line="500" w:lineRule="exact"/>
        <w:outlineLvl w:val="0"/>
        <w:rPr>
          <w:rFonts w:hint="eastAsia" w:ascii="Times New Roman" w:hAnsi="Times New Roman" w:eastAsia="黑体" w:cs="Times New Roman"/>
          <w:snapToGrid w:val="0"/>
          <w:color w:val="000000" w:themeColor="text1"/>
          <w:sz w:val="30"/>
          <w:szCs w:val="30"/>
          <w:highlight w:val="none"/>
          <w:lang w:val="en-US" w:eastAsia="zh-CN"/>
          <w14:textFill>
            <w14:solidFill>
              <w14:schemeClr w14:val="tx1"/>
            </w14:solidFill>
          </w14:textFill>
        </w:rPr>
        <w:sectPr>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p w14:paraId="7F86AAEA">
      <w:pPr>
        <w:pStyle w:val="20"/>
        <w:adjustRightInd w:val="0"/>
        <w:snapToGrid w:val="0"/>
        <w:spacing w:before="0" w:beforeAutospacing="0" w:after="0" w:afterAutospacing="0" w:line="500" w:lineRule="exact"/>
        <w:outlineLvl w:val="0"/>
        <w:rPr>
          <w:rFonts w:hint="eastAsia" w:ascii="Times New Roman" w:hAnsi="Times New Roman" w:eastAsia="黑体" w:cs="Times New Roman"/>
          <w:snapToGrid w:val="0"/>
          <w:color w:val="000000" w:themeColor="text1"/>
          <w:sz w:val="30"/>
          <w:szCs w:val="30"/>
          <w:highlight w:val="none"/>
          <w:lang w:val="en-US" w:eastAsia="zh-CN"/>
          <w14:textFill>
            <w14:solidFill>
              <w14:schemeClr w14:val="tx1"/>
            </w14:solidFill>
          </w14:textFill>
        </w:rPr>
      </w:pPr>
      <w:r>
        <w:rPr>
          <w:rFonts w:hint="eastAsia" w:ascii="Times New Roman" w:hAnsi="Times New Roman" w:eastAsia="黑体" w:cs="Times New Roman"/>
          <w:snapToGrid w:val="0"/>
          <w:color w:val="000000" w:themeColor="text1"/>
          <w:sz w:val="30"/>
          <w:szCs w:val="30"/>
          <w:highlight w:val="none"/>
          <w:lang w:val="en-US" w:eastAsia="zh-CN"/>
          <w14:textFill>
            <w14:solidFill>
              <w14:schemeClr w14:val="tx1"/>
            </w14:solidFill>
          </w14:textFill>
        </w:rPr>
        <w:t>附件5：园区内项目文物核查意见</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73F82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14:paraId="38D1F1D7">
            <w:pPr>
              <w:pStyle w:val="20"/>
              <w:adjustRightInd w:val="0"/>
              <w:snapToGrid w:val="0"/>
              <w:spacing w:before="0" w:beforeAutospacing="0" w:after="0" w:afterAutospacing="0" w:line="500" w:lineRule="exact"/>
              <w:outlineLvl w:val="0"/>
              <w:rPr>
                <w:rFonts w:hint="eastAsia" w:ascii="Times New Roman" w:hAnsi="Times New Roman" w:eastAsia="黑体" w:cs="Times New Roman"/>
                <w:snapToGrid w:val="0"/>
                <w:color w:val="000000" w:themeColor="text1"/>
                <w:sz w:val="30"/>
                <w:szCs w:val="30"/>
                <w:highlight w:val="none"/>
                <w:vertAlign w:val="baseline"/>
                <w:lang w:val="en-US" w:eastAsia="zh-CN"/>
                <w14:textFill>
                  <w14:solidFill>
                    <w14:schemeClr w14:val="tx1"/>
                  </w14:solidFill>
                </w14:textFill>
              </w:rPr>
            </w:pPr>
            <w:r>
              <w:rPr>
                <w:rFonts w:hint="eastAsia" w:ascii="Times New Roman" w:hAnsi="Times New Roman" w:eastAsia="黑体" w:cs="Times New Roman"/>
                <w:snapToGrid w:val="0"/>
                <w:color w:val="000000" w:themeColor="text1"/>
                <w:sz w:val="30"/>
                <w:szCs w:val="30"/>
                <w:highlight w:val="none"/>
                <w:vertAlign w:val="baseline"/>
                <w:lang w:val="en-US" w:eastAsia="zh-CN"/>
                <w14:textFill>
                  <w14:solidFill>
                    <w14:schemeClr w14:val="tx1"/>
                  </w14:solidFill>
                </w14:textFill>
              </w:rPr>
              <w:drawing>
                <wp:anchor distT="0" distB="0" distL="114300" distR="114300" simplePos="0" relativeHeight="251686912" behindDoc="0" locked="0" layoutInCell="1" allowOverlap="1">
                  <wp:simplePos x="0" y="0"/>
                  <wp:positionH relativeFrom="column">
                    <wp:posOffset>-16510</wp:posOffset>
                  </wp:positionH>
                  <wp:positionV relativeFrom="paragraph">
                    <wp:posOffset>136525</wp:posOffset>
                  </wp:positionV>
                  <wp:extent cx="5607050" cy="7444105"/>
                  <wp:effectExtent l="0" t="0" r="12700" b="4445"/>
                  <wp:wrapTopAndBottom/>
                  <wp:docPr id="30" name="图片 191" descr="文物批复（东晟）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91" descr="文物批复（东晟）_01"/>
                          <pic:cNvPicPr>
                            <a:picLocks noChangeAspect="1"/>
                          </pic:cNvPicPr>
                        </pic:nvPicPr>
                        <pic:blipFill>
                          <a:blip r:embed="rId55"/>
                          <a:stretch>
                            <a:fillRect/>
                          </a:stretch>
                        </pic:blipFill>
                        <pic:spPr>
                          <a:xfrm>
                            <a:off x="0" y="0"/>
                            <a:ext cx="5607050" cy="7444105"/>
                          </a:xfrm>
                          <a:prstGeom prst="rect">
                            <a:avLst/>
                          </a:prstGeom>
                          <a:noFill/>
                          <a:ln>
                            <a:noFill/>
                          </a:ln>
                        </pic:spPr>
                      </pic:pic>
                    </a:graphicData>
                  </a:graphic>
                </wp:anchor>
              </w:drawing>
            </w:r>
          </w:p>
        </w:tc>
      </w:tr>
      <w:tr w14:paraId="710FC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14:paraId="5950194E">
            <w:pPr>
              <w:pStyle w:val="20"/>
              <w:adjustRightInd w:val="0"/>
              <w:snapToGrid w:val="0"/>
              <w:spacing w:before="0" w:beforeAutospacing="0" w:after="0" w:afterAutospacing="0" w:line="500" w:lineRule="exact"/>
              <w:outlineLvl w:val="0"/>
              <w:rPr>
                <w:rFonts w:hint="eastAsia" w:ascii="Times New Roman" w:hAnsi="Times New Roman" w:eastAsia="黑体" w:cs="Times New Roman"/>
                <w:snapToGrid w:val="0"/>
                <w:color w:val="000000" w:themeColor="text1"/>
                <w:sz w:val="30"/>
                <w:szCs w:val="30"/>
                <w:highlight w:val="none"/>
                <w:vertAlign w:val="baseline"/>
                <w:lang w:val="en-US" w:eastAsia="zh-CN"/>
                <w14:textFill>
                  <w14:solidFill>
                    <w14:schemeClr w14:val="tx1"/>
                  </w14:solidFill>
                </w14:textFill>
              </w:rPr>
            </w:pPr>
            <w:r>
              <w:rPr>
                <w:rFonts w:hint="eastAsia" w:ascii="Times New Roman" w:hAnsi="Times New Roman" w:eastAsia="黑体" w:cs="Times New Roman"/>
                <w:snapToGrid w:val="0"/>
                <w:color w:val="000000" w:themeColor="text1"/>
                <w:sz w:val="30"/>
                <w:szCs w:val="30"/>
                <w:highlight w:val="none"/>
                <w:vertAlign w:val="baseline"/>
                <w:lang w:val="en-US" w:eastAsia="zh-CN"/>
                <w14:textFill>
                  <w14:solidFill>
                    <w14:schemeClr w14:val="tx1"/>
                  </w14:solidFill>
                </w14:textFill>
              </w:rPr>
              <w:drawing>
                <wp:anchor distT="0" distB="0" distL="114300" distR="114300" simplePos="0" relativeHeight="251687936" behindDoc="0" locked="0" layoutInCell="1" allowOverlap="1">
                  <wp:simplePos x="0" y="0"/>
                  <wp:positionH relativeFrom="column">
                    <wp:posOffset>0</wp:posOffset>
                  </wp:positionH>
                  <wp:positionV relativeFrom="paragraph">
                    <wp:posOffset>-7771765</wp:posOffset>
                  </wp:positionV>
                  <wp:extent cx="5607050" cy="8025765"/>
                  <wp:effectExtent l="0" t="0" r="12700" b="13335"/>
                  <wp:wrapTopAndBottom/>
                  <wp:docPr id="31" name="图片 192" descr="文物批复（东晟）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92" descr="文物批复（东晟）_02"/>
                          <pic:cNvPicPr>
                            <a:picLocks noChangeAspect="1"/>
                          </pic:cNvPicPr>
                        </pic:nvPicPr>
                        <pic:blipFill>
                          <a:blip r:embed="rId56"/>
                          <a:stretch>
                            <a:fillRect/>
                          </a:stretch>
                        </pic:blipFill>
                        <pic:spPr>
                          <a:xfrm>
                            <a:off x="0" y="0"/>
                            <a:ext cx="5607050" cy="8025765"/>
                          </a:xfrm>
                          <a:prstGeom prst="rect">
                            <a:avLst/>
                          </a:prstGeom>
                          <a:noFill/>
                          <a:ln>
                            <a:noFill/>
                          </a:ln>
                        </pic:spPr>
                      </pic:pic>
                    </a:graphicData>
                  </a:graphic>
                </wp:anchor>
              </w:drawing>
            </w:r>
          </w:p>
        </w:tc>
      </w:tr>
      <w:tr w14:paraId="2CA05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14:paraId="48C06696">
            <w:pPr>
              <w:pStyle w:val="20"/>
              <w:adjustRightInd w:val="0"/>
              <w:snapToGrid w:val="0"/>
              <w:spacing w:before="0" w:beforeAutospacing="0" w:after="0" w:afterAutospacing="0" w:line="500" w:lineRule="exact"/>
              <w:outlineLvl w:val="0"/>
              <w:rPr>
                <w:rFonts w:hint="eastAsia" w:ascii="Times New Roman" w:hAnsi="Times New Roman" w:eastAsia="黑体" w:cs="Times New Roman"/>
                <w:snapToGrid w:val="0"/>
                <w:color w:val="000000" w:themeColor="text1"/>
                <w:sz w:val="30"/>
                <w:szCs w:val="30"/>
                <w:highlight w:val="none"/>
                <w:vertAlign w:val="baseline"/>
                <w:lang w:val="en-US" w:eastAsia="zh-CN"/>
                <w14:textFill>
                  <w14:solidFill>
                    <w14:schemeClr w14:val="tx1"/>
                  </w14:solidFill>
                </w14:textFill>
              </w:rPr>
            </w:pPr>
            <w:r>
              <w:rPr>
                <w:rFonts w:hint="eastAsia" w:ascii="Times New Roman" w:hAnsi="Times New Roman" w:eastAsia="黑体" w:cs="Times New Roman"/>
                <w:snapToGrid w:val="0"/>
                <w:color w:val="000000" w:themeColor="text1"/>
                <w:sz w:val="30"/>
                <w:szCs w:val="30"/>
                <w:highlight w:val="none"/>
                <w:vertAlign w:val="baseline"/>
                <w:lang w:val="en-US" w:eastAsia="zh-CN"/>
                <w14:textFill>
                  <w14:solidFill>
                    <w14:schemeClr w14:val="tx1"/>
                  </w14:solidFill>
                </w14:textFill>
              </w:rPr>
              <w:drawing>
                <wp:anchor distT="0" distB="0" distL="114300" distR="114300" simplePos="0" relativeHeight="251688960" behindDoc="0" locked="0" layoutInCell="1" allowOverlap="1">
                  <wp:simplePos x="0" y="0"/>
                  <wp:positionH relativeFrom="column">
                    <wp:posOffset>0</wp:posOffset>
                  </wp:positionH>
                  <wp:positionV relativeFrom="paragraph">
                    <wp:posOffset>-7736840</wp:posOffset>
                  </wp:positionV>
                  <wp:extent cx="5605145" cy="7990840"/>
                  <wp:effectExtent l="0" t="0" r="14605" b="10160"/>
                  <wp:wrapTopAndBottom/>
                  <wp:docPr id="32" name="图片 193" descr="文物批复（东晟）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93" descr="文物批复（东晟）_03"/>
                          <pic:cNvPicPr>
                            <a:picLocks noChangeAspect="1"/>
                          </pic:cNvPicPr>
                        </pic:nvPicPr>
                        <pic:blipFill>
                          <a:blip r:embed="rId57"/>
                          <a:stretch>
                            <a:fillRect/>
                          </a:stretch>
                        </pic:blipFill>
                        <pic:spPr>
                          <a:xfrm>
                            <a:off x="0" y="0"/>
                            <a:ext cx="5605145" cy="7990840"/>
                          </a:xfrm>
                          <a:prstGeom prst="rect">
                            <a:avLst/>
                          </a:prstGeom>
                          <a:noFill/>
                          <a:ln>
                            <a:noFill/>
                          </a:ln>
                        </pic:spPr>
                      </pic:pic>
                    </a:graphicData>
                  </a:graphic>
                </wp:anchor>
              </w:drawing>
            </w:r>
          </w:p>
        </w:tc>
      </w:tr>
    </w:tbl>
    <w:p w14:paraId="099F78F4">
      <w:pPr>
        <w:bidi w:val="0"/>
        <w:rPr>
          <w:rFonts w:hint="eastAsia"/>
          <w:color w:val="000000" w:themeColor="text1"/>
          <w:highlight w:val="none"/>
          <w:lang w:val="en-US" w:eastAsia="zh-CN"/>
          <w14:textFill>
            <w14:solidFill>
              <w14:schemeClr w14:val="tx1"/>
            </w14:solidFill>
          </w14:textFill>
        </w:rPr>
      </w:pPr>
      <w:bookmarkStart w:id="8" w:name="_GoBack"/>
      <w:bookmarkEnd w:id="8"/>
    </w:p>
    <w:p w14:paraId="7ED5EB5C">
      <w:pPr>
        <w:pStyle w:val="20"/>
        <w:adjustRightInd w:val="0"/>
        <w:snapToGrid w:val="0"/>
        <w:spacing w:before="0" w:beforeAutospacing="0" w:after="0" w:afterAutospacing="0" w:line="500" w:lineRule="exact"/>
        <w:outlineLvl w:val="0"/>
        <w:rPr>
          <w:rFonts w:hint="default" w:ascii="Times New Roman" w:hAnsi="Times New Roman" w:eastAsia="黑体" w:cs="Times New Roman"/>
          <w:snapToGrid w:val="0"/>
          <w:color w:val="000000" w:themeColor="text1"/>
          <w:sz w:val="30"/>
          <w:szCs w:val="30"/>
          <w:highlight w:val="none"/>
          <w:lang w:val="en-US" w:eastAsia="zh-CN"/>
          <w14:textFill>
            <w14:solidFill>
              <w14:schemeClr w14:val="tx1"/>
            </w14:solidFill>
          </w14:textFill>
        </w:rPr>
        <w:sectPr>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p w14:paraId="47521988">
      <w:pPr>
        <w:pStyle w:val="20"/>
        <w:adjustRightInd w:val="0"/>
        <w:snapToGrid w:val="0"/>
        <w:spacing w:before="0" w:beforeAutospacing="0" w:after="0" w:afterAutospacing="0" w:line="500" w:lineRule="exact"/>
        <w:outlineLvl w:val="0"/>
        <w:rPr>
          <w:rFonts w:hint="eastAsia" w:ascii="Times New Roman" w:hAnsi="Times New Roman" w:eastAsia="黑体" w:cs="Times New Roman"/>
          <w:snapToGrid w:val="0"/>
          <w:color w:val="000000" w:themeColor="text1"/>
          <w:sz w:val="30"/>
          <w:szCs w:val="30"/>
          <w:highlight w:val="none"/>
          <w:lang w:val="en-US" w:eastAsia="zh-CN"/>
          <w14:textFill>
            <w14:solidFill>
              <w14:schemeClr w14:val="tx1"/>
            </w14:solidFill>
          </w14:textFill>
        </w:rPr>
      </w:pPr>
      <w:r>
        <w:rPr>
          <w:rFonts w:ascii="Times New Roman" w:hAnsi="Times New Roman" w:eastAsia="黑体" w:cs="Times New Roman"/>
          <w:snapToGrid w:val="0"/>
          <w:color w:val="000000" w:themeColor="text1"/>
          <w:sz w:val="30"/>
          <w:szCs w:val="30"/>
          <w:highlight w:val="none"/>
          <w14:textFill>
            <w14:solidFill>
              <w14:schemeClr w14:val="tx1"/>
            </w14:solidFill>
          </w14:textFill>
        </w:rPr>
        <w:t>附件</w:t>
      </w:r>
      <w:r>
        <w:rPr>
          <w:rFonts w:hint="eastAsia" w:ascii="Times New Roman" w:hAnsi="Times New Roman" w:eastAsia="黑体" w:cs="Times New Roman"/>
          <w:snapToGrid w:val="0"/>
          <w:color w:val="000000" w:themeColor="text1"/>
          <w:sz w:val="30"/>
          <w:szCs w:val="30"/>
          <w:highlight w:val="none"/>
          <w:lang w:val="en-US" w:eastAsia="zh-CN"/>
          <w14:textFill>
            <w14:solidFill>
              <w14:schemeClr w14:val="tx1"/>
            </w14:solidFill>
          </w14:textFill>
        </w:rPr>
        <w:t>6</w:t>
      </w:r>
      <w:r>
        <w:rPr>
          <w:rFonts w:ascii="Times New Roman" w:hAnsi="Times New Roman" w:eastAsia="黑体" w:cs="Times New Roman"/>
          <w:snapToGrid w:val="0"/>
          <w:color w:val="000000" w:themeColor="text1"/>
          <w:sz w:val="30"/>
          <w:szCs w:val="30"/>
          <w:highlight w:val="none"/>
          <w14:textFill>
            <w14:solidFill>
              <w14:schemeClr w14:val="tx1"/>
            </w14:solidFill>
          </w14:textFill>
        </w:rPr>
        <w:t>：</w:t>
      </w:r>
      <w:r>
        <w:rPr>
          <w:rFonts w:hint="eastAsia" w:ascii="Times New Roman" w:hAnsi="Times New Roman" w:eastAsia="黑体" w:cs="Times New Roman"/>
          <w:snapToGrid w:val="0"/>
          <w:color w:val="000000" w:themeColor="text1"/>
          <w:sz w:val="30"/>
          <w:szCs w:val="30"/>
          <w:highlight w:val="none"/>
          <w:lang w:val="en-US" w:eastAsia="zh-CN"/>
          <w14:textFill>
            <w14:solidFill>
              <w14:schemeClr w14:val="tx1"/>
            </w14:solidFill>
          </w14:textFill>
        </w:rPr>
        <w:t>引用现状检测报告</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220E3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noWrap w:val="0"/>
            <w:vAlign w:val="top"/>
          </w:tcPr>
          <w:p w14:paraId="3B9484F8">
            <w:pPr>
              <w:pStyle w:val="20"/>
              <w:adjustRightInd w:val="0"/>
              <w:snapToGrid w:val="0"/>
              <w:spacing w:before="0" w:beforeAutospacing="0" w:after="0" w:afterAutospacing="0" w:line="240" w:lineRule="auto"/>
              <w:outlineLvl w:val="0"/>
              <w:rPr>
                <w:rFonts w:hint="eastAsia" w:ascii="Times New Roman" w:hAnsi="Times New Roman" w:eastAsia="黑体" w:cs="Times New Roman"/>
                <w:snapToGrid w:val="0"/>
                <w:color w:val="000000" w:themeColor="text1"/>
                <w:sz w:val="30"/>
                <w:szCs w:val="30"/>
                <w:highlight w:val="none"/>
                <w:vertAlign w:val="baseline"/>
                <w:lang w:val="en-US" w:eastAsia="zh-CN"/>
                <w14:textFill>
                  <w14:solidFill>
                    <w14:schemeClr w14:val="tx1"/>
                  </w14:solidFill>
                </w14:textFill>
              </w:rPr>
            </w:pPr>
            <w:r>
              <w:rPr>
                <w:rFonts w:hint="eastAsia" w:ascii="Times New Roman" w:hAnsi="Times New Roman" w:eastAsia="黑体" w:cs="Times New Roman"/>
                <w:snapToGrid w:val="0"/>
                <w:color w:val="000000" w:themeColor="text1"/>
                <w:sz w:val="30"/>
                <w:szCs w:val="30"/>
                <w:highlight w:val="none"/>
                <w:vertAlign w:val="baseline"/>
                <w:lang w:val="en-US" w:eastAsia="zh-CN"/>
                <w14:textFill>
                  <w14:solidFill>
                    <w14:schemeClr w14:val="tx1"/>
                  </w14:solidFill>
                </w14:textFill>
              </w:rPr>
              <w:drawing>
                <wp:anchor distT="0" distB="0" distL="114300" distR="114300" simplePos="0" relativeHeight="251669504" behindDoc="0" locked="0" layoutInCell="1" allowOverlap="1">
                  <wp:simplePos x="0" y="0"/>
                  <wp:positionH relativeFrom="column">
                    <wp:posOffset>18415</wp:posOffset>
                  </wp:positionH>
                  <wp:positionV relativeFrom="page">
                    <wp:posOffset>122555</wp:posOffset>
                  </wp:positionV>
                  <wp:extent cx="5614035" cy="7753350"/>
                  <wp:effectExtent l="0" t="0" r="5715" b="0"/>
                  <wp:wrapTopAndBottom/>
                  <wp:docPr id="12" name="图片 168" descr="内蒙古励泰生物能源有限责任公司年产60万吨兰炭型焦配套储棚建设项目环境影响评价环境现状监测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68" descr="内蒙古励泰生物能源有限责任公司年产60万吨兰炭型焦配套储棚建设项目环境影响评价环境现状监测_01"/>
                          <pic:cNvPicPr>
                            <a:picLocks noChangeAspect="1"/>
                          </pic:cNvPicPr>
                        </pic:nvPicPr>
                        <pic:blipFill>
                          <a:blip r:embed="rId58"/>
                          <a:stretch>
                            <a:fillRect/>
                          </a:stretch>
                        </pic:blipFill>
                        <pic:spPr>
                          <a:xfrm>
                            <a:off x="0" y="0"/>
                            <a:ext cx="5614035" cy="7753350"/>
                          </a:xfrm>
                          <a:prstGeom prst="rect">
                            <a:avLst/>
                          </a:prstGeom>
                          <a:noFill/>
                          <a:ln>
                            <a:noFill/>
                          </a:ln>
                        </pic:spPr>
                      </pic:pic>
                    </a:graphicData>
                  </a:graphic>
                </wp:anchor>
              </w:drawing>
            </w:r>
          </w:p>
        </w:tc>
      </w:tr>
      <w:tr w14:paraId="51F0F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98" w:hRule="atLeast"/>
        </w:trPr>
        <w:tc>
          <w:tcPr>
            <w:tcW w:w="9060" w:type="dxa"/>
            <w:noWrap w:val="0"/>
            <w:vAlign w:val="top"/>
          </w:tcPr>
          <w:p w14:paraId="60FE4FD0">
            <w:pPr>
              <w:pStyle w:val="20"/>
              <w:adjustRightInd w:val="0"/>
              <w:snapToGrid w:val="0"/>
              <w:spacing w:before="0" w:beforeAutospacing="0" w:after="0" w:afterAutospacing="0" w:line="500" w:lineRule="exact"/>
              <w:outlineLvl w:val="0"/>
              <w:rPr>
                <w:rFonts w:hint="eastAsia" w:ascii="Times New Roman" w:hAnsi="Times New Roman" w:eastAsia="黑体" w:cs="Times New Roman"/>
                <w:snapToGrid w:val="0"/>
                <w:color w:val="000000" w:themeColor="text1"/>
                <w:sz w:val="30"/>
                <w:szCs w:val="30"/>
                <w:highlight w:val="none"/>
                <w:vertAlign w:val="baseline"/>
                <w:lang w:val="en-US" w:eastAsia="zh-CN"/>
                <w14:textFill>
                  <w14:solidFill>
                    <w14:schemeClr w14:val="tx1"/>
                  </w14:solidFill>
                </w14:textFill>
              </w:rPr>
            </w:pPr>
            <w:r>
              <w:rPr>
                <w:rFonts w:hint="eastAsia" w:ascii="Times New Roman" w:hAnsi="Times New Roman" w:eastAsia="黑体" w:cs="Times New Roman"/>
                <w:snapToGrid w:val="0"/>
                <w:color w:val="000000" w:themeColor="text1"/>
                <w:sz w:val="30"/>
                <w:szCs w:val="30"/>
                <w:highlight w:val="none"/>
                <w:lang w:val="en-US" w:eastAsia="zh-CN"/>
                <w14:textFill>
                  <w14:solidFill>
                    <w14:schemeClr w14:val="tx1"/>
                  </w14:solidFill>
                </w14:textFill>
              </w:rPr>
              <w:drawing>
                <wp:anchor distT="0" distB="0" distL="114300" distR="114300" simplePos="0" relativeHeight="251670528" behindDoc="0" locked="0" layoutInCell="1" allowOverlap="1">
                  <wp:simplePos x="0" y="0"/>
                  <wp:positionH relativeFrom="column">
                    <wp:posOffset>-75565</wp:posOffset>
                  </wp:positionH>
                  <wp:positionV relativeFrom="paragraph">
                    <wp:posOffset>108585</wp:posOffset>
                  </wp:positionV>
                  <wp:extent cx="5614035" cy="8274050"/>
                  <wp:effectExtent l="0" t="0" r="5715" b="12700"/>
                  <wp:wrapTopAndBottom/>
                  <wp:docPr id="13" name="图片 169" descr="内蒙古励泰生物能源有限责任公司年产60万吨兰炭型焦配套储棚建设项目环境影响评价环境现状监测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69" descr="内蒙古励泰生物能源有限责任公司年产60万吨兰炭型焦配套储棚建设项目环境影响评价环境现状监测_02"/>
                          <pic:cNvPicPr>
                            <a:picLocks noChangeAspect="1"/>
                          </pic:cNvPicPr>
                        </pic:nvPicPr>
                        <pic:blipFill>
                          <a:blip r:embed="rId59"/>
                          <a:stretch>
                            <a:fillRect/>
                          </a:stretch>
                        </pic:blipFill>
                        <pic:spPr>
                          <a:xfrm>
                            <a:off x="0" y="0"/>
                            <a:ext cx="5614035" cy="8274050"/>
                          </a:xfrm>
                          <a:prstGeom prst="rect">
                            <a:avLst/>
                          </a:prstGeom>
                          <a:noFill/>
                          <a:ln>
                            <a:noFill/>
                          </a:ln>
                        </pic:spPr>
                      </pic:pic>
                    </a:graphicData>
                  </a:graphic>
                </wp:anchor>
              </w:drawing>
            </w:r>
          </w:p>
        </w:tc>
      </w:tr>
      <w:tr w14:paraId="22EA2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noWrap w:val="0"/>
            <w:vAlign w:val="top"/>
          </w:tcPr>
          <w:p w14:paraId="6187B32B">
            <w:pPr>
              <w:pStyle w:val="20"/>
              <w:adjustRightInd w:val="0"/>
              <w:snapToGrid w:val="0"/>
              <w:spacing w:before="0" w:beforeAutospacing="0" w:after="0" w:afterAutospacing="0" w:line="240" w:lineRule="auto"/>
              <w:outlineLvl w:val="0"/>
              <w:rPr>
                <w:rFonts w:hint="eastAsia" w:ascii="Times New Roman" w:hAnsi="Times New Roman" w:eastAsia="黑体" w:cs="Times New Roman"/>
                <w:snapToGrid w:val="0"/>
                <w:color w:val="000000" w:themeColor="text1"/>
                <w:sz w:val="30"/>
                <w:szCs w:val="30"/>
                <w:highlight w:val="none"/>
                <w:vertAlign w:val="baseline"/>
                <w:lang w:val="en-US" w:eastAsia="zh-CN"/>
                <w14:textFill>
                  <w14:solidFill>
                    <w14:schemeClr w14:val="tx1"/>
                  </w14:solidFill>
                </w14:textFill>
              </w:rPr>
            </w:pPr>
            <w:r>
              <w:rPr>
                <w:rFonts w:hint="eastAsia" w:ascii="Times New Roman" w:hAnsi="Times New Roman" w:eastAsia="黑体" w:cs="Times New Roman"/>
                <w:snapToGrid w:val="0"/>
                <w:color w:val="000000" w:themeColor="text1"/>
                <w:sz w:val="30"/>
                <w:szCs w:val="30"/>
                <w:highlight w:val="none"/>
                <w:lang w:val="en-US" w:eastAsia="zh-CN"/>
                <w14:textFill>
                  <w14:solidFill>
                    <w14:schemeClr w14:val="tx1"/>
                  </w14:solidFill>
                </w14:textFill>
              </w:rPr>
              <w:drawing>
                <wp:anchor distT="0" distB="0" distL="114300" distR="114300" simplePos="0" relativeHeight="251671552" behindDoc="0" locked="0" layoutInCell="1" allowOverlap="1">
                  <wp:simplePos x="0" y="0"/>
                  <wp:positionH relativeFrom="column">
                    <wp:posOffset>-120650</wp:posOffset>
                  </wp:positionH>
                  <wp:positionV relativeFrom="paragraph">
                    <wp:posOffset>183515</wp:posOffset>
                  </wp:positionV>
                  <wp:extent cx="5610860" cy="8158480"/>
                  <wp:effectExtent l="0" t="0" r="8890" b="13970"/>
                  <wp:wrapTopAndBottom/>
                  <wp:docPr id="14" name="图片 170" descr="内蒙古励泰生物能源有限责任公司年产60万吨兰炭型焦配套储棚建设项目环境影响评价环境现状监测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70" descr="内蒙古励泰生物能源有限责任公司年产60万吨兰炭型焦配套储棚建设项目环境影响评价环境现状监测_03"/>
                          <pic:cNvPicPr>
                            <a:picLocks noChangeAspect="1"/>
                          </pic:cNvPicPr>
                        </pic:nvPicPr>
                        <pic:blipFill>
                          <a:blip r:embed="rId60"/>
                          <a:stretch>
                            <a:fillRect/>
                          </a:stretch>
                        </pic:blipFill>
                        <pic:spPr>
                          <a:xfrm>
                            <a:off x="0" y="0"/>
                            <a:ext cx="5610860" cy="8158480"/>
                          </a:xfrm>
                          <a:prstGeom prst="rect">
                            <a:avLst/>
                          </a:prstGeom>
                          <a:noFill/>
                          <a:ln>
                            <a:noFill/>
                          </a:ln>
                        </pic:spPr>
                      </pic:pic>
                    </a:graphicData>
                  </a:graphic>
                </wp:anchor>
              </w:drawing>
            </w:r>
          </w:p>
        </w:tc>
      </w:tr>
      <w:tr w14:paraId="66039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noWrap w:val="0"/>
            <w:vAlign w:val="top"/>
          </w:tcPr>
          <w:p w14:paraId="5CC7F501">
            <w:pPr>
              <w:pStyle w:val="20"/>
              <w:adjustRightInd w:val="0"/>
              <w:snapToGrid w:val="0"/>
              <w:spacing w:before="0" w:beforeAutospacing="0" w:after="0" w:afterAutospacing="0" w:line="240" w:lineRule="auto"/>
              <w:outlineLvl w:val="0"/>
              <w:rPr>
                <w:rFonts w:hint="eastAsia" w:ascii="Times New Roman" w:hAnsi="Times New Roman" w:eastAsia="黑体" w:cs="Times New Roman"/>
                <w:snapToGrid w:val="0"/>
                <w:color w:val="000000" w:themeColor="text1"/>
                <w:sz w:val="30"/>
                <w:szCs w:val="30"/>
                <w:highlight w:val="none"/>
                <w:vertAlign w:val="baseline"/>
                <w:lang w:val="en-US" w:eastAsia="zh-CN"/>
                <w14:textFill>
                  <w14:solidFill>
                    <w14:schemeClr w14:val="tx1"/>
                  </w14:solidFill>
                </w14:textFill>
              </w:rPr>
            </w:pPr>
            <w:r>
              <w:rPr>
                <w:rFonts w:hint="eastAsia" w:ascii="Times New Roman" w:hAnsi="Times New Roman" w:eastAsia="黑体" w:cs="Times New Roman"/>
                <w:snapToGrid w:val="0"/>
                <w:color w:val="000000" w:themeColor="text1"/>
                <w:sz w:val="30"/>
                <w:szCs w:val="30"/>
                <w:highlight w:val="none"/>
                <w:lang w:val="en-US" w:eastAsia="zh-CN"/>
                <w14:textFill>
                  <w14:solidFill>
                    <w14:schemeClr w14:val="tx1"/>
                  </w14:solidFill>
                </w14:textFill>
              </w:rPr>
              <w:drawing>
                <wp:anchor distT="0" distB="0" distL="114300" distR="114300" simplePos="0" relativeHeight="251672576" behindDoc="0" locked="0" layoutInCell="1" allowOverlap="1">
                  <wp:simplePos x="0" y="0"/>
                  <wp:positionH relativeFrom="column">
                    <wp:posOffset>-10160</wp:posOffset>
                  </wp:positionH>
                  <wp:positionV relativeFrom="paragraph">
                    <wp:posOffset>20320</wp:posOffset>
                  </wp:positionV>
                  <wp:extent cx="5610860" cy="8260080"/>
                  <wp:effectExtent l="0" t="0" r="8890" b="7620"/>
                  <wp:wrapTopAndBottom/>
                  <wp:docPr id="15" name="图片 171" descr="内蒙古励泰生物能源有限责任公司年产60万吨兰炭型焦配套储棚建设项目环境影响评价环境现状监测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71" descr="内蒙古励泰生物能源有限责任公司年产60万吨兰炭型焦配套储棚建设项目环境影响评价环境现状监测_04"/>
                          <pic:cNvPicPr>
                            <a:picLocks noChangeAspect="1"/>
                          </pic:cNvPicPr>
                        </pic:nvPicPr>
                        <pic:blipFill>
                          <a:blip r:embed="rId61"/>
                          <a:stretch>
                            <a:fillRect/>
                          </a:stretch>
                        </pic:blipFill>
                        <pic:spPr>
                          <a:xfrm>
                            <a:off x="0" y="0"/>
                            <a:ext cx="5610860" cy="8260080"/>
                          </a:xfrm>
                          <a:prstGeom prst="rect">
                            <a:avLst/>
                          </a:prstGeom>
                          <a:noFill/>
                          <a:ln>
                            <a:noFill/>
                          </a:ln>
                        </pic:spPr>
                      </pic:pic>
                    </a:graphicData>
                  </a:graphic>
                </wp:anchor>
              </w:drawing>
            </w:r>
          </w:p>
        </w:tc>
      </w:tr>
      <w:tr w14:paraId="4EC4B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noWrap w:val="0"/>
            <w:vAlign w:val="top"/>
          </w:tcPr>
          <w:p w14:paraId="10666C80">
            <w:pPr>
              <w:pStyle w:val="20"/>
              <w:adjustRightInd w:val="0"/>
              <w:snapToGrid w:val="0"/>
              <w:spacing w:before="0" w:beforeAutospacing="0" w:after="0" w:afterAutospacing="0" w:line="240" w:lineRule="auto"/>
              <w:outlineLvl w:val="0"/>
              <w:rPr>
                <w:rFonts w:hint="eastAsia" w:ascii="Times New Roman" w:hAnsi="Times New Roman" w:eastAsia="黑体" w:cs="Times New Roman"/>
                <w:snapToGrid w:val="0"/>
                <w:color w:val="000000" w:themeColor="text1"/>
                <w:sz w:val="30"/>
                <w:szCs w:val="30"/>
                <w:highlight w:val="none"/>
                <w:vertAlign w:val="baseline"/>
                <w:lang w:val="en-US" w:eastAsia="zh-CN"/>
                <w14:textFill>
                  <w14:solidFill>
                    <w14:schemeClr w14:val="tx1"/>
                  </w14:solidFill>
                </w14:textFill>
              </w:rPr>
            </w:pPr>
            <w:r>
              <w:rPr>
                <w:rFonts w:hint="eastAsia" w:ascii="Times New Roman" w:hAnsi="Times New Roman" w:eastAsia="黑体" w:cs="Times New Roman"/>
                <w:snapToGrid w:val="0"/>
                <w:color w:val="000000" w:themeColor="text1"/>
                <w:sz w:val="30"/>
                <w:szCs w:val="30"/>
                <w:highlight w:val="none"/>
                <w:lang w:val="en-US" w:eastAsia="zh-CN"/>
                <w14:textFill>
                  <w14:solidFill>
                    <w14:schemeClr w14:val="tx1"/>
                  </w14:solidFill>
                </w14:textFill>
              </w:rPr>
              <w:drawing>
                <wp:anchor distT="0" distB="0" distL="114300" distR="114300" simplePos="0" relativeHeight="251673600" behindDoc="0" locked="0" layoutInCell="1" allowOverlap="1">
                  <wp:simplePos x="0" y="0"/>
                  <wp:positionH relativeFrom="column">
                    <wp:posOffset>69215</wp:posOffset>
                  </wp:positionH>
                  <wp:positionV relativeFrom="paragraph">
                    <wp:posOffset>137160</wp:posOffset>
                  </wp:positionV>
                  <wp:extent cx="5610860" cy="8158480"/>
                  <wp:effectExtent l="0" t="0" r="8890" b="13970"/>
                  <wp:wrapTopAndBottom/>
                  <wp:docPr id="16" name="图片 172" descr="内蒙古励泰生物能源有限责任公司年产60万吨兰炭型焦配套储棚建设项目环境影响评价环境现状监测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72" descr="内蒙古励泰生物能源有限责任公司年产60万吨兰炭型焦配套储棚建设项目环境影响评价环境现状监测_05"/>
                          <pic:cNvPicPr>
                            <a:picLocks noChangeAspect="1"/>
                          </pic:cNvPicPr>
                        </pic:nvPicPr>
                        <pic:blipFill>
                          <a:blip r:embed="rId62"/>
                          <a:stretch>
                            <a:fillRect/>
                          </a:stretch>
                        </pic:blipFill>
                        <pic:spPr>
                          <a:xfrm>
                            <a:off x="0" y="0"/>
                            <a:ext cx="5610860" cy="8158480"/>
                          </a:xfrm>
                          <a:prstGeom prst="rect">
                            <a:avLst/>
                          </a:prstGeom>
                          <a:noFill/>
                          <a:ln>
                            <a:noFill/>
                          </a:ln>
                        </pic:spPr>
                      </pic:pic>
                    </a:graphicData>
                  </a:graphic>
                </wp:anchor>
              </w:drawing>
            </w:r>
          </w:p>
        </w:tc>
      </w:tr>
      <w:tr w14:paraId="2D307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noWrap w:val="0"/>
            <w:vAlign w:val="top"/>
          </w:tcPr>
          <w:p w14:paraId="74B06B44">
            <w:pPr>
              <w:pStyle w:val="20"/>
              <w:adjustRightInd w:val="0"/>
              <w:snapToGrid w:val="0"/>
              <w:spacing w:before="0" w:beforeAutospacing="0" w:after="0" w:afterAutospacing="0" w:line="240" w:lineRule="auto"/>
              <w:outlineLvl w:val="0"/>
              <w:rPr>
                <w:rFonts w:hint="eastAsia" w:ascii="Times New Roman" w:hAnsi="Times New Roman" w:eastAsia="黑体" w:cs="Times New Roman"/>
                <w:snapToGrid w:val="0"/>
                <w:color w:val="000000" w:themeColor="text1"/>
                <w:sz w:val="30"/>
                <w:szCs w:val="30"/>
                <w:highlight w:val="none"/>
                <w:vertAlign w:val="baseline"/>
                <w:lang w:val="en-US" w:eastAsia="zh-CN"/>
                <w14:textFill>
                  <w14:solidFill>
                    <w14:schemeClr w14:val="tx1"/>
                  </w14:solidFill>
                </w14:textFill>
              </w:rPr>
            </w:pPr>
            <w:r>
              <w:rPr>
                <w:rFonts w:hint="eastAsia" w:ascii="Times New Roman" w:hAnsi="Times New Roman" w:eastAsia="黑体" w:cs="Times New Roman"/>
                <w:snapToGrid w:val="0"/>
                <w:color w:val="000000" w:themeColor="text1"/>
                <w:sz w:val="30"/>
                <w:szCs w:val="30"/>
                <w:highlight w:val="none"/>
                <w:lang w:val="en-US" w:eastAsia="zh-CN"/>
                <w14:textFill>
                  <w14:solidFill>
                    <w14:schemeClr w14:val="tx1"/>
                  </w14:solidFill>
                </w14:textFill>
              </w:rPr>
              <w:drawing>
                <wp:anchor distT="0" distB="0" distL="114300" distR="114300" simplePos="0" relativeHeight="251674624" behindDoc="0" locked="0" layoutInCell="1" allowOverlap="1">
                  <wp:simplePos x="0" y="0"/>
                  <wp:positionH relativeFrom="column">
                    <wp:posOffset>45085</wp:posOffset>
                  </wp:positionH>
                  <wp:positionV relativeFrom="paragraph">
                    <wp:posOffset>-41910</wp:posOffset>
                  </wp:positionV>
                  <wp:extent cx="5610860" cy="8317865"/>
                  <wp:effectExtent l="0" t="0" r="8890" b="6985"/>
                  <wp:wrapTopAndBottom/>
                  <wp:docPr id="17" name="图片 173" descr="内蒙古励泰生物能源有限责任公司年产60万吨兰炭型焦配套储棚建设项目环境影响评价环境现状监测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3" descr="内蒙古励泰生物能源有限责任公司年产60万吨兰炭型焦配套储棚建设项目环境影响评价环境现状监测_06"/>
                          <pic:cNvPicPr>
                            <a:picLocks noChangeAspect="1"/>
                          </pic:cNvPicPr>
                        </pic:nvPicPr>
                        <pic:blipFill>
                          <a:blip r:embed="rId63"/>
                          <a:stretch>
                            <a:fillRect/>
                          </a:stretch>
                        </pic:blipFill>
                        <pic:spPr>
                          <a:xfrm>
                            <a:off x="0" y="0"/>
                            <a:ext cx="5610860" cy="8317865"/>
                          </a:xfrm>
                          <a:prstGeom prst="rect">
                            <a:avLst/>
                          </a:prstGeom>
                          <a:noFill/>
                          <a:ln>
                            <a:noFill/>
                          </a:ln>
                        </pic:spPr>
                      </pic:pic>
                    </a:graphicData>
                  </a:graphic>
                </wp:anchor>
              </w:drawing>
            </w:r>
          </w:p>
        </w:tc>
      </w:tr>
      <w:tr w14:paraId="4384E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noWrap w:val="0"/>
            <w:vAlign w:val="top"/>
          </w:tcPr>
          <w:p w14:paraId="21944952">
            <w:pPr>
              <w:pStyle w:val="20"/>
              <w:adjustRightInd w:val="0"/>
              <w:snapToGrid w:val="0"/>
              <w:spacing w:before="0" w:beforeAutospacing="0" w:after="0" w:afterAutospacing="0" w:line="240" w:lineRule="auto"/>
              <w:outlineLvl w:val="0"/>
              <w:rPr>
                <w:rFonts w:hint="eastAsia" w:ascii="Times New Roman" w:hAnsi="Times New Roman" w:eastAsia="黑体" w:cs="Times New Roman"/>
                <w:snapToGrid w:val="0"/>
                <w:color w:val="000000" w:themeColor="text1"/>
                <w:sz w:val="30"/>
                <w:szCs w:val="30"/>
                <w:highlight w:val="none"/>
                <w:vertAlign w:val="baseline"/>
                <w:lang w:val="en-US" w:eastAsia="zh-CN"/>
                <w14:textFill>
                  <w14:solidFill>
                    <w14:schemeClr w14:val="tx1"/>
                  </w14:solidFill>
                </w14:textFill>
              </w:rPr>
            </w:pPr>
            <w:r>
              <w:rPr>
                <w:rFonts w:hint="eastAsia" w:ascii="Times New Roman" w:hAnsi="Times New Roman" w:eastAsia="黑体" w:cs="Times New Roman"/>
                <w:snapToGrid w:val="0"/>
                <w:color w:val="000000" w:themeColor="text1"/>
                <w:sz w:val="30"/>
                <w:szCs w:val="30"/>
                <w:highlight w:val="none"/>
                <w:lang w:val="en-US" w:eastAsia="zh-CN"/>
                <w14:textFill>
                  <w14:solidFill>
                    <w14:schemeClr w14:val="tx1"/>
                  </w14:solidFill>
                </w14:textFill>
              </w:rPr>
              <w:drawing>
                <wp:anchor distT="0" distB="0" distL="114300" distR="114300" simplePos="0" relativeHeight="251675648" behindDoc="0" locked="0" layoutInCell="1" allowOverlap="1">
                  <wp:simplePos x="0" y="0"/>
                  <wp:positionH relativeFrom="column">
                    <wp:posOffset>-46355</wp:posOffset>
                  </wp:positionH>
                  <wp:positionV relativeFrom="paragraph">
                    <wp:posOffset>97790</wp:posOffset>
                  </wp:positionV>
                  <wp:extent cx="5610860" cy="8099425"/>
                  <wp:effectExtent l="0" t="0" r="8890" b="15875"/>
                  <wp:wrapTopAndBottom/>
                  <wp:docPr id="18" name="图片 174" descr="内蒙古励泰生物能源有限责任公司年产60万吨兰炭型焦配套储棚建设项目环境影响评价环境现状监测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74" descr="内蒙古励泰生物能源有限责任公司年产60万吨兰炭型焦配套储棚建设项目环境影响评价环境现状监测_07"/>
                          <pic:cNvPicPr>
                            <a:picLocks noChangeAspect="1"/>
                          </pic:cNvPicPr>
                        </pic:nvPicPr>
                        <pic:blipFill>
                          <a:blip r:embed="rId64"/>
                          <a:stretch>
                            <a:fillRect/>
                          </a:stretch>
                        </pic:blipFill>
                        <pic:spPr>
                          <a:xfrm>
                            <a:off x="0" y="0"/>
                            <a:ext cx="5610860" cy="8099425"/>
                          </a:xfrm>
                          <a:prstGeom prst="rect">
                            <a:avLst/>
                          </a:prstGeom>
                          <a:noFill/>
                          <a:ln>
                            <a:noFill/>
                          </a:ln>
                        </pic:spPr>
                      </pic:pic>
                    </a:graphicData>
                  </a:graphic>
                </wp:anchor>
              </w:drawing>
            </w:r>
          </w:p>
        </w:tc>
      </w:tr>
      <w:tr w14:paraId="105D7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noWrap w:val="0"/>
            <w:vAlign w:val="top"/>
          </w:tcPr>
          <w:p w14:paraId="298882AA">
            <w:pPr>
              <w:pStyle w:val="20"/>
              <w:adjustRightInd w:val="0"/>
              <w:snapToGrid w:val="0"/>
              <w:spacing w:before="0" w:beforeAutospacing="0" w:after="0" w:afterAutospacing="0" w:line="240" w:lineRule="auto"/>
              <w:outlineLvl w:val="0"/>
              <w:rPr>
                <w:rFonts w:hint="eastAsia" w:ascii="Times New Roman" w:hAnsi="Times New Roman" w:eastAsia="黑体" w:cs="Times New Roman"/>
                <w:snapToGrid w:val="0"/>
                <w:color w:val="000000" w:themeColor="text1"/>
                <w:sz w:val="30"/>
                <w:szCs w:val="30"/>
                <w:highlight w:val="none"/>
                <w:vertAlign w:val="baseline"/>
                <w:lang w:val="en-US" w:eastAsia="zh-CN"/>
                <w14:textFill>
                  <w14:solidFill>
                    <w14:schemeClr w14:val="tx1"/>
                  </w14:solidFill>
                </w14:textFill>
              </w:rPr>
            </w:pPr>
            <w:r>
              <w:rPr>
                <w:rFonts w:hint="eastAsia" w:ascii="Times New Roman" w:hAnsi="Times New Roman" w:eastAsia="黑体" w:cs="Times New Roman"/>
                <w:snapToGrid w:val="0"/>
                <w:color w:val="000000" w:themeColor="text1"/>
                <w:sz w:val="30"/>
                <w:szCs w:val="30"/>
                <w:highlight w:val="none"/>
                <w:vertAlign w:val="baseline"/>
                <w:lang w:val="en-US" w:eastAsia="zh-CN"/>
                <w14:textFill>
                  <w14:solidFill>
                    <w14:schemeClr w14:val="tx1"/>
                  </w14:solidFill>
                </w14:textFill>
              </w:rPr>
              <w:drawing>
                <wp:anchor distT="0" distB="0" distL="114300" distR="114300" simplePos="0" relativeHeight="251676672" behindDoc="0" locked="0" layoutInCell="1" allowOverlap="1">
                  <wp:simplePos x="0" y="0"/>
                  <wp:positionH relativeFrom="column">
                    <wp:posOffset>0</wp:posOffset>
                  </wp:positionH>
                  <wp:positionV relativeFrom="paragraph">
                    <wp:posOffset>-7686040</wp:posOffset>
                  </wp:positionV>
                  <wp:extent cx="5610860" cy="8319135"/>
                  <wp:effectExtent l="0" t="0" r="8890" b="5715"/>
                  <wp:wrapTopAndBottom/>
                  <wp:docPr id="19" name="图片 175" descr="内蒙古励泰生物能源有限责任公司年产60万吨兰炭型焦配套储棚建设项目环境影响评价环境现状监测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75" descr="内蒙古励泰生物能源有限责任公司年产60万吨兰炭型焦配套储棚建设项目环境影响评价环境现状监测_08"/>
                          <pic:cNvPicPr>
                            <a:picLocks noChangeAspect="1"/>
                          </pic:cNvPicPr>
                        </pic:nvPicPr>
                        <pic:blipFill>
                          <a:blip r:embed="rId65"/>
                          <a:stretch>
                            <a:fillRect/>
                          </a:stretch>
                        </pic:blipFill>
                        <pic:spPr>
                          <a:xfrm>
                            <a:off x="0" y="0"/>
                            <a:ext cx="5610860" cy="8319135"/>
                          </a:xfrm>
                          <a:prstGeom prst="rect">
                            <a:avLst/>
                          </a:prstGeom>
                          <a:noFill/>
                          <a:ln>
                            <a:noFill/>
                          </a:ln>
                        </pic:spPr>
                      </pic:pic>
                    </a:graphicData>
                  </a:graphic>
                </wp:anchor>
              </w:drawing>
            </w:r>
          </w:p>
        </w:tc>
      </w:tr>
      <w:tr w14:paraId="62C10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noWrap w:val="0"/>
            <w:vAlign w:val="top"/>
          </w:tcPr>
          <w:p w14:paraId="60AED7C1">
            <w:pPr>
              <w:pStyle w:val="20"/>
              <w:adjustRightInd w:val="0"/>
              <w:snapToGrid w:val="0"/>
              <w:spacing w:before="0" w:beforeAutospacing="0" w:after="0" w:afterAutospacing="0" w:line="240" w:lineRule="auto"/>
              <w:outlineLvl w:val="0"/>
              <w:rPr>
                <w:rFonts w:hint="eastAsia" w:ascii="Times New Roman" w:hAnsi="Times New Roman" w:eastAsia="黑体" w:cs="Times New Roman"/>
                <w:snapToGrid w:val="0"/>
                <w:color w:val="000000" w:themeColor="text1"/>
                <w:sz w:val="30"/>
                <w:szCs w:val="30"/>
                <w:highlight w:val="none"/>
                <w:vertAlign w:val="baseline"/>
                <w:lang w:val="en-US" w:eastAsia="zh-CN"/>
                <w14:textFill>
                  <w14:solidFill>
                    <w14:schemeClr w14:val="tx1"/>
                  </w14:solidFill>
                </w14:textFill>
              </w:rPr>
            </w:pPr>
            <w:r>
              <w:rPr>
                <w:rFonts w:hint="eastAsia" w:ascii="Times New Roman" w:hAnsi="Times New Roman" w:eastAsia="黑体" w:cs="Times New Roman"/>
                <w:snapToGrid w:val="0"/>
                <w:color w:val="000000" w:themeColor="text1"/>
                <w:sz w:val="30"/>
                <w:szCs w:val="30"/>
                <w:highlight w:val="none"/>
                <w:vertAlign w:val="baseline"/>
                <w:lang w:val="en-US" w:eastAsia="zh-CN"/>
                <w14:textFill>
                  <w14:solidFill>
                    <w14:schemeClr w14:val="tx1"/>
                  </w14:solidFill>
                </w14:textFill>
              </w:rPr>
              <w:drawing>
                <wp:anchor distT="0" distB="0" distL="114300" distR="114300" simplePos="0" relativeHeight="251677696" behindDoc="0" locked="0" layoutInCell="1" allowOverlap="1">
                  <wp:simplePos x="0" y="0"/>
                  <wp:positionH relativeFrom="column">
                    <wp:posOffset>0</wp:posOffset>
                  </wp:positionH>
                  <wp:positionV relativeFrom="paragraph">
                    <wp:posOffset>-7686040</wp:posOffset>
                  </wp:positionV>
                  <wp:extent cx="5610860" cy="8251825"/>
                  <wp:effectExtent l="0" t="0" r="8890" b="15875"/>
                  <wp:wrapTopAndBottom/>
                  <wp:docPr id="20" name="图片 176" descr="内蒙古励泰生物能源有限责任公司年产60万吨兰炭型焦配套储棚建设项目环境影响评价环境现状监测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76" descr="内蒙古励泰生物能源有限责任公司年产60万吨兰炭型焦配套储棚建设项目环境影响评价环境现状监测_09"/>
                          <pic:cNvPicPr>
                            <a:picLocks noChangeAspect="1"/>
                          </pic:cNvPicPr>
                        </pic:nvPicPr>
                        <pic:blipFill>
                          <a:blip r:embed="rId66"/>
                          <a:stretch>
                            <a:fillRect/>
                          </a:stretch>
                        </pic:blipFill>
                        <pic:spPr>
                          <a:xfrm>
                            <a:off x="0" y="0"/>
                            <a:ext cx="5610860" cy="8251825"/>
                          </a:xfrm>
                          <a:prstGeom prst="rect">
                            <a:avLst/>
                          </a:prstGeom>
                          <a:noFill/>
                          <a:ln>
                            <a:noFill/>
                          </a:ln>
                        </pic:spPr>
                      </pic:pic>
                    </a:graphicData>
                  </a:graphic>
                </wp:anchor>
              </w:drawing>
            </w:r>
          </w:p>
        </w:tc>
      </w:tr>
      <w:tr w14:paraId="727F1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noWrap w:val="0"/>
            <w:vAlign w:val="top"/>
          </w:tcPr>
          <w:p w14:paraId="0CB80A8B">
            <w:pPr>
              <w:pStyle w:val="20"/>
              <w:adjustRightInd w:val="0"/>
              <w:snapToGrid w:val="0"/>
              <w:spacing w:before="0" w:beforeAutospacing="0" w:after="0" w:afterAutospacing="0" w:line="240" w:lineRule="auto"/>
              <w:outlineLvl w:val="0"/>
              <w:rPr>
                <w:rFonts w:hint="eastAsia" w:ascii="Times New Roman" w:hAnsi="Times New Roman" w:eastAsia="黑体" w:cs="Times New Roman"/>
                <w:snapToGrid w:val="0"/>
                <w:color w:val="000000" w:themeColor="text1"/>
                <w:sz w:val="30"/>
                <w:szCs w:val="30"/>
                <w:highlight w:val="none"/>
                <w:vertAlign w:val="baseline"/>
                <w:lang w:val="en-US" w:eastAsia="zh-CN"/>
                <w14:textFill>
                  <w14:solidFill>
                    <w14:schemeClr w14:val="tx1"/>
                  </w14:solidFill>
                </w14:textFill>
              </w:rPr>
            </w:pPr>
            <w:r>
              <w:rPr>
                <w:rFonts w:hint="eastAsia" w:ascii="Times New Roman" w:hAnsi="Times New Roman" w:eastAsia="黑体" w:cs="Times New Roman"/>
                <w:snapToGrid w:val="0"/>
                <w:color w:val="000000" w:themeColor="text1"/>
                <w:sz w:val="30"/>
                <w:szCs w:val="30"/>
                <w:highlight w:val="none"/>
                <w:vertAlign w:val="baseline"/>
                <w:lang w:val="en-US" w:eastAsia="zh-CN"/>
                <w14:textFill>
                  <w14:solidFill>
                    <w14:schemeClr w14:val="tx1"/>
                  </w14:solidFill>
                </w14:textFill>
              </w:rPr>
              <w:drawing>
                <wp:anchor distT="0" distB="0" distL="114300" distR="114300" simplePos="0" relativeHeight="251678720" behindDoc="0" locked="0" layoutInCell="1" allowOverlap="1">
                  <wp:simplePos x="0" y="0"/>
                  <wp:positionH relativeFrom="column">
                    <wp:posOffset>0</wp:posOffset>
                  </wp:positionH>
                  <wp:positionV relativeFrom="paragraph">
                    <wp:posOffset>-7686040</wp:posOffset>
                  </wp:positionV>
                  <wp:extent cx="5610860" cy="8324215"/>
                  <wp:effectExtent l="0" t="0" r="2540" b="6985"/>
                  <wp:wrapTopAndBottom/>
                  <wp:docPr id="21" name="图片 177" descr="内蒙古励泰生物能源有限责任公司年产60万吨兰炭型焦配套储棚建设项目环境影响评价环境现状监测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77" descr="内蒙古励泰生物能源有限责任公司年产60万吨兰炭型焦配套储棚建设项目环境影响评价环境现状监测_10"/>
                          <pic:cNvPicPr>
                            <a:picLocks noChangeAspect="1"/>
                          </pic:cNvPicPr>
                        </pic:nvPicPr>
                        <pic:blipFill>
                          <a:blip r:embed="rId67"/>
                          <a:stretch>
                            <a:fillRect/>
                          </a:stretch>
                        </pic:blipFill>
                        <pic:spPr>
                          <a:xfrm>
                            <a:off x="0" y="0"/>
                            <a:ext cx="5610860" cy="8324215"/>
                          </a:xfrm>
                          <a:prstGeom prst="rect">
                            <a:avLst/>
                          </a:prstGeom>
                          <a:noFill/>
                          <a:ln>
                            <a:noFill/>
                          </a:ln>
                        </pic:spPr>
                      </pic:pic>
                    </a:graphicData>
                  </a:graphic>
                </wp:anchor>
              </w:drawing>
            </w:r>
          </w:p>
        </w:tc>
      </w:tr>
      <w:tr w14:paraId="6F5EE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31" w:hRule="atLeast"/>
        </w:trPr>
        <w:tc>
          <w:tcPr>
            <w:tcW w:w="9060" w:type="dxa"/>
            <w:noWrap w:val="0"/>
            <w:vAlign w:val="top"/>
          </w:tcPr>
          <w:p w14:paraId="3E5E4E66">
            <w:pPr>
              <w:pStyle w:val="20"/>
              <w:adjustRightInd w:val="0"/>
              <w:snapToGrid w:val="0"/>
              <w:spacing w:before="0" w:beforeAutospacing="0" w:after="0" w:afterAutospacing="0" w:line="240" w:lineRule="auto"/>
              <w:outlineLvl w:val="0"/>
              <w:rPr>
                <w:rFonts w:hint="eastAsia" w:ascii="Times New Roman" w:hAnsi="Times New Roman" w:eastAsia="黑体" w:cs="Times New Roman"/>
                <w:snapToGrid w:val="0"/>
                <w:color w:val="000000" w:themeColor="text1"/>
                <w:sz w:val="30"/>
                <w:szCs w:val="30"/>
                <w:highlight w:val="none"/>
                <w:vertAlign w:val="baseline"/>
                <w:lang w:val="en-US" w:eastAsia="zh-CN"/>
                <w14:textFill>
                  <w14:solidFill>
                    <w14:schemeClr w14:val="tx1"/>
                  </w14:solidFill>
                </w14:textFill>
              </w:rPr>
            </w:pPr>
            <w:r>
              <w:rPr>
                <w:rFonts w:hint="eastAsia" w:ascii="Times New Roman" w:hAnsi="Times New Roman" w:eastAsia="黑体" w:cs="Times New Roman"/>
                <w:snapToGrid w:val="0"/>
                <w:color w:val="000000" w:themeColor="text1"/>
                <w:sz w:val="30"/>
                <w:szCs w:val="30"/>
                <w:highlight w:val="none"/>
                <w:vertAlign w:val="baseline"/>
                <w:lang w:val="en-US" w:eastAsia="zh-CN"/>
                <w14:textFill>
                  <w14:solidFill>
                    <w14:schemeClr w14:val="tx1"/>
                  </w14:solidFill>
                </w14:textFill>
              </w:rPr>
              <w:drawing>
                <wp:anchor distT="0" distB="0" distL="114300" distR="114300" simplePos="0" relativeHeight="251679744" behindDoc="0" locked="0" layoutInCell="1" allowOverlap="1">
                  <wp:simplePos x="0" y="0"/>
                  <wp:positionH relativeFrom="column">
                    <wp:posOffset>0</wp:posOffset>
                  </wp:positionH>
                  <wp:positionV relativeFrom="paragraph">
                    <wp:posOffset>-7686040</wp:posOffset>
                  </wp:positionV>
                  <wp:extent cx="5610860" cy="8344535"/>
                  <wp:effectExtent l="0" t="0" r="2540" b="12065"/>
                  <wp:wrapTopAndBottom/>
                  <wp:docPr id="22" name="图片 178" descr="内蒙古励泰生物能源有限责任公司年产60万吨兰炭型焦配套储棚建设项目环境影响评价环境现状监测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78" descr="内蒙古励泰生物能源有限责任公司年产60万吨兰炭型焦配套储棚建设项目环境影响评价环境现状监测_11"/>
                          <pic:cNvPicPr>
                            <a:picLocks noChangeAspect="1"/>
                          </pic:cNvPicPr>
                        </pic:nvPicPr>
                        <pic:blipFill>
                          <a:blip r:embed="rId68"/>
                          <a:stretch>
                            <a:fillRect/>
                          </a:stretch>
                        </pic:blipFill>
                        <pic:spPr>
                          <a:xfrm>
                            <a:off x="0" y="0"/>
                            <a:ext cx="5610860" cy="8344535"/>
                          </a:xfrm>
                          <a:prstGeom prst="rect">
                            <a:avLst/>
                          </a:prstGeom>
                          <a:noFill/>
                          <a:ln>
                            <a:noFill/>
                          </a:ln>
                        </pic:spPr>
                      </pic:pic>
                    </a:graphicData>
                  </a:graphic>
                </wp:anchor>
              </w:drawing>
            </w:r>
          </w:p>
        </w:tc>
      </w:tr>
      <w:tr w14:paraId="704C2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31" w:hRule="atLeast"/>
        </w:trPr>
        <w:tc>
          <w:tcPr>
            <w:tcW w:w="9060" w:type="dxa"/>
            <w:noWrap w:val="0"/>
            <w:vAlign w:val="top"/>
          </w:tcPr>
          <w:p w14:paraId="61C9C9EF">
            <w:pPr>
              <w:pStyle w:val="20"/>
              <w:adjustRightInd w:val="0"/>
              <w:snapToGrid w:val="0"/>
              <w:spacing w:before="0" w:beforeAutospacing="0" w:after="0" w:afterAutospacing="0" w:line="240" w:lineRule="auto"/>
              <w:outlineLvl w:val="0"/>
              <w:rPr>
                <w:rFonts w:hint="eastAsia" w:ascii="Times New Roman" w:hAnsi="Times New Roman" w:eastAsia="黑体" w:cs="Times New Roman"/>
                <w:snapToGrid w:val="0"/>
                <w:color w:val="000000" w:themeColor="text1"/>
                <w:sz w:val="30"/>
                <w:szCs w:val="30"/>
                <w:highlight w:val="none"/>
                <w:vertAlign w:val="baseline"/>
                <w:lang w:val="en-US" w:eastAsia="zh-CN"/>
                <w14:textFill>
                  <w14:solidFill>
                    <w14:schemeClr w14:val="tx1"/>
                  </w14:solidFill>
                </w14:textFill>
              </w:rPr>
            </w:pPr>
            <w:r>
              <w:rPr>
                <w:color w:val="000000" w:themeColor="text1"/>
                <w14:textFill>
                  <w14:solidFill>
                    <w14:schemeClr w14:val="tx1"/>
                  </w14:solidFill>
                </w14:textFill>
              </w:rPr>
              <w:drawing>
                <wp:inline distT="0" distB="0" distL="114300" distR="114300">
                  <wp:extent cx="5614670" cy="7886700"/>
                  <wp:effectExtent l="0" t="0" r="5080" b="0"/>
                  <wp:docPr id="9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3"/>
                          <pic:cNvPicPr>
                            <a:picLocks noChangeAspect="1"/>
                          </pic:cNvPicPr>
                        </pic:nvPicPr>
                        <pic:blipFill>
                          <a:blip r:embed="rId69"/>
                          <a:stretch>
                            <a:fillRect/>
                          </a:stretch>
                        </pic:blipFill>
                        <pic:spPr>
                          <a:xfrm>
                            <a:off x="0" y="0"/>
                            <a:ext cx="5614670" cy="7886700"/>
                          </a:xfrm>
                          <a:prstGeom prst="rect">
                            <a:avLst/>
                          </a:prstGeom>
                          <a:noFill/>
                          <a:ln>
                            <a:noFill/>
                          </a:ln>
                        </pic:spPr>
                      </pic:pic>
                    </a:graphicData>
                  </a:graphic>
                </wp:inline>
              </w:drawing>
            </w:r>
          </w:p>
        </w:tc>
      </w:tr>
      <w:tr w14:paraId="210DC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31" w:hRule="atLeast"/>
        </w:trPr>
        <w:tc>
          <w:tcPr>
            <w:tcW w:w="9060" w:type="dxa"/>
            <w:noWrap w:val="0"/>
            <w:vAlign w:val="top"/>
          </w:tcPr>
          <w:p w14:paraId="4EF70400">
            <w:pPr>
              <w:pStyle w:val="20"/>
              <w:adjustRightInd w:val="0"/>
              <w:snapToGrid w:val="0"/>
              <w:spacing w:before="0" w:beforeAutospacing="0" w:after="0" w:afterAutospacing="0" w:line="240" w:lineRule="auto"/>
              <w:outlineLvl w:val="0"/>
              <w:rPr>
                <w:rFonts w:hint="eastAsia" w:ascii="Times New Roman" w:hAnsi="Times New Roman" w:eastAsia="黑体" w:cs="Times New Roman"/>
                <w:snapToGrid w:val="0"/>
                <w:color w:val="000000" w:themeColor="text1"/>
                <w:sz w:val="30"/>
                <w:szCs w:val="30"/>
                <w:highlight w:val="none"/>
                <w:vertAlign w:val="baseline"/>
                <w:lang w:val="en-US" w:eastAsia="zh-CN"/>
                <w14:textFill>
                  <w14:solidFill>
                    <w14:schemeClr w14:val="tx1"/>
                  </w14:solidFill>
                </w14:textFill>
              </w:rPr>
            </w:pPr>
            <w:r>
              <w:rPr>
                <w:color w:val="000000" w:themeColor="text1"/>
                <w14:textFill>
                  <w14:solidFill>
                    <w14:schemeClr w14:val="tx1"/>
                  </w14:solidFill>
                </w14:textFill>
              </w:rPr>
              <w:drawing>
                <wp:inline distT="0" distB="0" distL="114300" distR="114300">
                  <wp:extent cx="5610225" cy="7853045"/>
                  <wp:effectExtent l="0" t="0" r="9525" b="14605"/>
                  <wp:docPr id="9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4"/>
                          <pic:cNvPicPr>
                            <a:picLocks noChangeAspect="1"/>
                          </pic:cNvPicPr>
                        </pic:nvPicPr>
                        <pic:blipFill>
                          <a:blip r:embed="rId70"/>
                          <a:stretch>
                            <a:fillRect/>
                          </a:stretch>
                        </pic:blipFill>
                        <pic:spPr>
                          <a:xfrm>
                            <a:off x="0" y="0"/>
                            <a:ext cx="5610225" cy="7853045"/>
                          </a:xfrm>
                          <a:prstGeom prst="rect">
                            <a:avLst/>
                          </a:prstGeom>
                          <a:noFill/>
                          <a:ln>
                            <a:noFill/>
                          </a:ln>
                        </pic:spPr>
                      </pic:pic>
                    </a:graphicData>
                  </a:graphic>
                </wp:inline>
              </w:drawing>
            </w:r>
          </w:p>
        </w:tc>
      </w:tr>
      <w:tr w14:paraId="5B995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31" w:hRule="atLeast"/>
        </w:trPr>
        <w:tc>
          <w:tcPr>
            <w:tcW w:w="9060" w:type="dxa"/>
            <w:noWrap w:val="0"/>
            <w:vAlign w:val="top"/>
          </w:tcPr>
          <w:p w14:paraId="0AF161F8">
            <w:pPr>
              <w:pStyle w:val="20"/>
              <w:adjustRightInd w:val="0"/>
              <w:snapToGrid w:val="0"/>
              <w:spacing w:before="0" w:beforeAutospacing="0" w:after="0" w:afterAutospacing="0" w:line="240" w:lineRule="auto"/>
              <w:outlineLvl w:val="0"/>
              <w:rPr>
                <w:rFonts w:hint="eastAsia" w:ascii="Times New Roman" w:hAnsi="Times New Roman" w:eastAsia="黑体" w:cs="Times New Roman"/>
                <w:snapToGrid w:val="0"/>
                <w:color w:val="000000" w:themeColor="text1"/>
                <w:sz w:val="30"/>
                <w:szCs w:val="30"/>
                <w:highlight w:val="none"/>
                <w:vertAlign w:val="baseline"/>
                <w:lang w:val="en-US" w:eastAsia="zh-CN"/>
                <w14:textFill>
                  <w14:solidFill>
                    <w14:schemeClr w14:val="tx1"/>
                  </w14:solidFill>
                </w14:textFill>
              </w:rPr>
            </w:pPr>
            <w:r>
              <w:rPr>
                <w:color w:val="000000" w:themeColor="text1"/>
                <w14:textFill>
                  <w14:solidFill>
                    <w14:schemeClr w14:val="tx1"/>
                  </w14:solidFill>
                </w14:textFill>
              </w:rPr>
              <w:drawing>
                <wp:inline distT="0" distB="0" distL="114300" distR="114300">
                  <wp:extent cx="5612765" cy="7946390"/>
                  <wp:effectExtent l="0" t="0" r="6985" b="16510"/>
                  <wp:docPr id="9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5"/>
                          <pic:cNvPicPr>
                            <a:picLocks noChangeAspect="1"/>
                          </pic:cNvPicPr>
                        </pic:nvPicPr>
                        <pic:blipFill>
                          <a:blip r:embed="rId71"/>
                          <a:stretch>
                            <a:fillRect/>
                          </a:stretch>
                        </pic:blipFill>
                        <pic:spPr>
                          <a:xfrm>
                            <a:off x="0" y="0"/>
                            <a:ext cx="5612765" cy="7946390"/>
                          </a:xfrm>
                          <a:prstGeom prst="rect">
                            <a:avLst/>
                          </a:prstGeom>
                          <a:noFill/>
                          <a:ln>
                            <a:noFill/>
                          </a:ln>
                        </pic:spPr>
                      </pic:pic>
                    </a:graphicData>
                  </a:graphic>
                </wp:inline>
              </w:drawing>
            </w:r>
          </w:p>
        </w:tc>
      </w:tr>
      <w:tr w14:paraId="73873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31" w:hRule="atLeast"/>
        </w:trPr>
        <w:tc>
          <w:tcPr>
            <w:tcW w:w="9060" w:type="dxa"/>
            <w:noWrap w:val="0"/>
            <w:vAlign w:val="top"/>
          </w:tcPr>
          <w:p w14:paraId="5856E01C">
            <w:pPr>
              <w:pStyle w:val="20"/>
              <w:adjustRightInd w:val="0"/>
              <w:snapToGrid w:val="0"/>
              <w:spacing w:before="0" w:beforeAutospacing="0" w:after="0" w:afterAutospacing="0" w:line="240" w:lineRule="auto"/>
              <w:outlineLvl w:val="0"/>
              <w:rPr>
                <w:rFonts w:hint="eastAsia" w:ascii="Times New Roman" w:hAnsi="Times New Roman" w:eastAsia="黑体" w:cs="Times New Roman"/>
                <w:snapToGrid w:val="0"/>
                <w:color w:val="000000" w:themeColor="text1"/>
                <w:sz w:val="30"/>
                <w:szCs w:val="30"/>
                <w:highlight w:val="none"/>
                <w:vertAlign w:val="baseline"/>
                <w:lang w:val="en-US" w:eastAsia="zh-CN"/>
                <w14:textFill>
                  <w14:solidFill>
                    <w14:schemeClr w14:val="tx1"/>
                  </w14:solidFill>
                </w14:textFill>
              </w:rPr>
            </w:pPr>
            <w:r>
              <w:rPr>
                <w:color w:val="000000" w:themeColor="text1"/>
                <w14:textFill>
                  <w14:solidFill>
                    <w14:schemeClr w14:val="tx1"/>
                  </w14:solidFill>
                </w14:textFill>
              </w:rPr>
              <w:drawing>
                <wp:inline distT="0" distB="0" distL="114300" distR="114300">
                  <wp:extent cx="5610860" cy="7930515"/>
                  <wp:effectExtent l="0" t="0" r="8890" b="13335"/>
                  <wp:docPr id="9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6"/>
                          <pic:cNvPicPr>
                            <a:picLocks noChangeAspect="1"/>
                          </pic:cNvPicPr>
                        </pic:nvPicPr>
                        <pic:blipFill>
                          <a:blip r:embed="rId72"/>
                          <a:stretch>
                            <a:fillRect/>
                          </a:stretch>
                        </pic:blipFill>
                        <pic:spPr>
                          <a:xfrm>
                            <a:off x="0" y="0"/>
                            <a:ext cx="5610860" cy="7930515"/>
                          </a:xfrm>
                          <a:prstGeom prst="rect">
                            <a:avLst/>
                          </a:prstGeom>
                          <a:noFill/>
                          <a:ln>
                            <a:noFill/>
                          </a:ln>
                        </pic:spPr>
                      </pic:pic>
                    </a:graphicData>
                  </a:graphic>
                </wp:inline>
              </w:drawing>
            </w:r>
          </w:p>
        </w:tc>
      </w:tr>
      <w:tr w14:paraId="666D7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31" w:hRule="atLeast"/>
        </w:trPr>
        <w:tc>
          <w:tcPr>
            <w:tcW w:w="9060" w:type="dxa"/>
            <w:noWrap w:val="0"/>
            <w:vAlign w:val="top"/>
          </w:tcPr>
          <w:p w14:paraId="3F0425F9">
            <w:pPr>
              <w:pStyle w:val="20"/>
              <w:adjustRightInd w:val="0"/>
              <w:snapToGrid w:val="0"/>
              <w:spacing w:before="0" w:beforeAutospacing="0" w:after="0" w:afterAutospacing="0" w:line="240" w:lineRule="auto"/>
              <w:outlineLvl w:val="0"/>
              <w:rPr>
                <w:rFonts w:hint="eastAsia" w:ascii="Times New Roman" w:hAnsi="Times New Roman" w:eastAsia="黑体" w:cs="Times New Roman"/>
                <w:snapToGrid w:val="0"/>
                <w:color w:val="000000" w:themeColor="text1"/>
                <w:sz w:val="30"/>
                <w:szCs w:val="30"/>
                <w:highlight w:val="none"/>
                <w:vertAlign w:val="baseline"/>
                <w:lang w:val="en-US" w:eastAsia="zh-CN"/>
                <w14:textFill>
                  <w14:solidFill>
                    <w14:schemeClr w14:val="tx1"/>
                  </w14:solidFill>
                </w14:textFill>
              </w:rPr>
            </w:pPr>
            <w:r>
              <w:rPr>
                <w:color w:val="000000" w:themeColor="text1"/>
                <w14:textFill>
                  <w14:solidFill>
                    <w14:schemeClr w14:val="tx1"/>
                  </w14:solidFill>
                </w14:textFill>
              </w:rPr>
              <w:drawing>
                <wp:inline distT="0" distB="0" distL="114300" distR="114300">
                  <wp:extent cx="5612765" cy="7906385"/>
                  <wp:effectExtent l="0" t="0" r="6985" b="18415"/>
                  <wp:docPr id="9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7"/>
                          <pic:cNvPicPr>
                            <a:picLocks noChangeAspect="1"/>
                          </pic:cNvPicPr>
                        </pic:nvPicPr>
                        <pic:blipFill>
                          <a:blip r:embed="rId73"/>
                          <a:stretch>
                            <a:fillRect/>
                          </a:stretch>
                        </pic:blipFill>
                        <pic:spPr>
                          <a:xfrm>
                            <a:off x="0" y="0"/>
                            <a:ext cx="5612765" cy="7906385"/>
                          </a:xfrm>
                          <a:prstGeom prst="rect">
                            <a:avLst/>
                          </a:prstGeom>
                          <a:noFill/>
                          <a:ln>
                            <a:noFill/>
                          </a:ln>
                        </pic:spPr>
                      </pic:pic>
                    </a:graphicData>
                  </a:graphic>
                </wp:inline>
              </w:drawing>
            </w:r>
          </w:p>
        </w:tc>
      </w:tr>
      <w:tr w14:paraId="7C105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31" w:hRule="atLeast"/>
        </w:trPr>
        <w:tc>
          <w:tcPr>
            <w:tcW w:w="9060" w:type="dxa"/>
            <w:noWrap w:val="0"/>
            <w:vAlign w:val="top"/>
          </w:tcPr>
          <w:p w14:paraId="37A54FD8">
            <w:pPr>
              <w:pStyle w:val="20"/>
              <w:adjustRightInd w:val="0"/>
              <w:snapToGrid w:val="0"/>
              <w:spacing w:before="0" w:beforeAutospacing="0" w:after="0" w:afterAutospacing="0" w:line="240" w:lineRule="auto"/>
              <w:outlineLvl w:val="0"/>
              <w:rPr>
                <w:rFonts w:hint="eastAsia" w:ascii="Times New Roman" w:hAnsi="Times New Roman" w:eastAsia="黑体" w:cs="Times New Roman"/>
                <w:snapToGrid w:val="0"/>
                <w:color w:val="000000" w:themeColor="text1"/>
                <w:sz w:val="30"/>
                <w:szCs w:val="30"/>
                <w:highlight w:val="none"/>
                <w:vertAlign w:val="baseline"/>
                <w:lang w:val="en-US" w:eastAsia="zh-CN"/>
                <w14:textFill>
                  <w14:solidFill>
                    <w14:schemeClr w14:val="tx1"/>
                  </w14:solidFill>
                </w14:textFill>
              </w:rPr>
            </w:pPr>
            <w:r>
              <w:rPr>
                <w:color w:val="000000" w:themeColor="text1"/>
                <w14:textFill>
                  <w14:solidFill>
                    <w14:schemeClr w14:val="tx1"/>
                  </w14:solidFill>
                </w14:textFill>
              </w:rPr>
              <w:drawing>
                <wp:inline distT="0" distB="0" distL="114300" distR="114300">
                  <wp:extent cx="5614035" cy="7863840"/>
                  <wp:effectExtent l="0" t="0" r="5715" b="3810"/>
                  <wp:docPr id="9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8"/>
                          <pic:cNvPicPr>
                            <a:picLocks noChangeAspect="1"/>
                          </pic:cNvPicPr>
                        </pic:nvPicPr>
                        <pic:blipFill>
                          <a:blip r:embed="rId74"/>
                          <a:stretch>
                            <a:fillRect/>
                          </a:stretch>
                        </pic:blipFill>
                        <pic:spPr>
                          <a:xfrm>
                            <a:off x="0" y="0"/>
                            <a:ext cx="5614035" cy="7863840"/>
                          </a:xfrm>
                          <a:prstGeom prst="rect">
                            <a:avLst/>
                          </a:prstGeom>
                          <a:noFill/>
                          <a:ln>
                            <a:noFill/>
                          </a:ln>
                        </pic:spPr>
                      </pic:pic>
                    </a:graphicData>
                  </a:graphic>
                </wp:inline>
              </w:drawing>
            </w:r>
          </w:p>
        </w:tc>
      </w:tr>
      <w:tr w14:paraId="743A3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31" w:hRule="atLeast"/>
        </w:trPr>
        <w:tc>
          <w:tcPr>
            <w:tcW w:w="9060" w:type="dxa"/>
            <w:noWrap w:val="0"/>
            <w:vAlign w:val="top"/>
          </w:tcPr>
          <w:p w14:paraId="2BE25AF2">
            <w:pPr>
              <w:pStyle w:val="20"/>
              <w:adjustRightInd w:val="0"/>
              <w:snapToGrid w:val="0"/>
              <w:spacing w:before="0" w:beforeAutospacing="0" w:after="0" w:afterAutospacing="0" w:line="240" w:lineRule="auto"/>
              <w:outlineLvl w:val="0"/>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614035" cy="7854315"/>
                  <wp:effectExtent l="0" t="0" r="5715" b="13335"/>
                  <wp:docPr id="9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9"/>
                          <pic:cNvPicPr>
                            <a:picLocks noChangeAspect="1"/>
                          </pic:cNvPicPr>
                        </pic:nvPicPr>
                        <pic:blipFill>
                          <a:blip r:embed="rId75"/>
                          <a:stretch>
                            <a:fillRect/>
                          </a:stretch>
                        </pic:blipFill>
                        <pic:spPr>
                          <a:xfrm>
                            <a:off x="0" y="0"/>
                            <a:ext cx="5614035" cy="7854315"/>
                          </a:xfrm>
                          <a:prstGeom prst="rect">
                            <a:avLst/>
                          </a:prstGeom>
                          <a:noFill/>
                          <a:ln>
                            <a:noFill/>
                          </a:ln>
                        </pic:spPr>
                      </pic:pic>
                    </a:graphicData>
                  </a:graphic>
                </wp:inline>
              </w:drawing>
            </w:r>
          </w:p>
        </w:tc>
      </w:tr>
      <w:tr w14:paraId="6BA31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31" w:hRule="atLeast"/>
        </w:trPr>
        <w:tc>
          <w:tcPr>
            <w:tcW w:w="9060" w:type="dxa"/>
            <w:noWrap w:val="0"/>
            <w:vAlign w:val="top"/>
          </w:tcPr>
          <w:p w14:paraId="17F3EBEA">
            <w:pPr>
              <w:pStyle w:val="20"/>
              <w:adjustRightInd w:val="0"/>
              <w:snapToGrid w:val="0"/>
              <w:spacing w:before="0" w:beforeAutospacing="0" w:after="0" w:afterAutospacing="0" w:line="240" w:lineRule="auto"/>
              <w:outlineLvl w:val="0"/>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610225" cy="7861935"/>
                  <wp:effectExtent l="0" t="0" r="9525" b="5715"/>
                  <wp:docPr id="9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10"/>
                          <pic:cNvPicPr>
                            <a:picLocks noChangeAspect="1"/>
                          </pic:cNvPicPr>
                        </pic:nvPicPr>
                        <pic:blipFill>
                          <a:blip r:embed="rId76"/>
                          <a:stretch>
                            <a:fillRect/>
                          </a:stretch>
                        </pic:blipFill>
                        <pic:spPr>
                          <a:xfrm>
                            <a:off x="0" y="0"/>
                            <a:ext cx="5610225" cy="7861935"/>
                          </a:xfrm>
                          <a:prstGeom prst="rect">
                            <a:avLst/>
                          </a:prstGeom>
                          <a:noFill/>
                          <a:ln>
                            <a:noFill/>
                          </a:ln>
                        </pic:spPr>
                      </pic:pic>
                    </a:graphicData>
                  </a:graphic>
                </wp:inline>
              </w:drawing>
            </w:r>
          </w:p>
        </w:tc>
      </w:tr>
      <w:tr w14:paraId="182D4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31" w:hRule="atLeast"/>
        </w:trPr>
        <w:tc>
          <w:tcPr>
            <w:tcW w:w="9060" w:type="dxa"/>
            <w:noWrap w:val="0"/>
            <w:vAlign w:val="top"/>
          </w:tcPr>
          <w:p w14:paraId="2ABA2561">
            <w:pPr>
              <w:pStyle w:val="20"/>
              <w:adjustRightInd w:val="0"/>
              <w:snapToGrid w:val="0"/>
              <w:spacing w:before="0" w:beforeAutospacing="0" w:after="0" w:afterAutospacing="0" w:line="240" w:lineRule="auto"/>
              <w:outlineLvl w:val="0"/>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612130" cy="7838440"/>
                  <wp:effectExtent l="0" t="0" r="7620" b="10160"/>
                  <wp:docPr id="9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11"/>
                          <pic:cNvPicPr>
                            <a:picLocks noChangeAspect="1"/>
                          </pic:cNvPicPr>
                        </pic:nvPicPr>
                        <pic:blipFill>
                          <a:blip r:embed="rId77"/>
                          <a:stretch>
                            <a:fillRect/>
                          </a:stretch>
                        </pic:blipFill>
                        <pic:spPr>
                          <a:xfrm>
                            <a:off x="0" y="0"/>
                            <a:ext cx="5612130" cy="7838440"/>
                          </a:xfrm>
                          <a:prstGeom prst="rect">
                            <a:avLst/>
                          </a:prstGeom>
                          <a:noFill/>
                          <a:ln>
                            <a:noFill/>
                          </a:ln>
                        </pic:spPr>
                      </pic:pic>
                    </a:graphicData>
                  </a:graphic>
                </wp:inline>
              </w:drawing>
            </w:r>
          </w:p>
        </w:tc>
      </w:tr>
      <w:tr w14:paraId="2149E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31" w:hRule="atLeast"/>
        </w:trPr>
        <w:tc>
          <w:tcPr>
            <w:tcW w:w="9060" w:type="dxa"/>
            <w:noWrap w:val="0"/>
            <w:vAlign w:val="top"/>
          </w:tcPr>
          <w:p w14:paraId="62D90264">
            <w:pPr>
              <w:pStyle w:val="20"/>
              <w:adjustRightInd w:val="0"/>
              <w:snapToGrid w:val="0"/>
              <w:spacing w:before="0" w:beforeAutospacing="0" w:after="0" w:afterAutospacing="0" w:line="240" w:lineRule="auto"/>
              <w:outlineLvl w:val="0"/>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610225" cy="7833995"/>
                  <wp:effectExtent l="0" t="0" r="9525" b="14605"/>
                  <wp:docPr id="9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12"/>
                          <pic:cNvPicPr>
                            <a:picLocks noChangeAspect="1"/>
                          </pic:cNvPicPr>
                        </pic:nvPicPr>
                        <pic:blipFill>
                          <a:blip r:embed="rId78"/>
                          <a:stretch>
                            <a:fillRect/>
                          </a:stretch>
                        </pic:blipFill>
                        <pic:spPr>
                          <a:xfrm>
                            <a:off x="0" y="0"/>
                            <a:ext cx="5610225" cy="7833995"/>
                          </a:xfrm>
                          <a:prstGeom prst="rect">
                            <a:avLst/>
                          </a:prstGeom>
                          <a:noFill/>
                          <a:ln>
                            <a:noFill/>
                          </a:ln>
                        </pic:spPr>
                      </pic:pic>
                    </a:graphicData>
                  </a:graphic>
                </wp:inline>
              </w:drawing>
            </w:r>
          </w:p>
        </w:tc>
      </w:tr>
    </w:tbl>
    <w:p w14:paraId="4174A630">
      <w:pPr>
        <w:pStyle w:val="20"/>
        <w:adjustRightInd w:val="0"/>
        <w:snapToGrid w:val="0"/>
        <w:spacing w:before="0" w:beforeAutospacing="0" w:after="0" w:afterAutospacing="0" w:line="500" w:lineRule="exact"/>
        <w:outlineLvl w:val="0"/>
        <w:rPr>
          <w:rFonts w:hint="eastAsia" w:ascii="Times New Roman" w:hAnsi="Times New Roman" w:eastAsia="黑体" w:cs="Times New Roman"/>
          <w:snapToGrid w:val="0"/>
          <w:color w:val="000000" w:themeColor="text1"/>
          <w:sz w:val="30"/>
          <w:szCs w:val="30"/>
          <w:highlight w:val="none"/>
          <w:lang w:val="en-US" w:eastAsia="zh-CN"/>
          <w14:textFill>
            <w14:solidFill>
              <w14:schemeClr w14:val="tx1"/>
            </w14:solidFill>
          </w14:textFill>
        </w:rPr>
      </w:pPr>
      <w:r>
        <w:rPr>
          <w:rFonts w:hint="eastAsia" w:ascii="Times New Roman" w:hAnsi="Times New Roman" w:eastAsia="黑体" w:cs="Times New Roman"/>
          <w:snapToGrid w:val="0"/>
          <w:color w:val="000000" w:themeColor="text1"/>
          <w:sz w:val="30"/>
          <w:szCs w:val="30"/>
          <w:highlight w:val="none"/>
          <w:lang w:val="en-US" w:eastAsia="zh-CN"/>
          <w14:textFill>
            <w14:solidFill>
              <w14:schemeClr w14:val="tx1"/>
            </w14:solidFill>
          </w14:textFill>
        </w:rPr>
        <w:t>附件7：</w:t>
      </w:r>
      <w:r>
        <w:rPr>
          <w:rFonts w:hint="eastAsia" w:ascii="Times New Roman" w:hAnsi="Times New Roman" w:eastAsia="黑体" w:cs="Times New Roman"/>
          <w:snapToGrid w:val="0"/>
          <w:color w:val="000000" w:themeColor="text1"/>
          <w:sz w:val="30"/>
          <w:szCs w:val="30"/>
          <w:lang w:val="en-US" w:eastAsia="zh-CN"/>
          <w14:textFill>
            <w14:solidFill>
              <w14:schemeClr w14:val="tx1"/>
            </w14:solidFill>
          </w14:textFill>
        </w:rPr>
        <w:t>供水供应和废水处理</w:t>
      </w:r>
      <w:r>
        <w:rPr>
          <w:rFonts w:hint="eastAsia" w:ascii="Times New Roman" w:hAnsi="Times New Roman" w:eastAsia="黑体" w:cs="Times New Roman"/>
          <w:snapToGrid w:val="0"/>
          <w:color w:val="000000" w:themeColor="text1"/>
          <w:sz w:val="30"/>
          <w:szCs w:val="30"/>
          <w:highlight w:val="none"/>
          <w:lang w:val="en-US" w:eastAsia="zh-CN"/>
          <w14:textFill>
            <w14:solidFill>
              <w14:schemeClr w14:val="tx1"/>
            </w14:solidFill>
          </w14:textFill>
        </w:rPr>
        <w:t>协议</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4597A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14:paraId="311F17F8">
            <w:pPr>
              <w:pStyle w:val="20"/>
              <w:adjustRightInd w:val="0"/>
              <w:snapToGrid w:val="0"/>
              <w:spacing w:before="0" w:beforeAutospacing="0" w:after="0" w:afterAutospacing="0" w:line="500" w:lineRule="exact"/>
              <w:outlineLvl w:val="0"/>
              <w:rPr>
                <w:rFonts w:hint="default" w:ascii="Times New Roman" w:hAnsi="Times New Roman" w:eastAsia="黑体" w:cs="Times New Roman"/>
                <w:snapToGrid w:val="0"/>
                <w:color w:val="000000" w:themeColor="text1"/>
                <w:sz w:val="30"/>
                <w:szCs w:val="30"/>
                <w:highlight w:val="none"/>
                <w:vertAlign w:val="baseline"/>
                <w:lang w:val="en-US" w:eastAsia="zh-CN"/>
                <w14:textFill>
                  <w14:solidFill>
                    <w14:schemeClr w14:val="tx1"/>
                  </w14:solidFill>
                </w14:textFill>
              </w:rPr>
            </w:pPr>
            <w:r>
              <w:rPr>
                <w:rFonts w:hint="default" w:ascii="Times New Roman" w:hAnsi="Times New Roman" w:eastAsia="黑体" w:cs="Times New Roman"/>
                <w:snapToGrid w:val="0"/>
                <w:color w:val="000000" w:themeColor="text1"/>
                <w:sz w:val="30"/>
                <w:szCs w:val="30"/>
                <w:highlight w:val="none"/>
                <w:vertAlign w:val="baseline"/>
                <w:lang w:val="en-US" w:eastAsia="zh-CN"/>
                <w14:textFill>
                  <w14:solidFill>
                    <w14:schemeClr w14:val="tx1"/>
                  </w14:solidFill>
                </w14:textFill>
              </w:rPr>
              <w:drawing>
                <wp:anchor distT="0" distB="0" distL="114300" distR="114300" simplePos="0" relativeHeight="251699200" behindDoc="0" locked="0" layoutInCell="1" allowOverlap="1">
                  <wp:simplePos x="0" y="0"/>
                  <wp:positionH relativeFrom="column">
                    <wp:posOffset>0</wp:posOffset>
                  </wp:positionH>
                  <wp:positionV relativeFrom="paragraph">
                    <wp:posOffset>-7670800</wp:posOffset>
                  </wp:positionV>
                  <wp:extent cx="5596255" cy="7429500"/>
                  <wp:effectExtent l="0" t="0" r="4445" b="0"/>
                  <wp:wrapTopAndBottom/>
                  <wp:docPr id="72" name="图片 72" descr="退水、供水协议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descr="退水、供水协议_01"/>
                          <pic:cNvPicPr>
                            <a:picLocks noChangeAspect="1"/>
                          </pic:cNvPicPr>
                        </pic:nvPicPr>
                        <pic:blipFill>
                          <a:blip r:embed="rId79"/>
                          <a:stretch>
                            <a:fillRect/>
                          </a:stretch>
                        </pic:blipFill>
                        <pic:spPr>
                          <a:xfrm>
                            <a:off x="0" y="0"/>
                            <a:ext cx="5596255" cy="7429500"/>
                          </a:xfrm>
                          <a:prstGeom prst="rect">
                            <a:avLst/>
                          </a:prstGeom>
                        </pic:spPr>
                      </pic:pic>
                    </a:graphicData>
                  </a:graphic>
                </wp:anchor>
              </w:drawing>
            </w:r>
          </w:p>
        </w:tc>
      </w:tr>
      <w:tr w14:paraId="053F1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14:paraId="58B6FAE2">
            <w:pPr>
              <w:pStyle w:val="20"/>
              <w:adjustRightInd w:val="0"/>
              <w:snapToGrid w:val="0"/>
              <w:spacing w:before="0" w:beforeAutospacing="0" w:after="0" w:afterAutospacing="0" w:line="500" w:lineRule="exact"/>
              <w:outlineLvl w:val="0"/>
              <w:rPr>
                <w:rFonts w:hint="default" w:ascii="Times New Roman" w:hAnsi="Times New Roman" w:eastAsia="黑体" w:cs="Times New Roman"/>
                <w:snapToGrid w:val="0"/>
                <w:color w:val="000000" w:themeColor="text1"/>
                <w:sz w:val="30"/>
                <w:szCs w:val="30"/>
                <w:highlight w:val="none"/>
                <w:vertAlign w:val="baseline"/>
                <w:lang w:val="en-US" w:eastAsia="zh-CN"/>
                <w14:textFill>
                  <w14:solidFill>
                    <w14:schemeClr w14:val="tx1"/>
                  </w14:solidFill>
                </w14:textFill>
              </w:rPr>
            </w:pPr>
            <w:r>
              <w:rPr>
                <w:rFonts w:hint="default" w:ascii="Times New Roman" w:hAnsi="Times New Roman" w:eastAsia="黑体" w:cs="Times New Roman"/>
                <w:snapToGrid w:val="0"/>
                <w:color w:val="000000" w:themeColor="text1"/>
                <w:sz w:val="30"/>
                <w:szCs w:val="30"/>
                <w:highlight w:val="none"/>
                <w:vertAlign w:val="baseline"/>
                <w:lang w:val="en-US" w:eastAsia="zh-CN"/>
                <w14:textFill>
                  <w14:solidFill>
                    <w14:schemeClr w14:val="tx1"/>
                  </w14:solidFill>
                </w14:textFill>
              </w:rPr>
              <w:drawing>
                <wp:anchor distT="0" distB="0" distL="114300" distR="114300" simplePos="0" relativeHeight="251700224" behindDoc="0" locked="0" layoutInCell="1" allowOverlap="1">
                  <wp:simplePos x="0" y="0"/>
                  <wp:positionH relativeFrom="column">
                    <wp:posOffset>50800</wp:posOffset>
                  </wp:positionH>
                  <wp:positionV relativeFrom="paragraph">
                    <wp:posOffset>301625</wp:posOffset>
                  </wp:positionV>
                  <wp:extent cx="5596255" cy="7914005"/>
                  <wp:effectExtent l="0" t="0" r="4445" b="10795"/>
                  <wp:wrapTopAndBottom/>
                  <wp:docPr id="73" name="图片 73" descr="退水、供水协议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descr="退水、供水协议_02"/>
                          <pic:cNvPicPr>
                            <a:picLocks noChangeAspect="1"/>
                          </pic:cNvPicPr>
                        </pic:nvPicPr>
                        <pic:blipFill>
                          <a:blip r:embed="rId80"/>
                          <a:stretch>
                            <a:fillRect/>
                          </a:stretch>
                        </pic:blipFill>
                        <pic:spPr>
                          <a:xfrm>
                            <a:off x="0" y="0"/>
                            <a:ext cx="5596255" cy="7914005"/>
                          </a:xfrm>
                          <a:prstGeom prst="rect">
                            <a:avLst/>
                          </a:prstGeom>
                        </pic:spPr>
                      </pic:pic>
                    </a:graphicData>
                  </a:graphic>
                </wp:anchor>
              </w:drawing>
            </w:r>
          </w:p>
        </w:tc>
      </w:tr>
      <w:tr w14:paraId="531E0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14:paraId="7D54D4FA">
            <w:pPr>
              <w:pStyle w:val="20"/>
              <w:adjustRightInd w:val="0"/>
              <w:snapToGrid w:val="0"/>
              <w:spacing w:before="0" w:beforeAutospacing="0" w:after="0" w:afterAutospacing="0" w:line="240" w:lineRule="auto"/>
              <w:outlineLvl w:val="0"/>
              <w:rPr>
                <w:rFonts w:hint="default" w:ascii="Times New Roman" w:hAnsi="Times New Roman" w:eastAsia="黑体" w:cs="Times New Roman"/>
                <w:snapToGrid w:val="0"/>
                <w:color w:val="000000" w:themeColor="text1"/>
                <w:sz w:val="30"/>
                <w:szCs w:val="30"/>
                <w:highlight w:val="none"/>
                <w:vertAlign w:val="baseline"/>
                <w:lang w:val="en-US" w:eastAsia="zh-CN"/>
                <w14:textFill>
                  <w14:solidFill>
                    <w14:schemeClr w14:val="tx1"/>
                  </w14:solidFill>
                </w14:textFill>
              </w:rPr>
            </w:pPr>
            <w:r>
              <w:rPr>
                <w:rFonts w:hint="default" w:ascii="Times New Roman" w:hAnsi="Times New Roman" w:eastAsia="黑体" w:cs="Times New Roman"/>
                <w:snapToGrid w:val="0"/>
                <w:color w:val="000000" w:themeColor="text1"/>
                <w:sz w:val="30"/>
                <w:szCs w:val="30"/>
                <w:highlight w:val="none"/>
                <w:vertAlign w:val="baseline"/>
                <w:lang w:val="en-US" w:eastAsia="zh-CN"/>
                <w14:textFill>
                  <w14:solidFill>
                    <w14:schemeClr w14:val="tx1"/>
                  </w14:solidFill>
                </w14:textFill>
              </w:rPr>
              <w:drawing>
                <wp:anchor distT="0" distB="0" distL="114300" distR="114300" simplePos="0" relativeHeight="251701248" behindDoc="0" locked="0" layoutInCell="1" allowOverlap="1">
                  <wp:simplePos x="0" y="0"/>
                  <wp:positionH relativeFrom="column">
                    <wp:posOffset>0</wp:posOffset>
                  </wp:positionH>
                  <wp:positionV relativeFrom="paragraph">
                    <wp:posOffset>-7670800</wp:posOffset>
                  </wp:positionV>
                  <wp:extent cx="5596255" cy="7914005"/>
                  <wp:effectExtent l="0" t="0" r="4445" b="10795"/>
                  <wp:wrapTopAndBottom/>
                  <wp:docPr id="74" name="图片 74" descr="退水、供水协议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descr="退水、供水协议_03"/>
                          <pic:cNvPicPr>
                            <a:picLocks noChangeAspect="1"/>
                          </pic:cNvPicPr>
                        </pic:nvPicPr>
                        <pic:blipFill>
                          <a:blip r:embed="rId81"/>
                          <a:stretch>
                            <a:fillRect/>
                          </a:stretch>
                        </pic:blipFill>
                        <pic:spPr>
                          <a:xfrm>
                            <a:off x="0" y="0"/>
                            <a:ext cx="5596255" cy="7914005"/>
                          </a:xfrm>
                          <a:prstGeom prst="rect">
                            <a:avLst/>
                          </a:prstGeom>
                        </pic:spPr>
                      </pic:pic>
                    </a:graphicData>
                  </a:graphic>
                </wp:anchor>
              </w:drawing>
            </w:r>
          </w:p>
        </w:tc>
      </w:tr>
      <w:tr w14:paraId="53EED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14:paraId="608433F1">
            <w:pPr>
              <w:pStyle w:val="20"/>
              <w:adjustRightInd w:val="0"/>
              <w:snapToGrid w:val="0"/>
              <w:spacing w:before="0" w:beforeAutospacing="0" w:after="0" w:afterAutospacing="0" w:line="240" w:lineRule="auto"/>
              <w:outlineLvl w:val="0"/>
              <w:rPr>
                <w:rFonts w:hint="default" w:ascii="Times New Roman" w:hAnsi="Times New Roman" w:eastAsia="黑体" w:cs="Times New Roman"/>
                <w:snapToGrid w:val="0"/>
                <w:color w:val="000000" w:themeColor="text1"/>
                <w:sz w:val="30"/>
                <w:szCs w:val="30"/>
                <w:highlight w:val="none"/>
                <w:vertAlign w:val="baseline"/>
                <w:lang w:val="en-US" w:eastAsia="zh-CN"/>
                <w14:textFill>
                  <w14:solidFill>
                    <w14:schemeClr w14:val="tx1"/>
                  </w14:solidFill>
                </w14:textFill>
              </w:rPr>
            </w:pPr>
          </w:p>
        </w:tc>
      </w:tr>
    </w:tbl>
    <w:p w14:paraId="7E6E0B95">
      <w:pPr>
        <w:pStyle w:val="20"/>
        <w:adjustRightInd w:val="0"/>
        <w:snapToGrid w:val="0"/>
        <w:spacing w:before="0" w:beforeAutospacing="0" w:after="0" w:afterAutospacing="0" w:line="500" w:lineRule="exact"/>
        <w:outlineLvl w:val="0"/>
        <w:rPr>
          <w:rFonts w:hint="default" w:ascii="Times New Roman" w:hAnsi="Times New Roman" w:eastAsia="黑体" w:cs="Times New Roman"/>
          <w:snapToGrid w:val="0"/>
          <w:color w:val="000000" w:themeColor="text1"/>
          <w:sz w:val="30"/>
          <w:szCs w:val="30"/>
          <w:highlight w:val="none"/>
          <w:lang w:val="en-US" w:eastAsia="zh-CN"/>
          <w14:textFill>
            <w14:solidFill>
              <w14:schemeClr w14:val="tx1"/>
            </w14:solidFill>
          </w14:textFill>
        </w:rPr>
      </w:pPr>
      <w:r>
        <w:rPr>
          <w:rFonts w:hint="eastAsia" w:ascii="Times New Roman" w:hAnsi="Times New Roman" w:eastAsia="黑体" w:cs="Times New Roman"/>
          <w:snapToGrid w:val="0"/>
          <w:color w:val="000000" w:themeColor="text1"/>
          <w:sz w:val="30"/>
          <w:szCs w:val="30"/>
          <w:highlight w:val="none"/>
          <w:lang w:val="en-US" w:eastAsia="zh-CN"/>
          <w14:textFill>
            <w14:solidFill>
              <w14:schemeClr w14:val="tx1"/>
            </w14:solidFill>
          </w14:textFill>
        </w:rPr>
        <w:t>附件8：园区规划批复</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04968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14:paraId="5059A1BA">
            <w:pPr>
              <w:pStyle w:val="20"/>
              <w:adjustRightInd w:val="0"/>
              <w:snapToGrid w:val="0"/>
              <w:spacing w:before="0" w:beforeAutospacing="0" w:after="0" w:afterAutospacing="0" w:line="500" w:lineRule="exact"/>
              <w:outlineLvl w:val="0"/>
              <w:rPr>
                <w:rFonts w:hint="default" w:ascii="Times New Roman" w:hAnsi="Times New Roman" w:eastAsia="黑体" w:cs="Times New Roman"/>
                <w:snapToGrid w:val="0"/>
                <w:color w:val="000000" w:themeColor="text1"/>
                <w:sz w:val="30"/>
                <w:szCs w:val="30"/>
                <w:highlight w:val="none"/>
                <w:vertAlign w:val="baseline"/>
                <w:lang w:val="en-US" w:eastAsia="zh-CN"/>
                <w14:textFill>
                  <w14:solidFill>
                    <w14:schemeClr w14:val="tx1"/>
                  </w14:solidFill>
                </w14:textFill>
              </w:rPr>
            </w:pPr>
            <w:r>
              <w:rPr>
                <w:rFonts w:hint="default" w:ascii="Times New Roman" w:hAnsi="Times New Roman" w:eastAsia="黑体" w:cs="Times New Roman"/>
                <w:snapToGrid w:val="0"/>
                <w:color w:val="000000" w:themeColor="text1"/>
                <w:sz w:val="30"/>
                <w:szCs w:val="30"/>
                <w:highlight w:val="none"/>
                <w:vertAlign w:val="baseline"/>
                <w:lang w:val="en-US" w:eastAsia="zh-CN"/>
                <w14:textFill>
                  <w14:solidFill>
                    <w14:schemeClr w14:val="tx1"/>
                  </w14:solidFill>
                </w14:textFill>
              </w:rPr>
              <w:drawing>
                <wp:anchor distT="0" distB="0" distL="114300" distR="114300" simplePos="0" relativeHeight="251706368" behindDoc="0" locked="0" layoutInCell="1" allowOverlap="1">
                  <wp:simplePos x="0" y="0"/>
                  <wp:positionH relativeFrom="column">
                    <wp:posOffset>0</wp:posOffset>
                  </wp:positionH>
                  <wp:positionV relativeFrom="paragraph">
                    <wp:posOffset>-7239000</wp:posOffset>
                  </wp:positionV>
                  <wp:extent cx="5610225" cy="7315835"/>
                  <wp:effectExtent l="0" t="0" r="3175" b="12065"/>
                  <wp:wrapTopAndBottom/>
                  <wp:docPr id="66" name="图片 66" descr="3cf52582f1f718589687f37f3861ba8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descr="3cf52582f1f718589687f37f3861ba8c"/>
                          <pic:cNvPicPr>
                            <a:picLocks noChangeAspect="1"/>
                          </pic:cNvPicPr>
                        </pic:nvPicPr>
                        <pic:blipFill>
                          <a:blip r:embed="rId82"/>
                          <a:srcRect r="3146" b="6005"/>
                          <a:stretch>
                            <a:fillRect/>
                          </a:stretch>
                        </pic:blipFill>
                        <pic:spPr>
                          <a:xfrm>
                            <a:off x="0" y="0"/>
                            <a:ext cx="5610225" cy="7315835"/>
                          </a:xfrm>
                          <a:prstGeom prst="rect">
                            <a:avLst/>
                          </a:prstGeom>
                        </pic:spPr>
                      </pic:pic>
                    </a:graphicData>
                  </a:graphic>
                </wp:anchor>
              </w:drawing>
            </w:r>
          </w:p>
        </w:tc>
      </w:tr>
    </w:tbl>
    <w:p w14:paraId="02D9472A">
      <w:pPr>
        <w:pStyle w:val="20"/>
        <w:adjustRightInd w:val="0"/>
        <w:snapToGrid w:val="0"/>
        <w:spacing w:before="0" w:beforeAutospacing="0" w:after="0" w:afterAutospacing="0" w:line="500" w:lineRule="exact"/>
        <w:outlineLvl w:val="9"/>
        <w:rPr>
          <w:rFonts w:hint="eastAsia" w:ascii="Times New Roman" w:hAnsi="Times New Roman" w:eastAsia="黑体" w:cs="Times New Roman"/>
          <w:snapToGrid w:val="0"/>
          <w:color w:val="000000" w:themeColor="text1"/>
          <w:sz w:val="30"/>
          <w:szCs w:val="30"/>
          <w:highlight w:val="none"/>
          <w:lang w:val="en-US" w:eastAsia="zh-CN"/>
          <w14:textFill>
            <w14:solidFill>
              <w14:schemeClr w14:val="tx1"/>
            </w14:solidFill>
          </w14:textFill>
        </w:rPr>
      </w:pPr>
    </w:p>
    <w:p w14:paraId="17E38D3E">
      <w:pPr>
        <w:pStyle w:val="20"/>
        <w:adjustRightInd w:val="0"/>
        <w:snapToGrid w:val="0"/>
        <w:spacing w:before="0" w:beforeAutospacing="0" w:after="0" w:afterAutospacing="0" w:line="240" w:lineRule="auto"/>
        <w:outlineLvl w:val="0"/>
        <w:rPr>
          <w:color w:val="000000" w:themeColor="text1"/>
          <w14:textFill>
            <w14:solidFill>
              <w14:schemeClr w14:val="tx1"/>
            </w14:solidFill>
          </w14:textFill>
        </w:rPr>
      </w:pPr>
      <w:r>
        <w:rPr>
          <w:rFonts w:hint="eastAsia" w:ascii="Times New Roman" w:hAnsi="Times New Roman" w:eastAsia="黑体" w:cs="Times New Roman"/>
          <w:snapToGrid w:val="0"/>
          <w:color w:val="000000" w:themeColor="text1"/>
          <w:sz w:val="30"/>
          <w:szCs w:val="30"/>
          <w:highlight w:val="none"/>
          <w:lang w:val="en-US" w:eastAsia="zh-CN"/>
          <w14:textFill>
            <w14:solidFill>
              <w14:schemeClr w14:val="tx1"/>
            </w14:solidFill>
          </w14:textFill>
        </w:rPr>
        <w:t>附件9 委托书</w:t>
      </w:r>
      <w:r>
        <w:rPr>
          <w:color w:val="000000" w:themeColor="text1"/>
          <w14:textFill>
            <w14:solidFill>
              <w14:schemeClr w14:val="tx1"/>
            </w14:solidFill>
          </w14:textFill>
        </w:rPr>
        <w:drawing>
          <wp:inline distT="0" distB="0" distL="114300" distR="114300">
            <wp:extent cx="5612130" cy="7882255"/>
            <wp:effectExtent l="0" t="0" r="7620" b="4445"/>
            <wp:docPr id="7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1"/>
                    <pic:cNvPicPr>
                      <a:picLocks noChangeAspect="1"/>
                    </pic:cNvPicPr>
                  </pic:nvPicPr>
                  <pic:blipFill>
                    <a:blip r:embed="rId83"/>
                    <a:stretch>
                      <a:fillRect/>
                    </a:stretch>
                  </pic:blipFill>
                  <pic:spPr>
                    <a:xfrm>
                      <a:off x="0" y="0"/>
                      <a:ext cx="5612130" cy="7882255"/>
                    </a:xfrm>
                    <a:prstGeom prst="rect">
                      <a:avLst/>
                    </a:prstGeom>
                    <a:noFill/>
                    <a:ln>
                      <a:noFill/>
                    </a:ln>
                  </pic:spPr>
                </pic:pic>
              </a:graphicData>
            </a:graphic>
          </wp:inline>
        </w:drawing>
      </w:r>
    </w:p>
    <w:p w14:paraId="6137F25A">
      <w:pPr>
        <w:pStyle w:val="20"/>
        <w:adjustRightInd w:val="0"/>
        <w:snapToGrid w:val="0"/>
        <w:spacing w:before="0" w:beforeAutospacing="0" w:after="0" w:afterAutospacing="0" w:line="240" w:lineRule="auto"/>
        <w:outlineLvl w:val="9"/>
        <w:rPr>
          <w:color w:val="000000" w:themeColor="text1"/>
          <w14:textFill>
            <w14:solidFill>
              <w14:schemeClr w14:val="tx1"/>
            </w14:solidFill>
          </w14:textFill>
        </w:rPr>
      </w:pPr>
    </w:p>
    <w:p w14:paraId="211BC84F">
      <w:pPr>
        <w:pStyle w:val="20"/>
        <w:adjustRightInd w:val="0"/>
        <w:snapToGrid w:val="0"/>
        <w:spacing w:before="0" w:beforeAutospacing="0" w:after="0" w:afterAutospacing="0" w:line="240" w:lineRule="auto"/>
        <w:outlineLvl w:val="9"/>
        <w:rPr>
          <w:color w:val="000000" w:themeColor="text1"/>
          <w14:textFill>
            <w14:solidFill>
              <w14:schemeClr w14:val="tx1"/>
            </w14:solidFill>
          </w14:textFill>
        </w:rPr>
      </w:pPr>
    </w:p>
    <w:p w14:paraId="1BFF2230">
      <w:pPr>
        <w:pStyle w:val="20"/>
        <w:adjustRightInd w:val="0"/>
        <w:snapToGrid w:val="0"/>
        <w:spacing w:before="0" w:beforeAutospacing="0" w:after="0" w:afterAutospacing="0" w:line="240" w:lineRule="auto"/>
        <w:outlineLvl w:val="0"/>
        <w:rPr>
          <w:rFonts w:hint="default" w:ascii="Times New Roman" w:hAnsi="Times New Roman" w:eastAsia="黑体" w:cs="Times New Roman"/>
          <w:snapToGrid w:val="0"/>
          <w:color w:val="000000" w:themeColor="text1"/>
          <w:sz w:val="30"/>
          <w:szCs w:val="30"/>
          <w:highlight w:val="none"/>
          <w:lang w:val="en-US" w:eastAsia="zh-CN"/>
          <w14:textFill>
            <w14:solidFill>
              <w14:schemeClr w14:val="tx1"/>
            </w14:solidFill>
          </w14:textFill>
        </w:rPr>
      </w:pPr>
      <w:r>
        <w:rPr>
          <w:rFonts w:hint="eastAsia" w:ascii="Times New Roman" w:hAnsi="Times New Roman" w:eastAsia="黑体" w:cs="Times New Roman"/>
          <w:snapToGrid w:val="0"/>
          <w:color w:val="000000" w:themeColor="text1"/>
          <w:sz w:val="30"/>
          <w:szCs w:val="30"/>
          <w:highlight w:val="none"/>
          <w:lang w:val="en-US" w:eastAsia="zh-CN"/>
          <w14:textFill>
            <w14:solidFill>
              <w14:schemeClr w14:val="tx1"/>
            </w14:solidFill>
          </w14:textFill>
        </w:rPr>
        <w:t>附件10：总量文件</w:t>
      </w:r>
      <w:r>
        <w:rPr>
          <w:rFonts w:hint="default" w:ascii="Times New Roman" w:hAnsi="Times New Roman" w:eastAsia="黑体" w:cs="Times New Roman"/>
          <w:snapToGrid w:val="0"/>
          <w:color w:val="000000" w:themeColor="text1"/>
          <w:sz w:val="30"/>
          <w:szCs w:val="30"/>
          <w:highlight w:val="none"/>
          <w:lang w:val="en-US" w:eastAsia="zh-CN"/>
          <w14:textFill>
            <w14:solidFill>
              <w14:schemeClr w14:val="tx1"/>
            </w14:solidFill>
          </w14:textFill>
        </w:rPr>
        <w:drawing>
          <wp:inline distT="0" distB="0" distL="114300" distR="114300">
            <wp:extent cx="5591175" cy="7914005"/>
            <wp:effectExtent l="0" t="0" r="9525" b="10795"/>
            <wp:docPr id="86" name="图片 86" descr="东晟总量文件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6" descr="东晟总量文件_01"/>
                    <pic:cNvPicPr>
                      <a:picLocks noChangeAspect="1"/>
                    </pic:cNvPicPr>
                  </pic:nvPicPr>
                  <pic:blipFill>
                    <a:blip r:embed="rId84"/>
                    <a:stretch>
                      <a:fillRect/>
                    </a:stretch>
                  </pic:blipFill>
                  <pic:spPr>
                    <a:xfrm>
                      <a:off x="0" y="0"/>
                      <a:ext cx="5591175" cy="7914005"/>
                    </a:xfrm>
                    <a:prstGeom prst="rect">
                      <a:avLst/>
                    </a:prstGeom>
                  </pic:spPr>
                </pic:pic>
              </a:graphicData>
            </a:graphic>
          </wp:inline>
        </w:drawing>
      </w:r>
    </w:p>
    <w:p w14:paraId="5AB1CFF8">
      <w:pPr>
        <w:pStyle w:val="20"/>
        <w:adjustRightInd w:val="0"/>
        <w:snapToGrid w:val="0"/>
        <w:spacing w:before="0" w:beforeAutospacing="0" w:after="0" w:afterAutospacing="0" w:line="240" w:lineRule="auto"/>
        <w:outlineLvl w:val="9"/>
        <w:rPr>
          <w:rFonts w:hint="default" w:ascii="Times New Roman" w:hAnsi="Times New Roman" w:eastAsia="黑体" w:cs="Times New Roman"/>
          <w:snapToGrid w:val="0"/>
          <w:color w:val="000000" w:themeColor="text1"/>
          <w:sz w:val="30"/>
          <w:szCs w:val="30"/>
          <w:highlight w:val="none"/>
          <w:lang w:val="en-US" w:eastAsia="zh-CN"/>
          <w14:textFill>
            <w14:solidFill>
              <w14:schemeClr w14:val="tx1"/>
            </w14:solidFill>
          </w14:textFill>
        </w:rPr>
      </w:pPr>
      <w:r>
        <w:rPr>
          <w:rFonts w:hint="default" w:ascii="Times New Roman" w:hAnsi="Times New Roman" w:eastAsia="黑体" w:cs="Times New Roman"/>
          <w:snapToGrid w:val="0"/>
          <w:color w:val="000000" w:themeColor="text1"/>
          <w:sz w:val="30"/>
          <w:szCs w:val="30"/>
          <w:highlight w:val="none"/>
          <w:lang w:val="en-US" w:eastAsia="zh-CN"/>
          <w14:textFill>
            <w14:solidFill>
              <w14:schemeClr w14:val="tx1"/>
            </w14:solidFill>
          </w14:textFill>
        </w:rPr>
        <w:drawing>
          <wp:inline distT="0" distB="0" distL="114300" distR="114300">
            <wp:extent cx="5591175" cy="7914005"/>
            <wp:effectExtent l="0" t="0" r="9525" b="10795"/>
            <wp:docPr id="85" name="图片 85" descr="东晟总量文件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5" descr="东晟总量文件_02"/>
                    <pic:cNvPicPr>
                      <a:picLocks noChangeAspect="1"/>
                    </pic:cNvPicPr>
                  </pic:nvPicPr>
                  <pic:blipFill>
                    <a:blip r:embed="rId85"/>
                    <a:stretch>
                      <a:fillRect/>
                    </a:stretch>
                  </pic:blipFill>
                  <pic:spPr>
                    <a:xfrm>
                      <a:off x="0" y="0"/>
                      <a:ext cx="5591175" cy="7914005"/>
                    </a:xfrm>
                    <a:prstGeom prst="rect">
                      <a:avLst/>
                    </a:prstGeom>
                  </pic:spPr>
                </pic:pic>
              </a:graphicData>
            </a:graphic>
          </wp:inline>
        </w:drawing>
      </w:r>
    </w:p>
    <w:sectPr>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1823802-66C5-4A00-B917-30506959DF7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4376FA0F-C348-4D11-9CA2-0E626C7BB95B}"/>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3" w:fontKey="{007A6CFE-CD7B-4E0B-927A-89B54237019F}"/>
  </w:font>
  <w:font w:name="新宋体">
    <w:panose1 w:val="02010609030101010101"/>
    <w:charset w:val="86"/>
    <w:family w:val="modern"/>
    <w:pitch w:val="default"/>
    <w:sig w:usb0="00000203" w:usb1="288F0000" w:usb2="00000006" w:usb3="00000000" w:csb0="00040001" w:csb1="00000000"/>
    <w:embedRegular r:id="rId4" w:fontKey="{751BA6F0-9A30-439F-B76E-321ACA4D50CE}"/>
  </w:font>
  <w:font w:name="方正小标宋_GBK">
    <w:panose1 w:val="02000000000000000000"/>
    <w:charset w:val="86"/>
    <w:family w:val="script"/>
    <w:pitch w:val="default"/>
    <w:sig w:usb0="A00002BF" w:usb1="38CF7CFA" w:usb2="00082016" w:usb3="00000000" w:csb0="00040001" w:csb1="00000000"/>
    <w:embedRegular r:id="rId5" w:fontKey="{6399FF70-5113-4DD9-86A3-64D9BAFC0AA3}"/>
  </w:font>
  <w:font w:name="WPSEMBED7">
    <w:panose1 w:val="02000000000000000000"/>
    <w:charset w:val="86"/>
    <w:family w:val="auto"/>
    <w:pitch w:val="default"/>
    <w:sig w:usb0="A00002BF" w:usb1="38CF7CFA" w:usb2="00082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8CF148">
    <w:pPr>
      <w:pStyle w:val="18"/>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A382E7">
    <w:pPr>
      <w:pStyle w:val="18"/>
      <w:ind w:right="360"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2" name="文本框 20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0627974">
                          <w:pPr>
                            <w:pStyle w:val="18"/>
                          </w:pPr>
                          <w:r>
                            <w:fldChar w:fldCharType="begin"/>
                          </w:r>
                          <w:r>
                            <w:instrText xml:space="preserve"> PAGE  \* MERGEFORMAT </w:instrText>
                          </w:r>
                          <w:r>
                            <w:fldChar w:fldCharType="separate"/>
                          </w:r>
                          <w:r>
                            <w:t>34</w:t>
                          </w:r>
                          <w:r>
                            <w:fldChar w:fldCharType="end"/>
                          </w:r>
                        </w:p>
                      </w:txbxContent>
                    </wps:txbx>
                    <wps:bodyPr wrap="none" lIns="0" tIns="0" rIns="0" bIns="0" upright="0">
                      <a:spAutoFit/>
                    </wps:bodyPr>
                  </wps:wsp>
                </a:graphicData>
              </a:graphic>
            </wp:anchor>
          </w:drawing>
        </mc:Choice>
        <mc:Fallback>
          <w:pict>
            <v:shape id="文本框 2050"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Gvd68/LAQAAnQMAAA4AAAAAAAAAAQAgAAAAHgEAAGRycy9lMm9E&#10;b2MueG1sUEsFBgAAAAAGAAYAWQEAAFsFAAAAAA==&#10;">
              <v:fill on="f" focussize="0,0"/>
              <v:stroke on="f"/>
              <v:imagedata o:title=""/>
              <o:lock v:ext="edit" aspectratio="f"/>
              <v:textbox inset="0mm,0mm,0mm,0mm" style="mso-fit-shape-to-text:t;">
                <w:txbxContent>
                  <w:p w14:paraId="50627974">
                    <w:pPr>
                      <w:pStyle w:val="18"/>
                    </w:pPr>
                    <w:r>
                      <w:fldChar w:fldCharType="begin"/>
                    </w:r>
                    <w:r>
                      <w:instrText xml:space="preserve"> PAGE  \* MERGEFORMAT </w:instrText>
                    </w:r>
                    <w:r>
                      <w:fldChar w:fldCharType="separate"/>
                    </w:r>
                    <w:r>
                      <w:t>34</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CCB17">
    <w:pPr>
      <w:pStyle w:val="18"/>
      <w:ind w:right="360" w:firstLine="4860" w:firstLineChars="2700"/>
      <w:rPr>
        <w:rFonts w:hint="eastAsia"/>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3" name="文本框 20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F8DD05C">
                          <w:pPr>
                            <w:pStyle w:val="18"/>
                          </w:pPr>
                          <w:r>
                            <w:fldChar w:fldCharType="begin"/>
                          </w:r>
                          <w:r>
                            <w:instrText xml:space="preserve"> PAGE  \* MERGEFORMAT </w:instrText>
                          </w:r>
                          <w:r>
                            <w:fldChar w:fldCharType="separate"/>
                          </w:r>
                          <w:r>
                            <w:t>43</w:t>
                          </w:r>
                          <w:r>
                            <w:fldChar w:fldCharType="end"/>
                          </w:r>
                        </w:p>
                      </w:txbxContent>
                    </wps:txbx>
                    <wps:bodyPr wrap="none" lIns="0" tIns="0" rIns="0" bIns="0" upright="0">
                      <a:spAutoFit/>
                    </wps:bodyPr>
                  </wps:wsp>
                </a:graphicData>
              </a:graphic>
            </wp:anchor>
          </w:drawing>
        </mc:Choice>
        <mc:Fallback>
          <w:pict>
            <v:shape id="文本框 2057"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CnTpsizAEAAJ0DAAAOAAAAAAAAAAEAIAAAAB4BAABkcnMvZTJv&#10;RG9jLnhtbFBLBQYAAAAABgAGAFkBAABcBQAAAAA=&#10;">
              <v:fill on="f" focussize="0,0"/>
              <v:stroke on="f"/>
              <v:imagedata o:title=""/>
              <o:lock v:ext="edit" aspectratio="f"/>
              <v:textbox inset="0mm,0mm,0mm,0mm" style="mso-fit-shape-to-text:t;">
                <w:txbxContent>
                  <w:p w14:paraId="5F8DD05C">
                    <w:pPr>
                      <w:pStyle w:val="18"/>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79378C">
    <w:pPr>
      <w:pStyle w:val="18"/>
      <w:ind w:right="360" w:firstLine="4860" w:firstLineChars="2700"/>
      <w:rPr>
        <w:rFonts w:hint="eastAsia"/>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B666AA"/>
    <w:multiLevelType w:val="singleLevel"/>
    <w:tmpl w:val="84B666AA"/>
    <w:lvl w:ilvl="0" w:tentative="0">
      <w:start w:val="2"/>
      <w:numFmt w:val="decimal"/>
      <w:suff w:val="nothing"/>
      <w:lvlText w:val="%1、"/>
      <w:lvlJc w:val="left"/>
    </w:lvl>
  </w:abstractNum>
  <w:abstractNum w:abstractNumId="1">
    <w:nsid w:val="B97F2033"/>
    <w:multiLevelType w:val="singleLevel"/>
    <w:tmpl w:val="B97F2033"/>
    <w:lvl w:ilvl="0" w:tentative="0">
      <w:start w:val="1"/>
      <w:numFmt w:val="decimal"/>
      <w:lvlText w:val="%1."/>
      <w:lvlJc w:val="left"/>
      <w:pPr>
        <w:ind w:left="425" w:hanging="425"/>
      </w:pPr>
      <w:rPr>
        <w:rFonts w:hint="default"/>
      </w:rPr>
    </w:lvl>
  </w:abstractNum>
  <w:abstractNum w:abstractNumId="2">
    <w:nsid w:val="F783F572"/>
    <w:multiLevelType w:val="singleLevel"/>
    <w:tmpl w:val="F783F572"/>
    <w:lvl w:ilvl="0" w:tentative="0">
      <w:start w:val="1"/>
      <w:numFmt w:val="upperLetter"/>
      <w:suff w:val="nothing"/>
      <w:lvlText w:val="%1、"/>
      <w:lvlJc w:val="left"/>
    </w:lvl>
  </w:abstractNum>
  <w:abstractNum w:abstractNumId="3">
    <w:nsid w:val="F89DE643"/>
    <w:multiLevelType w:val="singleLevel"/>
    <w:tmpl w:val="F89DE643"/>
    <w:lvl w:ilvl="0" w:tentative="0">
      <w:start w:val="1"/>
      <w:numFmt w:val="decimal"/>
      <w:suff w:val="nothing"/>
      <w:lvlText w:val="%1）"/>
      <w:lvlJc w:val="left"/>
    </w:lvl>
  </w:abstractNum>
  <w:abstractNum w:abstractNumId="4">
    <w:nsid w:val="00FF1834"/>
    <w:multiLevelType w:val="multilevel"/>
    <w:tmpl w:val="00FF1834"/>
    <w:lvl w:ilvl="0" w:tentative="0">
      <w:start w:val="1"/>
      <w:numFmt w:val="decimal"/>
      <w:suff w:val="space"/>
      <w:lvlText w:val="%1."/>
      <w:lvlJc w:val="left"/>
      <w:pPr>
        <w:tabs>
          <w:tab w:val="left" w:pos="0"/>
        </w:tabs>
        <w:ind w:left="0" w:firstLine="0"/>
      </w:pPr>
      <w:rPr>
        <w:rFonts w:hint="default"/>
      </w:rPr>
    </w:lvl>
    <w:lvl w:ilvl="1" w:tentative="0">
      <w:start w:val="1"/>
      <w:numFmt w:val="decimal"/>
      <w:suff w:val="space"/>
      <w:lvlText w:val="%1.%2"/>
      <w:lvlJc w:val="left"/>
      <w:pPr>
        <w:ind w:left="0" w:firstLine="0"/>
      </w:pPr>
      <w:rPr>
        <w:rFonts w:hint="eastAsia"/>
      </w:rPr>
    </w:lvl>
    <w:lvl w:ilvl="2" w:tentative="0">
      <w:start w:val="1"/>
      <w:numFmt w:val="decimal"/>
      <w:suff w:val="space"/>
      <w:lvlText w:val="%1.%2.%3"/>
      <w:lvlJc w:val="left"/>
      <w:pPr>
        <w:ind w:left="0" w:firstLine="0"/>
      </w:pPr>
      <w:rPr>
        <w:rFonts w:hint="eastAsia"/>
      </w:rPr>
    </w:lvl>
    <w:lvl w:ilvl="3" w:tentative="0">
      <w:start w:val="1"/>
      <w:numFmt w:val="decimal"/>
      <w:suff w:val="space"/>
      <w:lvlText w:val="%1.%2.%3.%4"/>
      <w:lvlJc w:val="left"/>
      <w:pPr>
        <w:ind w:left="2977" w:firstLine="0"/>
      </w:pPr>
      <w:rPr>
        <w:rFonts w:hint="eastAsia"/>
      </w:rPr>
    </w:lvl>
    <w:lvl w:ilvl="4" w:tentative="0">
      <w:start w:val="1"/>
      <w:numFmt w:val="decimal"/>
      <w:lvlRestart w:val="2"/>
      <w:pStyle w:val="6"/>
      <w:suff w:val="space"/>
      <w:lvlText w:val="表%1.%2-%5"/>
      <w:lvlJc w:val="left"/>
      <w:pPr>
        <w:ind w:left="2880" w:firstLine="0"/>
      </w:pPr>
      <w:rPr>
        <w:rFonts w:hint="eastAsia"/>
        <w:lang w:val="en-US"/>
      </w:rPr>
    </w:lvl>
    <w:lvl w:ilvl="5" w:tentative="0">
      <w:start w:val="1"/>
      <w:numFmt w:val="decimal"/>
      <w:lvlRestart w:val="2"/>
      <w:pStyle w:val="7"/>
      <w:suff w:val="space"/>
      <w:lvlText w:val="图%1.%2-%6"/>
      <w:lvlJc w:val="left"/>
      <w:pPr>
        <w:ind w:left="3119" w:firstLine="0"/>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
    <w:nsid w:val="1DCB977C"/>
    <w:multiLevelType w:val="singleLevel"/>
    <w:tmpl w:val="1DCB977C"/>
    <w:lvl w:ilvl="0" w:tentative="0">
      <w:start w:val="3"/>
      <w:numFmt w:val="decimal"/>
      <w:suff w:val="nothing"/>
      <w:lvlText w:val="%1）"/>
      <w:lvlJc w:val="left"/>
    </w:lvl>
  </w:abstractNum>
  <w:abstractNum w:abstractNumId="6">
    <w:nsid w:val="7517B59D"/>
    <w:multiLevelType w:val="singleLevel"/>
    <w:tmpl w:val="7517B59D"/>
    <w:lvl w:ilvl="0" w:tentative="0">
      <w:start w:val="3"/>
      <w:numFmt w:val="decimal"/>
      <w:suff w:val="nothing"/>
      <w:lvlText w:val="%1、"/>
      <w:lvlJc w:val="left"/>
    </w:lvl>
  </w:abstractNum>
  <w:num w:numId="1">
    <w:abstractNumId w:val="4"/>
  </w:num>
  <w:num w:numId="2">
    <w:abstractNumId w:val="6"/>
  </w:num>
  <w:num w:numId="3">
    <w:abstractNumId w:val="0"/>
  </w:num>
  <w:num w:numId="4">
    <w:abstractNumId w:val="5"/>
  </w:num>
  <w:num w:numId="5">
    <w:abstractNumId w:val="2"/>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dit="comments" w:formatting="1" w:enforcement="0"/>
  <w:defaultTabStop w:val="420"/>
  <w:hyphenationZone w:val="360"/>
  <w:doNotHyphenateCaps/>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JhYjJkYjBkMDM0MmE0Mzc3MDk3ZmNjNWM5NTMxZGQifQ=="/>
  </w:docVars>
  <w:rsids>
    <w:rsidRoot w:val="00A14947"/>
    <w:rsid w:val="00000210"/>
    <w:rsid w:val="0000158E"/>
    <w:rsid w:val="000017F7"/>
    <w:rsid w:val="00002C2D"/>
    <w:rsid w:val="00003B6F"/>
    <w:rsid w:val="0000605E"/>
    <w:rsid w:val="000060B3"/>
    <w:rsid w:val="00006512"/>
    <w:rsid w:val="000078D1"/>
    <w:rsid w:val="00007FC0"/>
    <w:rsid w:val="000115A3"/>
    <w:rsid w:val="00011EF8"/>
    <w:rsid w:val="00012D4C"/>
    <w:rsid w:val="00013E09"/>
    <w:rsid w:val="00020445"/>
    <w:rsid w:val="00021F8A"/>
    <w:rsid w:val="00023FA7"/>
    <w:rsid w:val="000243D4"/>
    <w:rsid w:val="000248D8"/>
    <w:rsid w:val="00024B9D"/>
    <w:rsid w:val="000256CD"/>
    <w:rsid w:val="00025907"/>
    <w:rsid w:val="00025FF1"/>
    <w:rsid w:val="00026774"/>
    <w:rsid w:val="00030DE3"/>
    <w:rsid w:val="0003133F"/>
    <w:rsid w:val="00032D93"/>
    <w:rsid w:val="00036EA7"/>
    <w:rsid w:val="00041873"/>
    <w:rsid w:val="000422AC"/>
    <w:rsid w:val="0004364B"/>
    <w:rsid w:val="000452EB"/>
    <w:rsid w:val="000466A7"/>
    <w:rsid w:val="00050161"/>
    <w:rsid w:val="000514FD"/>
    <w:rsid w:val="000548A0"/>
    <w:rsid w:val="00057878"/>
    <w:rsid w:val="00061554"/>
    <w:rsid w:val="00061B1F"/>
    <w:rsid w:val="00063BCC"/>
    <w:rsid w:val="00063F28"/>
    <w:rsid w:val="00065194"/>
    <w:rsid w:val="00065413"/>
    <w:rsid w:val="00066166"/>
    <w:rsid w:val="00067856"/>
    <w:rsid w:val="000705A6"/>
    <w:rsid w:val="000719DE"/>
    <w:rsid w:val="0007237D"/>
    <w:rsid w:val="000733C4"/>
    <w:rsid w:val="00074783"/>
    <w:rsid w:val="0007621D"/>
    <w:rsid w:val="0008070B"/>
    <w:rsid w:val="0008070E"/>
    <w:rsid w:val="0008100D"/>
    <w:rsid w:val="000810AC"/>
    <w:rsid w:val="00081A02"/>
    <w:rsid w:val="00081AA3"/>
    <w:rsid w:val="00082037"/>
    <w:rsid w:val="00082231"/>
    <w:rsid w:val="00085D17"/>
    <w:rsid w:val="00086BCF"/>
    <w:rsid w:val="00086EAD"/>
    <w:rsid w:val="00090C61"/>
    <w:rsid w:val="000915A4"/>
    <w:rsid w:val="00091930"/>
    <w:rsid w:val="00092D38"/>
    <w:rsid w:val="0009377B"/>
    <w:rsid w:val="000959BC"/>
    <w:rsid w:val="000978FC"/>
    <w:rsid w:val="000A1388"/>
    <w:rsid w:val="000A1EF1"/>
    <w:rsid w:val="000A20C9"/>
    <w:rsid w:val="000A46FB"/>
    <w:rsid w:val="000A7F46"/>
    <w:rsid w:val="000B058F"/>
    <w:rsid w:val="000B0604"/>
    <w:rsid w:val="000B1153"/>
    <w:rsid w:val="000B12B1"/>
    <w:rsid w:val="000B2DFE"/>
    <w:rsid w:val="000B39AB"/>
    <w:rsid w:val="000B3E0A"/>
    <w:rsid w:val="000B4467"/>
    <w:rsid w:val="000B4B3B"/>
    <w:rsid w:val="000B4DB9"/>
    <w:rsid w:val="000B516F"/>
    <w:rsid w:val="000B71AA"/>
    <w:rsid w:val="000C09AC"/>
    <w:rsid w:val="000C0EFA"/>
    <w:rsid w:val="000C12BC"/>
    <w:rsid w:val="000C1449"/>
    <w:rsid w:val="000C2C2D"/>
    <w:rsid w:val="000C2FEF"/>
    <w:rsid w:val="000C333C"/>
    <w:rsid w:val="000C3DC2"/>
    <w:rsid w:val="000C3F8E"/>
    <w:rsid w:val="000C55DB"/>
    <w:rsid w:val="000C5D7E"/>
    <w:rsid w:val="000C6768"/>
    <w:rsid w:val="000C767F"/>
    <w:rsid w:val="000D1124"/>
    <w:rsid w:val="000D12AA"/>
    <w:rsid w:val="000D24A6"/>
    <w:rsid w:val="000D2972"/>
    <w:rsid w:val="000D49EE"/>
    <w:rsid w:val="000D5A44"/>
    <w:rsid w:val="000D6F8B"/>
    <w:rsid w:val="000E036C"/>
    <w:rsid w:val="000E1855"/>
    <w:rsid w:val="000E2B91"/>
    <w:rsid w:val="000E3ED2"/>
    <w:rsid w:val="000E54B3"/>
    <w:rsid w:val="000E5992"/>
    <w:rsid w:val="000E61FB"/>
    <w:rsid w:val="000F2AD6"/>
    <w:rsid w:val="000F4D15"/>
    <w:rsid w:val="000F5BB8"/>
    <w:rsid w:val="000F5CED"/>
    <w:rsid w:val="000F6A1E"/>
    <w:rsid w:val="000F6AD4"/>
    <w:rsid w:val="000F7D0E"/>
    <w:rsid w:val="0010120A"/>
    <w:rsid w:val="00102640"/>
    <w:rsid w:val="001042FE"/>
    <w:rsid w:val="00104307"/>
    <w:rsid w:val="00106B26"/>
    <w:rsid w:val="00113313"/>
    <w:rsid w:val="00113775"/>
    <w:rsid w:val="00114C29"/>
    <w:rsid w:val="001152B6"/>
    <w:rsid w:val="00115CD7"/>
    <w:rsid w:val="0011645A"/>
    <w:rsid w:val="00121390"/>
    <w:rsid w:val="001247F5"/>
    <w:rsid w:val="00124B40"/>
    <w:rsid w:val="00124E5D"/>
    <w:rsid w:val="0012607F"/>
    <w:rsid w:val="0012694F"/>
    <w:rsid w:val="0013035A"/>
    <w:rsid w:val="00130746"/>
    <w:rsid w:val="00130A72"/>
    <w:rsid w:val="00130E1B"/>
    <w:rsid w:val="001310A3"/>
    <w:rsid w:val="00131380"/>
    <w:rsid w:val="00131F42"/>
    <w:rsid w:val="00131FE4"/>
    <w:rsid w:val="0013526F"/>
    <w:rsid w:val="001357F1"/>
    <w:rsid w:val="00140FA8"/>
    <w:rsid w:val="00141326"/>
    <w:rsid w:val="001426D4"/>
    <w:rsid w:val="00142937"/>
    <w:rsid w:val="00142D48"/>
    <w:rsid w:val="00142FEB"/>
    <w:rsid w:val="00143A2D"/>
    <w:rsid w:val="001446FB"/>
    <w:rsid w:val="0014553D"/>
    <w:rsid w:val="001455CE"/>
    <w:rsid w:val="00145A41"/>
    <w:rsid w:val="001472B7"/>
    <w:rsid w:val="00151675"/>
    <w:rsid w:val="00152459"/>
    <w:rsid w:val="001529F2"/>
    <w:rsid w:val="00153DAB"/>
    <w:rsid w:val="00154ABB"/>
    <w:rsid w:val="001562DB"/>
    <w:rsid w:val="00157435"/>
    <w:rsid w:val="0016033F"/>
    <w:rsid w:val="00162ED1"/>
    <w:rsid w:val="00164E60"/>
    <w:rsid w:val="0016710A"/>
    <w:rsid w:val="001706BA"/>
    <w:rsid w:val="00171A3D"/>
    <w:rsid w:val="001723EA"/>
    <w:rsid w:val="001730BE"/>
    <w:rsid w:val="0017504D"/>
    <w:rsid w:val="0017671A"/>
    <w:rsid w:val="001771EA"/>
    <w:rsid w:val="00177422"/>
    <w:rsid w:val="00177F1D"/>
    <w:rsid w:val="001810DA"/>
    <w:rsid w:val="00181397"/>
    <w:rsid w:val="001828F4"/>
    <w:rsid w:val="001834E7"/>
    <w:rsid w:val="00184024"/>
    <w:rsid w:val="001844B2"/>
    <w:rsid w:val="00184590"/>
    <w:rsid w:val="00184C83"/>
    <w:rsid w:val="00184C9C"/>
    <w:rsid w:val="00184CD7"/>
    <w:rsid w:val="001870D1"/>
    <w:rsid w:val="001871F5"/>
    <w:rsid w:val="0018781E"/>
    <w:rsid w:val="00187EF2"/>
    <w:rsid w:val="0019262D"/>
    <w:rsid w:val="00192D53"/>
    <w:rsid w:val="00194344"/>
    <w:rsid w:val="00196832"/>
    <w:rsid w:val="001972F8"/>
    <w:rsid w:val="001978C2"/>
    <w:rsid w:val="001A019E"/>
    <w:rsid w:val="001A02F0"/>
    <w:rsid w:val="001A079B"/>
    <w:rsid w:val="001A0F9F"/>
    <w:rsid w:val="001A13A8"/>
    <w:rsid w:val="001A1B35"/>
    <w:rsid w:val="001A1DD6"/>
    <w:rsid w:val="001A2198"/>
    <w:rsid w:val="001A256C"/>
    <w:rsid w:val="001A34E4"/>
    <w:rsid w:val="001A48A2"/>
    <w:rsid w:val="001A49C8"/>
    <w:rsid w:val="001A5C83"/>
    <w:rsid w:val="001A5D70"/>
    <w:rsid w:val="001A6F61"/>
    <w:rsid w:val="001A7E2F"/>
    <w:rsid w:val="001B2943"/>
    <w:rsid w:val="001B3A2B"/>
    <w:rsid w:val="001B6820"/>
    <w:rsid w:val="001B72B8"/>
    <w:rsid w:val="001B7EC9"/>
    <w:rsid w:val="001C0F98"/>
    <w:rsid w:val="001C1815"/>
    <w:rsid w:val="001C2657"/>
    <w:rsid w:val="001C4E9B"/>
    <w:rsid w:val="001C5623"/>
    <w:rsid w:val="001C69B3"/>
    <w:rsid w:val="001D0EAA"/>
    <w:rsid w:val="001D1637"/>
    <w:rsid w:val="001D2207"/>
    <w:rsid w:val="001D3E8B"/>
    <w:rsid w:val="001D4D71"/>
    <w:rsid w:val="001D5595"/>
    <w:rsid w:val="001D56C1"/>
    <w:rsid w:val="001D66A7"/>
    <w:rsid w:val="001D7199"/>
    <w:rsid w:val="001D7874"/>
    <w:rsid w:val="001D7D30"/>
    <w:rsid w:val="001D7F22"/>
    <w:rsid w:val="001E04D8"/>
    <w:rsid w:val="001E144A"/>
    <w:rsid w:val="001E1F15"/>
    <w:rsid w:val="001E2007"/>
    <w:rsid w:val="001E2B90"/>
    <w:rsid w:val="001E629E"/>
    <w:rsid w:val="001F0F17"/>
    <w:rsid w:val="001F1EC5"/>
    <w:rsid w:val="001F200E"/>
    <w:rsid w:val="001F271E"/>
    <w:rsid w:val="001F3347"/>
    <w:rsid w:val="001F49C9"/>
    <w:rsid w:val="001F50D7"/>
    <w:rsid w:val="001F6388"/>
    <w:rsid w:val="001F69E4"/>
    <w:rsid w:val="00200086"/>
    <w:rsid w:val="00200671"/>
    <w:rsid w:val="002013CC"/>
    <w:rsid w:val="00201B55"/>
    <w:rsid w:val="002021F2"/>
    <w:rsid w:val="00202B74"/>
    <w:rsid w:val="00203345"/>
    <w:rsid w:val="00205427"/>
    <w:rsid w:val="00211793"/>
    <w:rsid w:val="002118FF"/>
    <w:rsid w:val="002124E9"/>
    <w:rsid w:val="002125B4"/>
    <w:rsid w:val="00213506"/>
    <w:rsid w:val="00213C04"/>
    <w:rsid w:val="002155B8"/>
    <w:rsid w:val="002159A9"/>
    <w:rsid w:val="00215AA4"/>
    <w:rsid w:val="00216D49"/>
    <w:rsid w:val="00217306"/>
    <w:rsid w:val="002225A4"/>
    <w:rsid w:val="00222958"/>
    <w:rsid w:val="002231DD"/>
    <w:rsid w:val="00223924"/>
    <w:rsid w:val="0022404E"/>
    <w:rsid w:val="00224545"/>
    <w:rsid w:val="00224839"/>
    <w:rsid w:val="002249B2"/>
    <w:rsid w:val="00225378"/>
    <w:rsid w:val="00225D7D"/>
    <w:rsid w:val="00226574"/>
    <w:rsid w:val="00227184"/>
    <w:rsid w:val="00227856"/>
    <w:rsid w:val="002278EC"/>
    <w:rsid w:val="00232660"/>
    <w:rsid w:val="0023280E"/>
    <w:rsid w:val="002343A6"/>
    <w:rsid w:val="00236238"/>
    <w:rsid w:val="002377D1"/>
    <w:rsid w:val="00240F23"/>
    <w:rsid w:val="00241F75"/>
    <w:rsid w:val="00243A13"/>
    <w:rsid w:val="00243BAF"/>
    <w:rsid w:val="002454EE"/>
    <w:rsid w:val="0024645B"/>
    <w:rsid w:val="00246A86"/>
    <w:rsid w:val="0024719F"/>
    <w:rsid w:val="00247A71"/>
    <w:rsid w:val="00247AF0"/>
    <w:rsid w:val="00247E3B"/>
    <w:rsid w:val="002506BC"/>
    <w:rsid w:val="002511F7"/>
    <w:rsid w:val="002530EA"/>
    <w:rsid w:val="00254345"/>
    <w:rsid w:val="0025435E"/>
    <w:rsid w:val="002624E7"/>
    <w:rsid w:val="0026268E"/>
    <w:rsid w:val="0026352C"/>
    <w:rsid w:val="002640E9"/>
    <w:rsid w:val="00264557"/>
    <w:rsid w:val="002701E7"/>
    <w:rsid w:val="00272482"/>
    <w:rsid w:val="00272798"/>
    <w:rsid w:val="00274EB4"/>
    <w:rsid w:val="00275478"/>
    <w:rsid w:val="002776A7"/>
    <w:rsid w:val="00280332"/>
    <w:rsid w:val="002805AB"/>
    <w:rsid w:val="0028074D"/>
    <w:rsid w:val="002810B8"/>
    <w:rsid w:val="0028160E"/>
    <w:rsid w:val="0028299C"/>
    <w:rsid w:val="00284204"/>
    <w:rsid w:val="00285D9D"/>
    <w:rsid w:val="00287976"/>
    <w:rsid w:val="00287AE0"/>
    <w:rsid w:val="00287E85"/>
    <w:rsid w:val="00290D27"/>
    <w:rsid w:val="00291773"/>
    <w:rsid w:val="0029261A"/>
    <w:rsid w:val="00292681"/>
    <w:rsid w:val="00292992"/>
    <w:rsid w:val="00294333"/>
    <w:rsid w:val="002943CC"/>
    <w:rsid w:val="002944AE"/>
    <w:rsid w:val="00294EA6"/>
    <w:rsid w:val="00295498"/>
    <w:rsid w:val="00295810"/>
    <w:rsid w:val="0029640D"/>
    <w:rsid w:val="00297717"/>
    <w:rsid w:val="002A0761"/>
    <w:rsid w:val="002A168C"/>
    <w:rsid w:val="002A1E5B"/>
    <w:rsid w:val="002A3DC7"/>
    <w:rsid w:val="002A58B3"/>
    <w:rsid w:val="002A6FD4"/>
    <w:rsid w:val="002A7E53"/>
    <w:rsid w:val="002B2F76"/>
    <w:rsid w:val="002B49E2"/>
    <w:rsid w:val="002B585A"/>
    <w:rsid w:val="002B5F1E"/>
    <w:rsid w:val="002B7B00"/>
    <w:rsid w:val="002B7C44"/>
    <w:rsid w:val="002C018B"/>
    <w:rsid w:val="002C17A5"/>
    <w:rsid w:val="002C252F"/>
    <w:rsid w:val="002C28A5"/>
    <w:rsid w:val="002C2B17"/>
    <w:rsid w:val="002C2CF7"/>
    <w:rsid w:val="002C318B"/>
    <w:rsid w:val="002C4203"/>
    <w:rsid w:val="002C596F"/>
    <w:rsid w:val="002C71CE"/>
    <w:rsid w:val="002D17A5"/>
    <w:rsid w:val="002D3DD0"/>
    <w:rsid w:val="002D49E1"/>
    <w:rsid w:val="002D65A2"/>
    <w:rsid w:val="002D6EAF"/>
    <w:rsid w:val="002E00D4"/>
    <w:rsid w:val="002E1F3A"/>
    <w:rsid w:val="002E298A"/>
    <w:rsid w:val="002E3CE0"/>
    <w:rsid w:val="002E4241"/>
    <w:rsid w:val="002E5ECE"/>
    <w:rsid w:val="002F0395"/>
    <w:rsid w:val="002F19B4"/>
    <w:rsid w:val="002F1B1B"/>
    <w:rsid w:val="002F1EB0"/>
    <w:rsid w:val="002F2AF4"/>
    <w:rsid w:val="002F4746"/>
    <w:rsid w:val="002F4FBC"/>
    <w:rsid w:val="003018B5"/>
    <w:rsid w:val="00301978"/>
    <w:rsid w:val="003020FD"/>
    <w:rsid w:val="0030332C"/>
    <w:rsid w:val="00303DD0"/>
    <w:rsid w:val="003051C2"/>
    <w:rsid w:val="00305CA4"/>
    <w:rsid w:val="00306B79"/>
    <w:rsid w:val="003076AB"/>
    <w:rsid w:val="00312296"/>
    <w:rsid w:val="00313D03"/>
    <w:rsid w:val="00314B1C"/>
    <w:rsid w:val="00314F0E"/>
    <w:rsid w:val="00315682"/>
    <w:rsid w:val="00315FF0"/>
    <w:rsid w:val="003160B9"/>
    <w:rsid w:val="00320620"/>
    <w:rsid w:val="0032126A"/>
    <w:rsid w:val="00321AC9"/>
    <w:rsid w:val="00321D8E"/>
    <w:rsid w:val="0032543B"/>
    <w:rsid w:val="00325928"/>
    <w:rsid w:val="00325F09"/>
    <w:rsid w:val="003318B4"/>
    <w:rsid w:val="00331956"/>
    <w:rsid w:val="00331F78"/>
    <w:rsid w:val="00332863"/>
    <w:rsid w:val="00333822"/>
    <w:rsid w:val="0033440C"/>
    <w:rsid w:val="0033451B"/>
    <w:rsid w:val="00335C02"/>
    <w:rsid w:val="00335F66"/>
    <w:rsid w:val="0033684D"/>
    <w:rsid w:val="003376D1"/>
    <w:rsid w:val="00337B42"/>
    <w:rsid w:val="00337CCD"/>
    <w:rsid w:val="00340EEE"/>
    <w:rsid w:val="00341B42"/>
    <w:rsid w:val="00342CFA"/>
    <w:rsid w:val="0034348F"/>
    <w:rsid w:val="003442FD"/>
    <w:rsid w:val="003447B3"/>
    <w:rsid w:val="0034553C"/>
    <w:rsid w:val="003461FC"/>
    <w:rsid w:val="0034652A"/>
    <w:rsid w:val="00346AA5"/>
    <w:rsid w:val="0034704A"/>
    <w:rsid w:val="003477D5"/>
    <w:rsid w:val="00347890"/>
    <w:rsid w:val="00347B42"/>
    <w:rsid w:val="00347F96"/>
    <w:rsid w:val="003502F3"/>
    <w:rsid w:val="0035037A"/>
    <w:rsid w:val="00352B2A"/>
    <w:rsid w:val="003562B0"/>
    <w:rsid w:val="00356653"/>
    <w:rsid w:val="00356F6A"/>
    <w:rsid w:val="0035743F"/>
    <w:rsid w:val="00357B8E"/>
    <w:rsid w:val="00357BE2"/>
    <w:rsid w:val="00360148"/>
    <w:rsid w:val="0036170C"/>
    <w:rsid w:val="00362A24"/>
    <w:rsid w:val="00362CC3"/>
    <w:rsid w:val="00364E09"/>
    <w:rsid w:val="00364E80"/>
    <w:rsid w:val="00365E6D"/>
    <w:rsid w:val="00366E0F"/>
    <w:rsid w:val="0036730D"/>
    <w:rsid w:val="0037001B"/>
    <w:rsid w:val="00371F0B"/>
    <w:rsid w:val="00371FAD"/>
    <w:rsid w:val="00372EB2"/>
    <w:rsid w:val="00374A2C"/>
    <w:rsid w:val="003758F3"/>
    <w:rsid w:val="003800E3"/>
    <w:rsid w:val="00381A72"/>
    <w:rsid w:val="00383016"/>
    <w:rsid w:val="00384676"/>
    <w:rsid w:val="003866FC"/>
    <w:rsid w:val="003876ED"/>
    <w:rsid w:val="00390857"/>
    <w:rsid w:val="00392640"/>
    <w:rsid w:val="003927EB"/>
    <w:rsid w:val="00392D49"/>
    <w:rsid w:val="00392F01"/>
    <w:rsid w:val="00393CDF"/>
    <w:rsid w:val="0039670A"/>
    <w:rsid w:val="003A4BF3"/>
    <w:rsid w:val="003A685D"/>
    <w:rsid w:val="003A6DA1"/>
    <w:rsid w:val="003A7A7F"/>
    <w:rsid w:val="003B00FF"/>
    <w:rsid w:val="003B0D07"/>
    <w:rsid w:val="003B20B2"/>
    <w:rsid w:val="003B2119"/>
    <w:rsid w:val="003B2211"/>
    <w:rsid w:val="003B2D36"/>
    <w:rsid w:val="003B420D"/>
    <w:rsid w:val="003C21FD"/>
    <w:rsid w:val="003C5769"/>
    <w:rsid w:val="003C6B85"/>
    <w:rsid w:val="003C6C16"/>
    <w:rsid w:val="003D0404"/>
    <w:rsid w:val="003D1B22"/>
    <w:rsid w:val="003D5B8A"/>
    <w:rsid w:val="003D64BA"/>
    <w:rsid w:val="003D794D"/>
    <w:rsid w:val="003E174B"/>
    <w:rsid w:val="003E2161"/>
    <w:rsid w:val="003E3058"/>
    <w:rsid w:val="003E3414"/>
    <w:rsid w:val="003E34EB"/>
    <w:rsid w:val="003E3DD2"/>
    <w:rsid w:val="003E4E31"/>
    <w:rsid w:val="003E5990"/>
    <w:rsid w:val="003E76A9"/>
    <w:rsid w:val="003E7958"/>
    <w:rsid w:val="003E7E18"/>
    <w:rsid w:val="003F0809"/>
    <w:rsid w:val="003F3D8B"/>
    <w:rsid w:val="003F6927"/>
    <w:rsid w:val="003F6A8C"/>
    <w:rsid w:val="003F755C"/>
    <w:rsid w:val="0040137C"/>
    <w:rsid w:val="0040236C"/>
    <w:rsid w:val="00403A17"/>
    <w:rsid w:val="00404CDC"/>
    <w:rsid w:val="00406F01"/>
    <w:rsid w:val="00412452"/>
    <w:rsid w:val="004124BB"/>
    <w:rsid w:val="004152A2"/>
    <w:rsid w:val="00416D50"/>
    <w:rsid w:val="00416FD5"/>
    <w:rsid w:val="00417772"/>
    <w:rsid w:val="00420E6A"/>
    <w:rsid w:val="00423D2D"/>
    <w:rsid w:val="00425A9E"/>
    <w:rsid w:val="00425DE7"/>
    <w:rsid w:val="004262A2"/>
    <w:rsid w:val="00426D6B"/>
    <w:rsid w:val="00431067"/>
    <w:rsid w:val="00431E6C"/>
    <w:rsid w:val="004326F2"/>
    <w:rsid w:val="00433CE7"/>
    <w:rsid w:val="00436509"/>
    <w:rsid w:val="0044153C"/>
    <w:rsid w:val="00443244"/>
    <w:rsid w:val="00444603"/>
    <w:rsid w:val="00444861"/>
    <w:rsid w:val="00447C65"/>
    <w:rsid w:val="00452738"/>
    <w:rsid w:val="0045286F"/>
    <w:rsid w:val="00452923"/>
    <w:rsid w:val="00453936"/>
    <w:rsid w:val="00453C48"/>
    <w:rsid w:val="00455B8D"/>
    <w:rsid w:val="00456091"/>
    <w:rsid w:val="004600AB"/>
    <w:rsid w:val="004628A7"/>
    <w:rsid w:val="00464550"/>
    <w:rsid w:val="00466321"/>
    <w:rsid w:val="004663CD"/>
    <w:rsid w:val="00466507"/>
    <w:rsid w:val="00470204"/>
    <w:rsid w:val="0047143C"/>
    <w:rsid w:val="00473A05"/>
    <w:rsid w:val="00474370"/>
    <w:rsid w:val="00475224"/>
    <w:rsid w:val="0047553C"/>
    <w:rsid w:val="00475803"/>
    <w:rsid w:val="004758C9"/>
    <w:rsid w:val="00476928"/>
    <w:rsid w:val="00480434"/>
    <w:rsid w:val="00480BC2"/>
    <w:rsid w:val="00484B9B"/>
    <w:rsid w:val="004854CD"/>
    <w:rsid w:val="004855F6"/>
    <w:rsid w:val="00486490"/>
    <w:rsid w:val="0048661E"/>
    <w:rsid w:val="00486AA1"/>
    <w:rsid w:val="00492A3F"/>
    <w:rsid w:val="00492B19"/>
    <w:rsid w:val="00494670"/>
    <w:rsid w:val="004947CE"/>
    <w:rsid w:val="00495610"/>
    <w:rsid w:val="004A083B"/>
    <w:rsid w:val="004A09F9"/>
    <w:rsid w:val="004A3823"/>
    <w:rsid w:val="004A3939"/>
    <w:rsid w:val="004A47CE"/>
    <w:rsid w:val="004A4F74"/>
    <w:rsid w:val="004A6D1E"/>
    <w:rsid w:val="004B24F8"/>
    <w:rsid w:val="004B30B3"/>
    <w:rsid w:val="004B3111"/>
    <w:rsid w:val="004B44B5"/>
    <w:rsid w:val="004B69FB"/>
    <w:rsid w:val="004B7DF2"/>
    <w:rsid w:val="004C0A6C"/>
    <w:rsid w:val="004C0CA1"/>
    <w:rsid w:val="004C18E1"/>
    <w:rsid w:val="004C30B7"/>
    <w:rsid w:val="004C38E0"/>
    <w:rsid w:val="004C3AB3"/>
    <w:rsid w:val="004C4C9E"/>
    <w:rsid w:val="004C5A8E"/>
    <w:rsid w:val="004C5B40"/>
    <w:rsid w:val="004C6DEE"/>
    <w:rsid w:val="004C7FE6"/>
    <w:rsid w:val="004D14A7"/>
    <w:rsid w:val="004D187E"/>
    <w:rsid w:val="004D234C"/>
    <w:rsid w:val="004D234E"/>
    <w:rsid w:val="004D2362"/>
    <w:rsid w:val="004D300E"/>
    <w:rsid w:val="004D443F"/>
    <w:rsid w:val="004D53CC"/>
    <w:rsid w:val="004D5971"/>
    <w:rsid w:val="004E0F46"/>
    <w:rsid w:val="004E1462"/>
    <w:rsid w:val="004E2661"/>
    <w:rsid w:val="004E3729"/>
    <w:rsid w:val="004E3AB5"/>
    <w:rsid w:val="004E6946"/>
    <w:rsid w:val="004F1AD8"/>
    <w:rsid w:val="004F7CD2"/>
    <w:rsid w:val="00501280"/>
    <w:rsid w:val="00502DB0"/>
    <w:rsid w:val="00503397"/>
    <w:rsid w:val="005039CB"/>
    <w:rsid w:val="0050558F"/>
    <w:rsid w:val="00506286"/>
    <w:rsid w:val="00510813"/>
    <w:rsid w:val="00510CB1"/>
    <w:rsid w:val="00511990"/>
    <w:rsid w:val="00511DE0"/>
    <w:rsid w:val="0051292A"/>
    <w:rsid w:val="005130AE"/>
    <w:rsid w:val="00514870"/>
    <w:rsid w:val="00514B9B"/>
    <w:rsid w:val="005168C2"/>
    <w:rsid w:val="005171E6"/>
    <w:rsid w:val="00517F02"/>
    <w:rsid w:val="00521207"/>
    <w:rsid w:val="0052167F"/>
    <w:rsid w:val="00522371"/>
    <w:rsid w:val="00523832"/>
    <w:rsid w:val="00524303"/>
    <w:rsid w:val="0052459C"/>
    <w:rsid w:val="005248B0"/>
    <w:rsid w:val="005258A2"/>
    <w:rsid w:val="00526D7C"/>
    <w:rsid w:val="00531A6E"/>
    <w:rsid w:val="0053207E"/>
    <w:rsid w:val="00532B2A"/>
    <w:rsid w:val="00534D22"/>
    <w:rsid w:val="00534D98"/>
    <w:rsid w:val="0053654C"/>
    <w:rsid w:val="005401AE"/>
    <w:rsid w:val="0054130C"/>
    <w:rsid w:val="00542873"/>
    <w:rsid w:val="00542E07"/>
    <w:rsid w:val="00545424"/>
    <w:rsid w:val="0054559D"/>
    <w:rsid w:val="00545D96"/>
    <w:rsid w:val="00546663"/>
    <w:rsid w:val="00546D05"/>
    <w:rsid w:val="00547BB1"/>
    <w:rsid w:val="0055196B"/>
    <w:rsid w:val="0055317A"/>
    <w:rsid w:val="00554A7B"/>
    <w:rsid w:val="0055572C"/>
    <w:rsid w:val="0056106A"/>
    <w:rsid w:val="00561564"/>
    <w:rsid w:val="005627D2"/>
    <w:rsid w:val="00564161"/>
    <w:rsid w:val="00564663"/>
    <w:rsid w:val="00565CB8"/>
    <w:rsid w:val="005667F0"/>
    <w:rsid w:val="00567812"/>
    <w:rsid w:val="005720AE"/>
    <w:rsid w:val="00573492"/>
    <w:rsid w:val="0057480F"/>
    <w:rsid w:val="005749B7"/>
    <w:rsid w:val="00574BEF"/>
    <w:rsid w:val="0057630A"/>
    <w:rsid w:val="0057744D"/>
    <w:rsid w:val="00581B6B"/>
    <w:rsid w:val="005823EE"/>
    <w:rsid w:val="00583811"/>
    <w:rsid w:val="00584DC0"/>
    <w:rsid w:val="00585558"/>
    <w:rsid w:val="00587079"/>
    <w:rsid w:val="0059125B"/>
    <w:rsid w:val="00591509"/>
    <w:rsid w:val="00591E73"/>
    <w:rsid w:val="00591EC1"/>
    <w:rsid w:val="00594917"/>
    <w:rsid w:val="00594B48"/>
    <w:rsid w:val="00594D77"/>
    <w:rsid w:val="005955D7"/>
    <w:rsid w:val="00595CDF"/>
    <w:rsid w:val="005969E4"/>
    <w:rsid w:val="005976FE"/>
    <w:rsid w:val="00597878"/>
    <w:rsid w:val="005A06B7"/>
    <w:rsid w:val="005A1759"/>
    <w:rsid w:val="005A21D5"/>
    <w:rsid w:val="005A2D57"/>
    <w:rsid w:val="005A3895"/>
    <w:rsid w:val="005A4183"/>
    <w:rsid w:val="005A4AE3"/>
    <w:rsid w:val="005A68A7"/>
    <w:rsid w:val="005A75CC"/>
    <w:rsid w:val="005B4D27"/>
    <w:rsid w:val="005B4EC6"/>
    <w:rsid w:val="005B63CC"/>
    <w:rsid w:val="005C1279"/>
    <w:rsid w:val="005C1995"/>
    <w:rsid w:val="005C2D82"/>
    <w:rsid w:val="005C591A"/>
    <w:rsid w:val="005D2A5C"/>
    <w:rsid w:val="005D36AB"/>
    <w:rsid w:val="005D3A4E"/>
    <w:rsid w:val="005D6112"/>
    <w:rsid w:val="005D7BD1"/>
    <w:rsid w:val="005E1D71"/>
    <w:rsid w:val="005E64A4"/>
    <w:rsid w:val="005F178D"/>
    <w:rsid w:val="005F20AE"/>
    <w:rsid w:val="005F22F8"/>
    <w:rsid w:val="005F3CB7"/>
    <w:rsid w:val="005F4F9C"/>
    <w:rsid w:val="005F6275"/>
    <w:rsid w:val="006025AB"/>
    <w:rsid w:val="00604F63"/>
    <w:rsid w:val="00610E8A"/>
    <w:rsid w:val="0061157B"/>
    <w:rsid w:val="00616DE5"/>
    <w:rsid w:val="00617CC3"/>
    <w:rsid w:val="00620042"/>
    <w:rsid w:val="00620F1C"/>
    <w:rsid w:val="00623778"/>
    <w:rsid w:val="0062471F"/>
    <w:rsid w:val="006258AE"/>
    <w:rsid w:val="0063032D"/>
    <w:rsid w:val="0063044F"/>
    <w:rsid w:val="00630548"/>
    <w:rsid w:val="00630AAC"/>
    <w:rsid w:val="00630D55"/>
    <w:rsid w:val="006326A3"/>
    <w:rsid w:val="006343EC"/>
    <w:rsid w:val="00634AC6"/>
    <w:rsid w:val="00634D62"/>
    <w:rsid w:val="006357ED"/>
    <w:rsid w:val="006377A6"/>
    <w:rsid w:val="00637A3D"/>
    <w:rsid w:val="006411EF"/>
    <w:rsid w:val="006413AF"/>
    <w:rsid w:val="006415B0"/>
    <w:rsid w:val="00641738"/>
    <w:rsid w:val="00641877"/>
    <w:rsid w:val="00645E36"/>
    <w:rsid w:val="006466E3"/>
    <w:rsid w:val="006474F5"/>
    <w:rsid w:val="006526FD"/>
    <w:rsid w:val="006528D1"/>
    <w:rsid w:val="00652ACB"/>
    <w:rsid w:val="00652C4C"/>
    <w:rsid w:val="006533B3"/>
    <w:rsid w:val="00654314"/>
    <w:rsid w:val="0065670E"/>
    <w:rsid w:val="00663AAF"/>
    <w:rsid w:val="006648FC"/>
    <w:rsid w:val="006652A6"/>
    <w:rsid w:val="006657F7"/>
    <w:rsid w:val="006661E9"/>
    <w:rsid w:val="00670C56"/>
    <w:rsid w:val="006714A7"/>
    <w:rsid w:val="00671DD8"/>
    <w:rsid w:val="00672D35"/>
    <w:rsid w:val="00673669"/>
    <w:rsid w:val="006748B8"/>
    <w:rsid w:val="006753FA"/>
    <w:rsid w:val="006775C3"/>
    <w:rsid w:val="00681942"/>
    <w:rsid w:val="00681E35"/>
    <w:rsid w:val="006844A2"/>
    <w:rsid w:val="0068505A"/>
    <w:rsid w:val="00687BFA"/>
    <w:rsid w:val="00690151"/>
    <w:rsid w:val="0069128F"/>
    <w:rsid w:val="0069290A"/>
    <w:rsid w:val="00693966"/>
    <w:rsid w:val="0069410C"/>
    <w:rsid w:val="006948AE"/>
    <w:rsid w:val="006954A1"/>
    <w:rsid w:val="0069775A"/>
    <w:rsid w:val="00697813"/>
    <w:rsid w:val="006A2021"/>
    <w:rsid w:val="006A3EE8"/>
    <w:rsid w:val="006A5439"/>
    <w:rsid w:val="006A6A1E"/>
    <w:rsid w:val="006A6EE3"/>
    <w:rsid w:val="006A72BF"/>
    <w:rsid w:val="006B03F2"/>
    <w:rsid w:val="006B0C9B"/>
    <w:rsid w:val="006B1292"/>
    <w:rsid w:val="006B37DC"/>
    <w:rsid w:val="006B4F68"/>
    <w:rsid w:val="006B54C0"/>
    <w:rsid w:val="006B6B2E"/>
    <w:rsid w:val="006B6BB1"/>
    <w:rsid w:val="006B7451"/>
    <w:rsid w:val="006B7655"/>
    <w:rsid w:val="006C0592"/>
    <w:rsid w:val="006C1934"/>
    <w:rsid w:val="006C1DCD"/>
    <w:rsid w:val="006C201C"/>
    <w:rsid w:val="006C222B"/>
    <w:rsid w:val="006C272E"/>
    <w:rsid w:val="006C443B"/>
    <w:rsid w:val="006C48C0"/>
    <w:rsid w:val="006C5479"/>
    <w:rsid w:val="006D042A"/>
    <w:rsid w:val="006D1339"/>
    <w:rsid w:val="006D13B5"/>
    <w:rsid w:val="006D31D7"/>
    <w:rsid w:val="006D3EBF"/>
    <w:rsid w:val="006D45A4"/>
    <w:rsid w:val="006D5180"/>
    <w:rsid w:val="006D6A72"/>
    <w:rsid w:val="006D6C8C"/>
    <w:rsid w:val="006D7B6C"/>
    <w:rsid w:val="006E009B"/>
    <w:rsid w:val="006E0AB6"/>
    <w:rsid w:val="006E12FF"/>
    <w:rsid w:val="006E32FC"/>
    <w:rsid w:val="006E607E"/>
    <w:rsid w:val="006E62CB"/>
    <w:rsid w:val="006E761D"/>
    <w:rsid w:val="006F0268"/>
    <w:rsid w:val="006F1423"/>
    <w:rsid w:val="006F1B34"/>
    <w:rsid w:val="006F494D"/>
    <w:rsid w:val="00700D1F"/>
    <w:rsid w:val="00701966"/>
    <w:rsid w:val="00702AA3"/>
    <w:rsid w:val="00702C4C"/>
    <w:rsid w:val="00702EF8"/>
    <w:rsid w:val="00706327"/>
    <w:rsid w:val="00706C5D"/>
    <w:rsid w:val="00710498"/>
    <w:rsid w:val="00710CCD"/>
    <w:rsid w:val="00710DA0"/>
    <w:rsid w:val="00712C93"/>
    <w:rsid w:val="00716A22"/>
    <w:rsid w:val="007201DA"/>
    <w:rsid w:val="0072159C"/>
    <w:rsid w:val="00723428"/>
    <w:rsid w:val="00723832"/>
    <w:rsid w:val="00723D1D"/>
    <w:rsid w:val="00724054"/>
    <w:rsid w:val="0072447F"/>
    <w:rsid w:val="00727ED8"/>
    <w:rsid w:val="0073229E"/>
    <w:rsid w:val="00732922"/>
    <w:rsid w:val="0073360E"/>
    <w:rsid w:val="0074080F"/>
    <w:rsid w:val="00743100"/>
    <w:rsid w:val="007443AE"/>
    <w:rsid w:val="007459D2"/>
    <w:rsid w:val="00745F95"/>
    <w:rsid w:val="00746DF6"/>
    <w:rsid w:val="0075092B"/>
    <w:rsid w:val="0075137F"/>
    <w:rsid w:val="0075162E"/>
    <w:rsid w:val="00751929"/>
    <w:rsid w:val="00752C89"/>
    <w:rsid w:val="00754034"/>
    <w:rsid w:val="00754557"/>
    <w:rsid w:val="007552FD"/>
    <w:rsid w:val="007556BD"/>
    <w:rsid w:val="0075582D"/>
    <w:rsid w:val="00755D61"/>
    <w:rsid w:val="00756556"/>
    <w:rsid w:val="00760699"/>
    <w:rsid w:val="007618C4"/>
    <w:rsid w:val="00761F9C"/>
    <w:rsid w:val="00762DAD"/>
    <w:rsid w:val="00764601"/>
    <w:rsid w:val="00767980"/>
    <w:rsid w:val="00770B19"/>
    <w:rsid w:val="00772FA9"/>
    <w:rsid w:val="0077322A"/>
    <w:rsid w:val="0077372F"/>
    <w:rsid w:val="00773C40"/>
    <w:rsid w:val="0077463F"/>
    <w:rsid w:val="0078095F"/>
    <w:rsid w:val="00780E7B"/>
    <w:rsid w:val="007817E9"/>
    <w:rsid w:val="007836EA"/>
    <w:rsid w:val="00784CDA"/>
    <w:rsid w:val="0079044C"/>
    <w:rsid w:val="007906C4"/>
    <w:rsid w:val="007928E3"/>
    <w:rsid w:val="007940EA"/>
    <w:rsid w:val="0079636F"/>
    <w:rsid w:val="007967E8"/>
    <w:rsid w:val="00796B18"/>
    <w:rsid w:val="00796CBB"/>
    <w:rsid w:val="007A2104"/>
    <w:rsid w:val="007A2170"/>
    <w:rsid w:val="007A22BF"/>
    <w:rsid w:val="007A3323"/>
    <w:rsid w:val="007A4CD6"/>
    <w:rsid w:val="007A5E49"/>
    <w:rsid w:val="007B0BE4"/>
    <w:rsid w:val="007B2A45"/>
    <w:rsid w:val="007B5E3E"/>
    <w:rsid w:val="007B72B8"/>
    <w:rsid w:val="007B741E"/>
    <w:rsid w:val="007B7A58"/>
    <w:rsid w:val="007C21B5"/>
    <w:rsid w:val="007C3842"/>
    <w:rsid w:val="007C4FDD"/>
    <w:rsid w:val="007C5B5D"/>
    <w:rsid w:val="007C7118"/>
    <w:rsid w:val="007C72EB"/>
    <w:rsid w:val="007C7DCD"/>
    <w:rsid w:val="007D6044"/>
    <w:rsid w:val="007D7B70"/>
    <w:rsid w:val="007E00E2"/>
    <w:rsid w:val="007E13E3"/>
    <w:rsid w:val="007E2BB2"/>
    <w:rsid w:val="007E3D63"/>
    <w:rsid w:val="007E4BD2"/>
    <w:rsid w:val="007E534C"/>
    <w:rsid w:val="007E740A"/>
    <w:rsid w:val="007E77D9"/>
    <w:rsid w:val="007E7B9A"/>
    <w:rsid w:val="007F515C"/>
    <w:rsid w:val="007F7A79"/>
    <w:rsid w:val="00801393"/>
    <w:rsid w:val="00802CF7"/>
    <w:rsid w:val="00802F88"/>
    <w:rsid w:val="00803AD1"/>
    <w:rsid w:val="0080531B"/>
    <w:rsid w:val="00810BBE"/>
    <w:rsid w:val="008117A6"/>
    <w:rsid w:val="0081293E"/>
    <w:rsid w:val="008129E7"/>
    <w:rsid w:val="00812EC7"/>
    <w:rsid w:val="00815465"/>
    <w:rsid w:val="00817E9A"/>
    <w:rsid w:val="00820443"/>
    <w:rsid w:val="00822989"/>
    <w:rsid w:val="00822C09"/>
    <w:rsid w:val="008234C3"/>
    <w:rsid w:val="00824A1B"/>
    <w:rsid w:val="0082533F"/>
    <w:rsid w:val="00825437"/>
    <w:rsid w:val="00825845"/>
    <w:rsid w:val="00826379"/>
    <w:rsid w:val="00826B4B"/>
    <w:rsid w:val="0083012D"/>
    <w:rsid w:val="008306BD"/>
    <w:rsid w:val="00830C06"/>
    <w:rsid w:val="00831A80"/>
    <w:rsid w:val="00831FB8"/>
    <w:rsid w:val="0083200F"/>
    <w:rsid w:val="00832287"/>
    <w:rsid w:val="00832BEF"/>
    <w:rsid w:val="00833743"/>
    <w:rsid w:val="00833EF0"/>
    <w:rsid w:val="008340A4"/>
    <w:rsid w:val="00834183"/>
    <w:rsid w:val="00835B88"/>
    <w:rsid w:val="00836CED"/>
    <w:rsid w:val="008374B2"/>
    <w:rsid w:val="0084194E"/>
    <w:rsid w:val="00844D36"/>
    <w:rsid w:val="008454CC"/>
    <w:rsid w:val="00845C60"/>
    <w:rsid w:val="00845E12"/>
    <w:rsid w:val="00846F0B"/>
    <w:rsid w:val="00850FE5"/>
    <w:rsid w:val="00851362"/>
    <w:rsid w:val="00851E3F"/>
    <w:rsid w:val="00854737"/>
    <w:rsid w:val="008562B0"/>
    <w:rsid w:val="00857E44"/>
    <w:rsid w:val="00862003"/>
    <w:rsid w:val="00863BD1"/>
    <w:rsid w:val="008647E2"/>
    <w:rsid w:val="008648F6"/>
    <w:rsid w:val="0086529B"/>
    <w:rsid w:val="00867CCB"/>
    <w:rsid w:val="0087135F"/>
    <w:rsid w:val="0087185A"/>
    <w:rsid w:val="00871894"/>
    <w:rsid w:val="00872D94"/>
    <w:rsid w:val="00880364"/>
    <w:rsid w:val="00882E06"/>
    <w:rsid w:val="00882F5C"/>
    <w:rsid w:val="00883BFA"/>
    <w:rsid w:val="008866CE"/>
    <w:rsid w:val="00886CD5"/>
    <w:rsid w:val="0089007E"/>
    <w:rsid w:val="0089136B"/>
    <w:rsid w:val="00891592"/>
    <w:rsid w:val="008915B7"/>
    <w:rsid w:val="00891E9E"/>
    <w:rsid w:val="00892090"/>
    <w:rsid w:val="00892405"/>
    <w:rsid w:val="00893502"/>
    <w:rsid w:val="0089553B"/>
    <w:rsid w:val="00895CFC"/>
    <w:rsid w:val="008975A4"/>
    <w:rsid w:val="00897AEA"/>
    <w:rsid w:val="008A0FBE"/>
    <w:rsid w:val="008A1007"/>
    <w:rsid w:val="008A13E5"/>
    <w:rsid w:val="008A1B67"/>
    <w:rsid w:val="008A24DC"/>
    <w:rsid w:val="008A24E5"/>
    <w:rsid w:val="008A290C"/>
    <w:rsid w:val="008A2F68"/>
    <w:rsid w:val="008A3ED3"/>
    <w:rsid w:val="008A43FF"/>
    <w:rsid w:val="008A62E8"/>
    <w:rsid w:val="008A6B98"/>
    <w:rsid w:val="008A6BA0"/>
    <w:rsid w:val="008A7130"/>
    <w:rsid w:val="008A756E"/>
    <w:rsid w:val="008B0A3A"/>
    <w:rsid w:val="008B2A2A"/>
    <w:rsid w:val="008B4FA6"/>
    <w:rsid w:val="008B5282"/>
    <w:rsid w:val="008B66B2"/>
    <w:rsid w:val="008B6AC9"/>
    <w:rsid w:val="008B6CDA"/>
    <w:rsid w:val="008B7231"/>
    <w:rsid w:val="008B7C17"/>
    <w:rsid w:val="008C1D56"/>
    <w:rsid w:val="008C2D01"/>
    <w:rsid w:val="008C3CB8"/>
    <w:rsid w:val="008C40E6"/>
    <w:rsid w:val="008C6401"/>
    <w:rsid w:val="008C6430"/>
    <w:rsid w:val="008C6AF1"/>
    <w:rsid w:val="008C7C54"/>
    <w:rsid w:val="008D05CC"/>
    <w:rsid w:val="008D0F49"/>
    <w:rsid w:val="008D0F7A"/>
    <w:rsid w:val="008D1D54"/>
    <w:rsid w:val="008D5034"/>
    <w:rsid w:val="008D509A"/>
    <w:rsid w:val="008D63F8"/>
    <w:rsid w:val="008D68E4"/>
    <w:rsid w:val="008E0506"/>
    <w:rsid w:val="008E0528"/>
    <w:rsid w:val="008E0CFF"/>
    <w:rsid w:val="008E0E24"/>
    <w:rsid w:val="008E12DE"/>
    <w:rsid w:val="008E2093"/>
    <w:rsid w:val="008E3946"/>
    <w:rsid w:val="008E5679"/>
    <w:rsid w:val="008E5D6B"/>
    <w:rsid w:val="008E61DE"/>
    <w:rsid w:val="008E76F0"/>
    <w:rsid w:val="008F15FE"/>
    <w:rsid w:val="008F1F21"/>
    <w:rsid w:val="008F2D29"/>
    <w:rsid w:val="008F5187"/>
    <w:rsid w:val="008F5563"/>
    <w:rsid w:val="008F5890"/>
    <w:rsid w:val="008F60D8"/>
    <w:rsid w:val="008F656A"/>
    <w:rsid w:val="00902727"/>
    <w:rsid w:val="0090312B"/>
    <w:rsid w:val="009046C8"/>
    <w:rsid w:val="009064C4"/>
    <w:rsid w:val="00910825"/>
    <w:rsid w:val="009129A7"/>
    <w:rsid w:val="0091339D"/>
    <w:rsid w:val="009167F6"/>
    <w:rsid w:val="0091736D"/>
    <w:rsid w:val="00924A90"/>
    <w:rsid w:val="0092613A"/>
    <w:rsid w:val="0093037A"/>
    <w:rsid w:val="00932BD3"/>
    <w:rsid w:val="009347B7"/>
    <w:rsid w:val="00934E2B"/>
    <w:rsid w:val="00935DBC"/>
    <w:rsid w:val="00936190"/>
    <w:rsid w:val="009405FC"/>
    <w:rsid w:val="0094154D"/>
    <w:rsid w:val="00943250"/>
    <w:rsid w:val="00944BAA"/>
    <w:rsid w:val="00945637"/>
    <w:rsid w:val="00946D99"/>
    <w:rsid w:val="0095155F"/>
    <w:rsid w:val="00954429"/>
    <w:rsid w:val="009550D5"/>
    <w:rsid w:val="009563CE"/>
    <w:rsid w:val="00956DD6"/>
    <w:rsid w:val="00957FB8"/>
    <w:rsid w:val="00960CFB"/>
    <w:rsid w:val="00960E41"/>
    <w:rsid w:val="009621A6"/>
    <w:rsid w:val="00962CB2"/>
    <w:rsid w:val="00965C00"/>
    <w:rsid w:val="009703D9"/>
    <w:rsid w:val="00975FBE"/>
    <w:rsid w:val="00976328"/>
    <w:rsid w:val="0097680D"/>
    <w:rsid w:val="009773A8"/>
    <w:rsid w:val="009803CA"/>
    <w:rsid w:val="00982438"/>
    <w:rsid w:val="0098404C"/>
    <w:rsid w:val="00985283"/>
    <w:rsid w:val="009912F9"/>
    <w:rsid w:val="0099238F"/>
    <w:rsid w:val="0099381F"/>
    <w:rsid w:val="0099497B"/>
    <w:rsid w:val="009953D2"/>
    <w:rsid w:val="00995992"/>
    <w:rsid w:val="00996DC9"/>
    <w:rsid w:val="009A03E5"/>
    <w:rsid w:val="009A0F3B"/>
    <w:rsid w:val="009A1BB4"/>
    <w:rsid w:val="009A2628"/>
    <w:rsid w:val="009A3200"/>
    <w:rsid w:val="009A66C1"/>
    <w:rsid w:val="009A748C"/>
    <w:rsid w:val="009A752E"/>
    <w:rsid w:val="009B0897"/>
    <w:rsid w:val="009B120F"/>
    <w:rsid w:val="009B188C"/>
    <w:rsid w:val="009B2869"/>
    <w:rsid w:val="009B7BD9"/>
    <w:rsid w:val="009B7FEC"/>
    <w:rsid w:val="009C05AD"/>
    <w:rsid w:val="009C0BD9"/>
    <w:rsid w:val="009C7091"/>
    <w:rsid w:val="009C7DD5"/>
    <w:rsid w:val="009D1A19"/>
    <w:rsid w:val="009D40EF"/>
    <w:rsid w:val="009D5AB5"/>
    <w:rsid w:val="009D5DC7"/>
    <w:rsid w:val="009D71A6"/>
    <w:rsid w:val="009E0EA2"/>
    <w:rsid w:val="009E14AD"/>
    <w:rsid w:val="009E15F8"/>
    <w:rsid w:val="009E227D"/>
    <w:rsid w:val="009E293B"/>
    <w:rsid w:val="009E3688"/>
    <w:rsid w:val="009E5019"/>
    <w:rsid w:val="009E5DC5"/>
    <w:rsid w:val="009E6AC2"/>
    <w:rsid w:val="009E6F38"/>
    <w:rsid w:val="009F0C54"/>
    <w:rsid w:val="009F0F78"/>
    <w:rsid w:val="009F4C89"/>
    <w:rsid w:val="009F6CCB"/>
    <w:rsid w:val="009F7E5F"/>
    <w:rsid w:val="00A0060D"/>
    <w:rsid w:val="00A014CD"/>
    <w:rsid w:val="00A02568"/>
    <w:rsid w:val="00A02FD6"/>
    <w:rsid w:val="00A0332D"/>
    <w:rsid w:val="00A03BC1"/>
    <w:rsid w:val="00A044BA"/>
    <w:rsid w:val="00A04F1B"/>
    <w:rsid w:val="00A0501B"/>
    <w:rsid w:val="00A06E6A"/>
    <w:rsid w:val="00A07130"/>
    <w:rsid w:val="00A10032"/>
    <w:rsid w:val="00A1010A"/>
    <w:rsid w:val="00A110C9"/>
    <w:rsid w:val="00A114DE"/>
    <w:rsid w:val="00A13ACB"/>
    <w:rsid w:val="00A14947"/>
    <w:rsid w:val="00A151A4"/>
    <w:rsid w:val="00A16070"/>
    <w:rsid w:val="00A17F8B"/>
    <w:rsid w:val="00A21268"/>
    <w:rsid w:val="00A214F7"/>
    <w:rsid w:val="00A21725"/>
    <w:rsid w:val="00A22F7D"/>
    <w:rsid w:val="00A238C3"/>
    <w:rsid w:val="00A2442D"/>
    <w:rsid w:val="00A24F79"/>
    <w:rsid w:val="00A25D4F"/>
    <w:rsid w:val="00A26C26"/>
    <w:rsid w:val="00A27BED"/>
    <w:rsid w:val="00A321F3"/>
    <w:rsid w:val="00A32A83"/>
    <w:rsid w:val="00A32AF2"/>
    <w:rsid w:val="00A3444F"/>
    <w:rsid w:val="00A359DB"/>
    <w:rsid w:val="00A368DB"/>
    <w:rsid w:val="00A37AFA"/>
    <w:rsid w:val="00A37D5B"/>
    <w:rsid w:val="00A40087"/>
    <w:rsid w:val="00A423AA"/>
    <w:rsid w:val="00A456BB"/>
    <w:rsid w:val="00A46287"/>
    <w:rsid w:val="00A46CFB"/>
    <w:rsid w:val="00A4724A"/>
    <w:rsid w:val="00A5095C"/>
    <w:rsid w:val="00A52500"/>
    <w:rsid w:val="00A525D2"/>
    <w:rsid w:val="00A53EC6"/>
    <w:rsid w:val="00A55C0F"/>
    <w:rsid w:val="00A6048F"/>
    <w:rsid w:val="00A609F4"/>
    <w:rsid w:val="00A60A63"/>
    <w:rsid w:val="00A60F51"/>
    <w:rsid w:val="00A621D2"/>
    <w:rsid w:val="00A62274"/>
    <w:rsid w:val="00A6244A"/>
    <w:rsid w:val="00A632F7"/>
    <w:rsid w:val="00A639EF"/>
    <w:rsid w:val="00A65DCE"/>
    <w:rsid w:val="00A70C92"/>
    <w:rsid w:val="00A7164D"/>
    <w:rsid w:val="00A7173B"/>
    <w:rsid w:val="00A72CFC"/>
    <w:rsid w:val="00A74295"/>
    <w:rsid w:val="00A75808"/>
    <w:rsid w:val="00A823B3"/>
    <w:rsid w:val="00A84092"/>
    <w:rsid w:val="00A84296"/>
    <w:rsid w:val="00A84BD0"/>
    <w:rsid w:val="00A8713F"/>
    <w:rsid w:val="00A90BA1"/>
    <w:rsid w:val="00A90F5F"/>
    <w:rsid w:val="00A914B0"/>
    <w:rsid w:val="00A91CD7"/>
    <w:rsid w:val="00A959AF"/>
    <w:rsid w:val="00A96AB9"/>
    <w:rsid w:val="00A97A9A"/>
    <w:rsid w:val="00AA0671"/>
    <w:rsid w:val="00AA2531"/>
    <w:rsid w:val="00AA303C"/>
    <w:rsid w:val="00AA609B"/>
    <w:rsid w:val="00AA70BF"/>
    <w:rsid w:val="00AA7C35"/>
    <w:rsid w:val="00AB0D6C"/>
    <w:rsid w:val="00AB1DC2"/>
    <w:rsid w:val="00AB1E09"/>
    <w:rsid w:val="00AB4E5C"/>
    <w:rsid w:val="00AB5330"/>
    <w:rsid w:val="00AB5EB1"/>
    <w:rsid w:val="00AB63A3"/>
    <w:rsid w:val="00AB7747"/>
    <w:rsid w:val="00AC0CA1"/>
    <w:rsid w:val="00AC14CE"/>
    <w:rsid w:val="00AC15F7"/>
    <w:rsid w:val="00AC2A56"/>
    <w:rsid w:val="00AC4377"/>
    <w:rsid w:val="00AD055E"/>
    <w:rsid w:val="00AD0A4F"/>
    <w:rsid w:val="00AD0F10"/>
    <w:rsid w:val="00AD47A7"/>
    <w:rsid w:val="00AD74BA"/>
    <w:rsid w:val="00AE02A9"/>
    <w:rsid w:val="00AE2342"/>
    <w:rsid w:val="00AE2ADF"/>
    <w:rsid w:val="00AE3721"/>
    <w:rsid w:val="00AE4B51"/>
    <w:rsid w:val="00AE54E4"/>
    <w:rsid w:val="00AE5D09"/>
    <w:rsid w:val="00AF006B"/>
    <w:rsid w:val="00AF0CBF"/>
    <w:rsid w:val="00AF257F"/>
    <w:rsid w:val="00AF2D1A"/>
    <w:rsid w:val="00AF33CF"/>
    <w:rsid w:val="00AF3EFE"/>
    <w:rsid w:val="00AF44E7"/>
    <w:rsid w:val="00AF4D50"/>
    <w:rsid w:val="00AF6179"/>
    <w:rsid w:val="00AF760B"/>
    <w:rsid w:val="00B0558D"/>
    <w:rsid w:val="00B07B55"/>
    <w:rsid w:val="00B10FEF"/>
    <w:rsid w:val="00B113B9"/>
    <w:rsid w:val="00B1262D"/>
    <w:rsid w:val="00B1295A"/>
    <w:rsid w:val="00B12BAD"/>
    <w:rsid w:val="00B14B92"/>
    <w:rsid w:val="00B150B3"/>
    <w:rsid w:val="00B16393"/>
    <w:rsid w:val="00B17470"/>
    <w:rsid w:val="00B17B75"/>
    <w:rsid w:val="00B20917"/>
    <w:rsid w:val="00B20A45"/>
    <w:rsid w:val="00B22C5C"/>
    <w:rsid w:val="00B239D3"/>
    <w:rsid w:val="00B24F30"/>
    <w:rsid w:val="00B26968"/>
    <w:rsid w:val="00B306AB"/>
    <w:rsid w:val="00B315B5"/>
    <w:rsid w:val="00B31ABF"/>
    <w:rsid w:val="00B326F6"/>
    <w:rsid w:val="00B33BE3"/>
    <w:rsid w:val="00B35DB9"/>
    <w:rsid w:val="00B4067B"/>
    <w:rsid w:val="00B41C47"/>
    <w:rsid w:val="00B42C58"/>
    <w:rsid w:val="00B440EB"/>
    <w:rsid w:val="00B47E12"/>
    <w:rsid w:val="00B53B5D"/>
    <w:rsid w:val="00B552F4"/>
    <w:rsid w:val="00B55908"/>
    <w:rsid w:val="00B56276"/>
    <w:rsid w:val="00B56973"/>
    <w:rsid w:val="00B570FF"/>
    <w:rsid w:val="00B57C82"/>
    <w:rsid w:val="00B60316"/>
    <w:rsid w:val="00B603AF"/>
    <w:rsid w:val="00B6055E"/>
    <w:rsid w:val="00B61561"/>
    <w:rsid w:val="00B6317D"/>
    <w:rsid w:val="00B66812"/>
    <w:rsid w:val="00B66ABF"/>
    <w:rsid w:val="00B66F19"/>
    <w:rsid w:val="00B67DC1"/>
    <w:rsid w:val="00B70DA7"/>
    <w:rsid w:val="00B72E1B"/>
    <w:rsid w:val="00B7532D"/>
    <w:rsid w:val="00B75C46"/>
    <w:rsid w:val="00B75DB1"/>
    <w:rsid w:val="00B7723F"/>
    <w:rsid w:val="00B80534"/>
    <w:rsid w:val="00B80AEA"/>
    <w:rsid w:val="00B80D45"/>
    <w:rsid w:val="00B82652"/>
    <w:rsid w:val="00B8366F"/>
    <w:rsid w:val="00B8433C"/>
    <w:rsid w:val="00B85666"/>
    <w:rsid w:val="00B86FC9"/>
    <w:rsid w:val="00B87491"/>
    <w:rsid w:val="00B87CF1"/>
    <w:rsid w:val="00B913B1"/>
    <w:rsid w:val="00B91463"/>
    <w:rsid w:val="00B92111"/>
    <w:rsid w:val="00B932C5"/>
    <w:rsid w:val="00B9609D"/>
    <w:rsid w:val="00B97DA0"/>
    <w:rsid w:val="00BA021B"/>
    <w:rsid w:val="00BA29E9"/>
    <w:rsid w:val="00BA51A7"/>
    <w:rsid w:val="00BA7142"/>
    <w:rsid w:val="00BB1529"/>
    <w:rsid w:val="00BB1ADB"/>
    <w:rsid w:val="00BB1FB1"/>
    <w:rsid w:val="00BB237C"/>
    <w:rsid w:val="00BB41A3"/>
    <w:rsid w:val="00BB744E"/>
    <w:rsid w:val="00BC32DC"/>
    <w:rsid w:val="00BC35B6"/>
    <w:rsid w:val="00BC40D9"/>
    <w:rsid w:val="00BC673D"/>
    <w:rsid w:val="00BD022F"/>
    <w:rsid w:val="00BD0D60"/>
    <w:rsid w:val="00BD1B51"/>
    <w:rsid w:val="00BD2B33"/>
    <w:rsid w:val="00BD3F1F"/>
    <w:rsid w:val="00BD4596"/>
    <w:rsid w:val="00BD55ED"/>
    <w:rsid w:val="00BD678F"/>
    <w:rsid w:val="00BE0DA5"/>
    <w:rsid w:val="00BE0E4C"/>
    <w:rsid w:val="00BE1405"/>
    <w:rsid w:val="00BE312D"/>
    <w:rsid w:val="00BE37EE"/>
    <w:rsid w:val="00BF1C20"/>
    <w:rsid w:val="00BF3755"/>
    <w:rsid w:val="00BF5E43"/>
    <w:rsid w:val="00BF6DB1"/>
    <w:rsid w:val="00C00231"/>
    <w:rsid w:val="00C02BBB"/>
    <w:rsid w:val="00C02C0E"/>
    <w:rsid w:val="00C046C5"/>
    <w:rsid w:val="00C06B1D"/>
    <w:rsid w:val="00C0711C"/>
    <w:rsid w:val="00C10578"/>
    <w:rsid w:val="00C1060B"/>
    <w:rsid w:val="00C13164"/>
    <w:rsid w:val="00C1324A"/>
    <w:rsid w:val="00C135BC"/>
    <w:rsid w:val="00C14DD7"/>
    <w:rsid w:val="00C15C95"/>
    <w:rsid w:val="00C20248"/>
    <w:rsid w:val="00C20DE5"/>
    <w:rsid w:val="00C22069"/>
    <w:rsid w:val="00C22496"/>
    <w:rsid w:val="00C22B95"/>
    <w:rsid w:val="00C22D12"/>
    <w:rsid w:val="00C2398D"/>
    <w:rsid w:val="00C23C8F"/>
    <w:rsid w:val="00C24FFA"/>
    <w:rsid w:val="00C25198"/>
    <w:rsid w:val="00C256C5"/>
    <w:rsid w:val="00C256EF"/>
    <w:rsid w:val="00C2596A"/>
    <w:rsid w:val="00C25FB4"/>
    <w:rsid w:val="00C26D7C"/>
    <w:rsid w:val="00C273DB"/>
    <w:rsid w:val="00C27537"/>
    <w:rsid w:val="00C3083C"/>
    <w:rsid w:val="00C328FE"/>
    <w:rsid w:val="00C33507"/>
    <w:rsid w:val="00C3381E"/>
    <w:rsid w:val="00C33E4D"/>
    <w:rsid w:val="00C4117A"/>
    <w:rsid w:val="00C434CE"/>
    <w:rsid w:val="00C4409D"/>
    <w:rsid w:val="00C44A46"/>
    <w:rsid w:val="00C44E72"/>
    <w:rsid w:val="00C456FA"/>
    <w:rsid w:val="00C45A06"/>
    <w:rsid w:val="00C45AE1"/>
    <w:rsid w:val="00C477E1"/>
    <w:rsid w:val="00C47E5B"/>
    <w:rsid w:val="00C51AED"/>
    <w:rsid w:val="00C53235"/>
    <w:rsid w:val="00C55033"/>
    <w:rsid w:val="00C578FE"/>
    <w:rsid w:val="00C61E4B"/>
    <w:rsid w:val="00C6294C"/>
    <w:rsid w:val="00C63F2B"/>
    <w:rsid w:val="00C64241"/>
    <w:rsid w:val="00C64BFF"/>
    <w:rsid w:val="00C65F72"/>
    <w:rsid w:val="00C67E3D"/>
    <w:rsid w:val="00C704E9"/>
    <w:rsid w:val="00C7120F"/>
    <w:rsid w:val="00C72994"/>
    <w:rsid w:val="00C73B9D"/>
    <w:rsid w:val="00C73D38"/>
    <w:rsid w:val="00C757A8"/>
    <w:rsid w:val="00C763C9"/>
    <w:rsid w:val="00C76CF6"/>
    <w:rsid w:val="00C80057"/>
    <w:rsid w:val="00C80CE1"/>
    <w:rsid w:val="00C81C9D"/>
    <w:rsid w:val="00C81F21"/>
    <w:rsid w:val="00C82232"/>
    <w:rsid w:val="00C82913"/>
    <w:rsid w:val="00C84115"/>
    <w:rsid w:val="00C841CA"/>
    <w:rsid w:val="00C852DC"/>
    <w:rsid w:val="00C862C2"/>
    <w:rsid w:val="00C87517"/>
    <w:rsid w:val="00C911F1"/>
    <w:rsid w:val="00C92600"/>
    <w:rsid w:val="00C95DC3"/>
    <w:rsid w:val="00C972B1"/>
    <w:rsid w:val="00C9736F"/>
    <w:rsid w:val="00C97510"/>
    <w:rsid w:val="00CA0133"/>
    <w:rsid w:val="00CA05B6"/>
    <w:rsid w:val="00CA0F33"/>
    <w:rsid w:val="00CA1B8E"/>
    <w:rsid w:val="00CA1FC7"/>
    <w:rsid w:val="00CA2CCE"/>
    <w:rsid w:val="00CA3F55"/>
    <w:rsid w:val="00CA43FD"/>
    <w:rsid w:val="00CA6243"/>
    <w:rsid w:val="00CA7778"/>
    <w:rsid w:val="00CA79A4"/>
    <w:rsid w:val="00CA7B9E"/>
    <w:rsid w:val="00CA7EF8"/>
    <w:rsid w:val="00CA7FA8"/>
    <w:rsid w:val="00CB0596"/>
    <w:rsid w:val="00CB1559"/>
    <w:rsid w:val="00CB2D79"/>
    <w:rsid w:val="00CB4586"/>
    <w:rsid w:val="00CB5584"/>
    <w:rsid w:val="00CB5A10"/>
    <w:rsid w:val="00CB5C2B"/>
    <w:rsid w:val="00CB733F"/>
    <w:rsid w:val="00CC03A5"/>
    <w:rsid w:val="00CC3F5A"/>
    <w:rsid w:val="00CC4480"/>
    <w:rsid w:val="00CC45C9"/>
    <w:rsid w:val="00CC489B"/>
    <w:rsid w:val="00CD1619"/>
    <w:rsid w:val="00CD2BCD"/>
    <w:rsid w:val="00CD39BD"/>
    <w:rsid w:val="00CD3A4C"/>
    <w:rsid w:val="00CD4E61"/>
    <w:rsid w:val="00CE0AD6"/>
    <w:rsid w:val="00CE10E9"/>
    <w:rsid w:val="00CE1B10"/>
    <w:rsid w:val="00CE2910"/>
    <w:rsid w:val="00CE3CF7"/>
    <w:rsid w:val="00CE512F"/>
    <w:rsid w:val="00CE5393"/>
    <w:rsid w:val="00CE5687"/>
    <w:rsid w:val="00CE771B"/>
    <w:rsid w:val="00CE7AE6"/>
    <w:rsid w:val="00CF0661"/>
    <w:rsid w:val="00CF06EE"/>
    <w:rsid w:val="00CF0FC5"/>
    <w:rsid w:val="00CF1A29"/>
    <w:rsid w:val="00CF2A4C"/>
    <w:rsid w:val="00CF348D"/>
    <w:rsid w:val="00CF36BE"/>
    <w:rsid w:val="00CF3778"/>
    <w:rsid w:val="00CF4890"/>
    <w:rsid w:val="00CF5A60"/>
    <w:rsid w:val="00CF6000"/>
    <w:rsid w:val="00CF6DF9"/>
    <w:rsid w:val="00CF79BF"/>
    <w:rsid w:val="00D002FC"/>
    <w:rsid w:val="00D003F3"/>
    <w:rsid w:val="00D0364F"/>
    <w:rsid w:val="00D04B95"/>
    <w:rsid w:val="00D05E12"/>
    <w:rsid w:val="00D06834"/>
    <w:rsid w:val="00D10B63"/>
    <w:rsid w:val="00D11295"/>
    <w:rsid w:val="00D15924"/>
    <w:rsid w:val="00D15E64"/>
    <w:rsid w:val="00D15EF4"/>
    <w:rsid w:val="00D169BE"/>
    <w:rsid w:val="00D21921"/>
    <w:rsid w:val="00D21985"/>
    <w:rsid w:val="00D24146"/>
    <w:rsid w:val="00D25F66"/>
    <w:rsid w:val="00D2666D"/>
    <w:rsid w:val="00D27B48"/>
    <w:rsid w:val="00D308ED"/>
    <w:rsid w:val="00D339C5"/>
    <w:rsid w:val="00D34E80"/>
    <w:rsid w:val="00D36D86"/>
    <w:rsid w:val="00D4099B"/>
    <w:rsid w:val="00D4196D"/>
    <w:rsid w:val="00D428AA"/>
    <w:rsid w:val="00D436F4"/>
    <w:rsid w:val="00D436FB"/>
    <w:rsid w:val="00D4455B"/>
    <w:rsid w:val="00D46937"/>
    <w:rsid w:val="00D470CB"/>
    <w:rsid w:val="00D50A34"/>
    <w:rsid w:val="00D5348C"/>
    <w:rsid w:val="00D53834"/>
    <w:rsid w:val="00D53EFA"/>
    <w:rsid w:val="00D54776"/>
    <w:rsid w:val="00D55EFD"/>
    <w:rsid w:val="00D5794E"/>
    <w:rsid w:val="00D600A4"/>
    <w:rsid w:val="00D627E5"/>
    <w:rsid w:val="00D6322A"/>
    <w:rsid w:val="00D6395A"/>
    <w:rsid w:val="00D63F1A"/>
    <w:rsid w:val="00D64900"/>
    <w:rsid w:val="00D655DA"/>
    <w:rsid w:val="00D67539"/>
    <w:rsid w:val="00D71BF8"/>
    <w:rsid w:val="00D72E93"/>
    <w:rsid w:val="00D76A08"/>
    <w:rsid w:val="00D76A1A"/>
    <w:rsid w:val="00D770C4"/>
    <w:rsid w:val="00D7796D"/>
    <w:rsid w:val="00D8390C"/>
    <w:rsid w:val="00D83C65"/>
    <w:rsid w:val="00D85639"/>
    <w:rsid w:val="00D85BD3"/>
    <w:rsid w:val="00D86701"/>
    <w:rsid w:val="00D9015B"/>
    <w:rsid w:val="00D924F3"/>
    <w:rsid w:val="00D92A3F"/>
    <w:rsid w:val="00D9320D"/>
    <w:rsid w:val="00D935CE"/>
    <w:rsid w:val="00D9392E"/>
    <w:rsid w:val="00D94A7C"/>
    <w:rsid w:val="00D95896"/>
    <w:rsid w:val="00D977D5"/>
    <w:rsid w:val="00D97E8C"/>
    <w:rsid w:val="00DA1143"/>
    <w:rsid w:val="00DA3DCA"/>
    <w:rsid w:val="00DA407F"/>
    <w:rsid w:val="00DB2983"/>
    <w:rsid w:val="00DB3092"/>
    <w:rsid w:val="00DB3228"/>
    <w:rsid w:val="00DB5611"/>
    <w:rsid w:val="00DB73BD"/>
    <w:rsid w:val="00DC0A25"/>
    <w:rsid w:val="00DC1257"/>
    <w:rsid w:val="00DC3D01"/>
    <w:rsid w:val="00DC3DC0"/>
    <w:rsid w:val="00DC448F"/>
    <w:rsid w:val="00DC5B2B"/>
    <w:rsid w:val="00DC72C0"/>
    <w:rsid w:val="00DD164A"/>
    <w:rsid w:val="00DD318D"/>
    <w:rsid w:val="00DE42C1"/>
    <w:rsid w:val="00DE58B2"/>
    <w:rsid w:val="00DE598B"/>
    <w:rsid w:val="00DE5D21"/>
    <w:rsid w:val="00DE6D96"/>
    <w:rsid w:val="00DF15AE"/>
    <w:rsid w:val="00DF18A8"/>
    <w:rsid w:val="00DF2826"/>
    <w:rsid w:val="00DF2E12"/>
    <w:rsid w:val="00DF4972"/>
    <w:rsid w:val="00DF514A"/>
    <w:rsid w:val="00DF6690"/>
    <w:rsid w:val="00DF6804"/>
    <w:rsid w:val="00E003DF"/>
    <w:rsid w:val="00E0358D"/>
    <w:rsid w:val="00E04323"/>
    <w:rsid w:val="00E05C88"/>
    <w:rsid w:val="00E070A2"/>
    <w:rsid w:val="00E072F8"/>
    <w:rsid w:val="00E0763B"/>
    <w:rsid w:val="00E076FA"/>
    <w:rsid w:val="00E10F3D"/>
    <w:rsid w:val="00E11DE4"/>
    <w:rsid w:val="00E11E45"/>
    <w:rsid w:val="00E13F56"/>
    <w:rsid w:val="00E14143"/>
    <w:rsid w:val="00E14FCF"/>
    <w:rsid w:val="00E15EB5"/>
    <w:rsid w:val="00E16072"/>
    <w:rsid w:val="00E16D34"/>
    <w:rsid w:val="00E2134A"/>
    <w:rsid w:val="00E2189A"/>
    <w:rsid w:val="00E2498D"/>
    <w:rsid w:val="00E2519E"/>
    <w:rsid w:val="00E25C34"/>
    <w:rsid w:val="00E25F97"/>
    <w:rsid w:val="00E26078"/>
    <w:rsid w:val="00E2656A"/>
    <w:rsid w:val="00E27084"/>
    <w:rsid w:val="00E332C6"/>
    <w:rsid w:val="00E343CD"/>
    <w:rsid w:val="00E347BA"/>
    <w:rsid w:val="00E3660A"/>
    <w:rsid w:val="00E37A1A"/>
    <w:rsid w:val="00E412D0"/>
    <w:rsid w:val="00E45468"/>
    <w:rsid w:val="00E4666D"/>
    <w:rsid w:val="00E46BEA"/>
    <w:rsid w:val="00E47F9E"/>
    <w:rsid w:val="00E47FA3"/>
    <w:rsid w:val="00E516D5"/>
    <w:rsid w:val="00E52971"/>
    <w:rsid w:val="00E55173"/>
    <w:rsid w:val="00E553AA"/>
    <w:rsid w:val="00E56322"/>
    <w:rsid w:val="00E56EA5"/>
    <w:rsid w:val="00E60982"/>
    <w:rsid w:val="00E62C62"/>
    <w:rsid w:val="00E649A3"/>
    <w:rsid w:val="00E654C1"/>
    <w:rsid w:val="00E65BF8"/>
    <w:rsid w:val="00E65D97"/>
    <w:rsid w:val="00E66F5B"/>
    <w:rsid w:val="00E67EAF"/>
    <w:rsid w:val="00E705E9"/>
    <w:rsid w:val="00E7088C"/>
    <w:rsid w:val="00E72012"/>
    <w:rsid w:val="00E72A5A"/>
    <w:rsid w:val="00E73354"/>
    <w:rsid w:val="00E76D48"/>
    <w:rsid w:val="00E83B42"/>
    <w:rsid w:val="00E85352"/>
    <w:rsid w:val="00E85A4D"/>
    <w:rsid w:val="00E868B8"/>
    <w:rsid w:val="00E87A70"/>
    <w:rsid w:val="00E9242D"/>
    <w:rsid w:val="00E94F9E"/>
    <w:rsid w:val="00E954BA"/>
    <w:rsid w:val="00E96563"/>
    <w:rsid w:val="00E96573"/>
    <w:rsid w:val="00E96DBB"/>
    <w:rsid w:val="00EA2154"/>
    <w:rsid w:val="00EA3240"/>
    <w:rsid w:val="00EA4457"/>
    <w:rsid w:val="00EA615E"/>
    <w:rsid w:val="00EB0227"/>
    <w:rsid w:val="00EB1739"/>
    <w:rsid w:val="00EB1A54"/>
    <w:rsid w:val="00EB1A93"/>
    <w:rsid w:val="00EB5255"/>
    <w:rsid w:val="00EB552C"/>
    <w:rsid w:val="00EB565B"/>
    <w:rsid w:val="00EB570E"/>
    <w:rsid w:val="00EB5C47"/>
    <w:rsid w:val="00EB726D"/>
    <w:rsid w:val="00EC181D"/>
    <w:rsid w:val="00EC1B02"/>
    <w:rsid w:val="00EC40BB"/>
    <w:rsid w:val="00EC645D"/>
    <w:rsid w:val="00EC69C1"/>
    <w:rsid w:val="00EC6EEA"/>
    <w:rsid w:val="00EC7B5E"/>
    <w:rsid w:val="00EC7D6F"/>
    <w:rsid w:val="00ED0639"/>
    <w:rsid w:val="00ED08C0"/>
    <w:rsid w:val="00ED116F"/>
    <w:rsid w:val="00ED1E7B"/>
    <w:rsid w:val="00ED3504"/>
    <w:rsid w:val="00ED6609"/>
    <w:rsid w:val="00EE24A3"/>
    <w:rsid w:val="00EE3A7B"/>
    <w:rsid w:val="00EE4536"/>
    <w:rsid w:val="00EE4916"/>
    <w:rsid w:val="00EE52B0"/>
    <w:rsid w:val="00EE6C07"/>
    <w:rsid w:val="00EF1331"/>
    <w:rsid w:val="00EF1B2E"/>
    <w:rsid w:val="00EF4033"/>
    <w:rsid w:val="00EF4061"/>
    <w:rsid w:val="00EF442B"/>
    <w:rsid w:val="00EF4755"/>
    <w:rsid w:val="00EF5E5A"/>
    <w:rsid w:val="00EF63B1"/>
    <w:rsid w:val="00EF65AE"/>
    <w:rsid w:val="00EF6AC3"/>
    <w:rsid w:val="00EF7135"/>
    <w:rsid w:val="00EF79AF"/>
    <w:rsid w:val="00F027DB"/>
    <w:rsid w:val="00F03444"/>
    <w:rsid w:val="00F0572A"/>
    <w:rsid w:val="00F06242"/>
    <w:rsid w:val="00F06EC5"/>
    <w:rsid w:val="00F070A4"/>
    <w:rsid w:val="00F07F64"/>
    <w:rsid w:val="00F11578"/>
    <w:rsid w:val="00F12D74"/>
    <w:rsid w:val="00F13ABE"/>
    <w:rsid w:val="00F1445E"/>
    <w:rsid w:val="00F14793"/>
    <w:rsid w:val="00F14A7A"/>
    <w:rsid w:val="00F211EF"/>
    <w:rsid w:val="00F21EA1"/>
    <w:rsid w:val="00F22985"/>
    <w:rsid w:val="00F2618D"/>
    <w:rsid w:val="00F264D8"/>
    <w:rsid w:val="00F268BA"/>
    <w:rsid w:val="00F307BC"/>
    <w:rsid w:val="00F337DE"/>
    <w:rsid w:val="00F3383E"/>
    <w:rsid w:val="00F3640B"/>
    <w:rsid w:val="00F36E0C"/>
    <w:rsid w:val="00F42FD7"/>
    <w:rsid w:val="00F44947"/>
    <w:rsid w:val="00F45B64"/>
    <w:rsid w:val="00F465A7"/>
    <w:rsid w:val="00F4696C"/>
    <w:rsid w:val="00F47521"/>
    <w:rsid w:val="00F47654"/>
    <w:rsid w:val="00F50B7C"/>
    <w:rsid w:val="00F52554"/>
    <w:rsid w:val="00F5354A"/>
    <w:rsid w:val="00F53FE5"/>
    <w:rsid w:val="00F54AA6"/>
    <w:rsid w:val="00F550E6"/>
    <w:rsid w:val="00F555C3"/>
    <w:rsid w:val="00F558EC"/>
    <w:rsid w:val="00F5796F"/>
    <w:rsid w:val="00F62285"/>
    <w:rsid w:val="00F626DC"/>
    <w:rsid w:val="00F6613F"/>
    <w:rsid w:val="00F66C19"/>
    <w:rsid w:val="00F71AA9"/>
    <w:rsid w:val="00F71D59"/>
    <w:rsid w:val="00F74199"/>
    <w:rsid w:val="00F74345"/>
    <w:rsid w:val="00F75DCD"/>
    <w:rsid w:val="00F75EAD"/>
    <w:rsid w:val="00F775B3"/>
    <w:rsid w:val="00F8021F"/>
    <w:rsid w:val="00F807BD"/>
    <w:rsid w:val="00F80A0A"/>
    <w:rsid w:val="00F8268A"/>
    <w:rsid w:val="00F82B19"/>
    <w:rsid w:val="00F8323D"/>
    <w:rsid w:val="00F84DC0"/>
    <w:rsid w:val="00F9212D"/>
    <w:rsid w:val="00F92252"/>
    <w:rsid w:val="00F92BB7"/>
    <w:rsid w:val="00F94691"/>
    <w:rsid w:val="00F94C32"/>
    <w:rsid w:val="00F95522"/>
    <w:rsid w:val="00F965DA"/>
    <w:rsid w:val="00F97666"/>
    <w:rsid w:val="00FA0100"/>
    <w:rsid w:val="00FA3861"/>
    <w:rsid w:val="00FA406A"/>
    <w:rsid w:val="00FA44E7"/>
    <w:rsid w:val="00FA544D"/>
    <w:rsid w:val="00FA5E20"/>
    <w:rsid w:val="00FA7027"/>
    <w:rsid w:val="00FB0247"/>
    <w:rsid w:val="00FB27BC"/>
    <w:rsid w:val="00FB31EF"/>
    <w:rsid w:val="00FB49DA"/>
    <w:rsid w:val="00FB503A"/>
    <w:rsid w:val="00FB516C"/>
    <w:rsid w:val="00FB5416"/>
    <w:rsid w:val="00FB5979"/>
    <w:rsid w:val="00FB68ED"/>
    <w:rsid w:val="00FC0A2D"/>
    <w:rsid w:val="00FC1C44"/>
    <w:rsid w:val="00FC1EF6"/>
    <w:rsid w:val="00FC4667"/>
    <w:rsid w:val="00FC5FA1"/>
    <w:rsid w:val="00FC75BA"/>
    <w:rsid w:val="00FD0236"/>
    <w:rsid w:val="00FD18F4"/>
    <w:rsid w:val="00FD1DDB"/>
    <w:rsid w:val="00FD22C9"/>
    <w:rsid w:val="00FD25EA"/>
    <w:rsid w:val="00FD28F0"/>
    <w:rsid w:val="00FD4866"/>
    <w:rsid w:val="00FD54DB"/>
    <w:rsid w:val="00FD619F"/>
    <w:rsid w:val="00FD7398"/>
    <w:rsid w:val="00FD73F5"/>
    <w:rsid w:val="00FD7E2C"/>
    <w:rsid w:val="00FE19B7"/>
    <w:rsid w:val="00FE1A08"/>
    <w:rsid w:val="00FE2C4B"/>
    <w:rsid w:val="00FE2CB5"/>
    <w:rsid w:val="00FE3D3F"/>
    <w:rsid w:val="00FF0BBD"/>
    <w:rsid w:val="00FF0E03"/>
    <w:rsid w:val="00FF1AB6"/>
    <w:rsid w:val="00FF62CF"/>
    <w:rsid w:val="00FF6796"/>
    <w:rsid w:val="00FF730F"/>
    <w:rsid w:val="00FF7727"/>
    <w:rsid w:val="01013396"/>
    <w:rsid w:val="01136E98"/>
    <w:rsid w:val="011709B1"/>
    <w:rsid w:val="01177A17"/>
    <w:rsid w:val="011D612E"/>
    <w:rsid w:val="01227556"/>
    <w:rsid w:val="01290F7E"/>
    <w:rsid w:val="012A1BC3"/>
    <w:rsid w:val="012A2CBE"/>
    <w:rsid w:val="013372B4"/>
    <w:rsid w:val="01384357"/>
    <w:rsid w:val="013E4434"/>
    <w:rsid w:val="01433D2E"/>
    <w:rsid w:val="014432D1"/>
    <w:rsid w:val="014A102B"/>
    <w:rsid w:val="014F2711"/>
    <w:rsid w:val="0150055D"/>
    <w:rsid w:val="01514C3D"/>
    <w:rsid w:val="01550DCD"/>
    <w:rsid w:val="015D1E09"/>
    <w:rsid w:val="01681B30"/>
    <w:rsid w:val="016C3AEE"/>
    <w:rsid w:val="016E3EB9"/>
    <w:rsid w:val="01730582"/>
    <w:rsid w:val="017E2A82"/>
    <w:rsid w:val="01842839"/>
    <w:rsid w:val="01855691"/>
    <w:rsid w:val="018648B1"/>
    <w:rsid w:val="0187363C"/>
    <w:rsid w:val="0188674F"/>
    <w:rsid w:val="018E051B"/>
    <w:rsid w:val="01910DE7"/>
    <w:rsid w:val="01943210"/>
    <w:rsid w:val="019454BF"/>
    <w:rsid w:val="019A1364"/>
    <w:rsid w:val="019B189E"/>
    <w:rsid w:val="01A2719B"/>
    <w:rsid w:val="01AC245E"/>
    <w:rsid w:val="01AE68CE"/>
    <w:rsid w:val="01BB433D"/>
    <w:rsid w:val="01BC1F06"/>
    <w:rsid w:val="01C02096"/>
    <w:rsid w:val="01C2440B"/>
    <w:rsid w:val="01C57AF0"/>
    <w:rsid w:val="01CA77E2"/>
    <w:rsid w:val="01CD4D28"/>
    <w:rsid w:val="01D10B24"/>
    <w:rsid w:val="01D71B4E"/>
    <w:rsid w:val="01D866AD"/>
    <w:rsid w:val="01D972AA"/>
    <w:rsid w:val="01DF4D6A"/>
    <w:rsid w:val="01E1103D"/>
    <w:rsid w:val="01E34A21"/>
    <w:rsid w:val="01EA32C2"/>
    <w:rsid w:val="01F476B0"/>
    <w:rsid w:val="01F76B85"/>
    <w:rsid w:val="01FE4410"/>
    <w:rsid w:val="020451D2"/>
    <w:rsid w:val="020C4532"/>
    <w:rsid w:val="02145195"/>
    <w:rsid w:val="02185ED1"/>
    <w:rsid w:val="02186E23"/>
    <w:rsid w:val="02195ECB"/>
    <w:rsid w:val="021C39C0"/>
    <w:rsid w:val="021C4738"/>
    <w:rsid w:val="022006A5"/>
    <w:rsid w:val="02227095"/>
    <w:rsid w:val="02227A87"/>
    <w:rsid w:val="02274BF5"/>
    <w:rsid w:val="022808CE"/>
    <w:rsid w:val="0228462C"/>
    <w:rsid w:val="022D3EB0"/>
    <w:rsid w:val="02372105"/>
    <w:rsid w:val="02383E31"/>
    <w:rsid w:val="02451DD7"/>
    <w:rsid w:val="024C6FC3"/>
    <w:rsid w:val="024D00FA"/>
    <w:rsid w:val="024E3C17"/>
    <w:rsid w:val="02513F2E"/>
    <w:rsid w:val="02550684"/>
    <w:rsid w:val="02580A43"/>
    <w:rsid w:val="0258151A"/>
    <w:rsid w:val="025B0442"/>
    <w:rsid w:val="02640CAD"/>
    <w:rsid w:val="02646199"/>
    <w:rsid w:val="02650334"/>
    <w:rsid w:val="02661B0E"/>
    <w:rsid w:val="02697903"/>
    <w:rsid w:val="026A7197"/>
    <w:rsid w:val="026D5506"/>
    <w:rsid w:val="026F4AAE"/>
    <w:rsid w:val="0270360B"/>
    <w:rsid w:val="02716DCA"/>
    <w:rsid w:val="02722CAC"/>
    <w:rsid w:val="02735344"/>
    <w:rsid w:val="02743AC8"/>
    <w:rsid w:val="027520D7"/>
    <w:rsid w:val="02764246"/>
    <w:rsid w:val="0284231A"/>
    <w:rsid w:val="02860BCB"/>
    <w:rsid w:val="02900380"/>
    <w:rsid w:val="029345B1"/>
    <w:rsid w:val="029F5DBE"/>
    <w:rsid w:val="02A671D8"/>
    <w:rsid w:val="02AA1A8A"/>
    <w:rsid w:val="02AD7AF0"/>
    <w:rsid w:val="02B30FCF"/>
    <w:rsid w:val="02B43A3F"/>
    <w:rsid w:val="02B452F0"/>
    <w:rsid w:val="02BF1EA7"/>
    <w:rsid w:val="02C62933"/>
    <w:rsid w:val="02CD1899"/>
    <w:rsid w:val="02D25FE4"/>
    <w:rsid w:val="02D36DFE"/>
    <w:rsid w:val="02D374B2"/>
    <w:rsid w:val="02D4764A"/>
    <w:rsid w:val="02DF17B7"/>
    <w:rsid w:val="02E02F52"/>
    <w:rsid w:val="02E06FB5"/>
    <w:rsid w:val="02E12EA8"/>
    <w:rsid w:val="02E67BA1"/>
    <w:rsid w:val="02EA6AA5"/>
    <w:rsid w:val="02EB4F32"/>
    <w:rsid w:val="02EC4DDC"/>
    <w:rsid w:val="02EE0DF9"/>
    <w:rsid w:val="02F3498E"/>
    <w:rsid w:val="02F7542C"/>
    <w:rsid w:val="02F84A16"/>
    <w:rsid w:val="02F96569"/>
    <w:rsid w:val="02FD146E"/>
    <w:rsid w:val="02FE7E66"/>
    <w:rsid w:val="03020C32"/>
    <w:rsid w:val="030301DD"/>
    <w:rsid w:val="03065668"/>
    <w:rsid w:val="03077B17"/>
    <w:rsid w:val="030807FE"/>
    <w:rsid w:val="030975F5"/>
    <w:rsid w:val="031236F6"/>
    <w:rsid w:val="031A129A"/>
    <w:rsid w:val="031E1747"/>
    <w:rsid w:val="03201A90"/>
    <w:rsid w:val="03231B33"/>
    <w:rsid w:val="03242A5C"/>
    <w:rsid w:val="0326672B"/>
    <w:rsid w:val="032B75CF"/>
    <w:rsid w:val="032C52D8"/>
    <w:rsid w:val="033051DF"/>
    <w:rsid w:val="03305436"/>
    <w:rsid w:val="03394EB3"/>
    <w:rsid w:val="03447292"/>
    <w:rsid w:val="03474618"/>
    <w:rsid w:val="034F52C0"/>
    <w:rsid w:val="03554196"/>
    <w:rsid w:val="03566FEC"/>
    <w:rsid w:val="03567637"/>
    <w:rsid w:val="035C1ACC"/>
    <w:rsid w:val="035D44C3"/>
    <w:rsid w:val="035F21B1"/>
    <w:rsid w:val="03623656"/>
    <w:rsid w:val="03634626"/>
    <w:rsid w:val="03670FC0"/>
    <w:rsid w:val="0367220A"/>
    <w:rsid w:val="03683E93"/>
    <w:rsid w:val="036D28B4"/>
    <w:rsid w:val="03722B19"/>
    <w:rsid w:val="03731F62"/>
    <w:rsid w:val="03766DE4"/>
    <w:rsid w:val="037714E9"/>
    <w:rsid w:val="03771E7F"/>
    <w:rsid w:val="03884644"/>
    <w:rsid w:val="038D1304"/>
    <w:rsid w:val="039207E2"/>
    <w:rsid w:val="039669BE"/>
    <w:rsid w:val="03A12B18"/>
    <w:rsid w:val="03A62B48"/>
    <w:rsid w:val="03AB30D0"/>
    <w:rsid w:val="03AD5228"/>
    <w:rsid w:val="03AD6CE2"/>
    <w:rsid w:val="03B33522"/>
    <w:rsid w:val="03B45812"/>
    <w:rsid w:val="03B512A7"/>
    <w:rsid w:val="03B60543"/>
    <w:rsid w:val="03B70FA8"/>
    <w:rsid w:val="03BA7CDE"/>
    <w:rsid w:val="03C4724A"/>
    <w:rsid w:val="03C54999"/>
    <w:rsid w:val="03C640CF"/>
    <w:rsid w:val="03CE487C"/>
    <w:rsid w:val="03D41080"/>
    <w:rsid w:val="03D54243"/>
    <w:rsid w:val="03D712A1"/>
    <w:rsid w:val="03DC08E0"/>
    <w:rsid w:val="03DC0C70"/>
    <w:rsid w:val="03DC0DBF"/>
    <w:rsid w:val="03E4032C"/>
    <w:rsid w:val="03EA5524"/>
    <w:rsid w:val="03EA7B21"/>
    <w:rsid w:val="03ED6FA4"/>
    <w:rsid w:val="03EF2612"/>
    <w:rsid w:val="03F223EA"/>
    <w:rsid w:val="03F22B99"/>
    <w:rsid w:val="03F248A9"/>
    <w:rsid w:val="040227A5"/>
    <w:rsid w:val="04070813"/>
    <w:rsid w:val="040D7C57"/>
    <w:rsid w:val="040E48F1"/>
    <w:rsid w:val="04107BF8"/>
    <w:rsid w:val="04184DB3"/>
    <w:rsid w:val="042374F8"/>
    <w:rsid w:val="04292DE0"/>
    <w:rsid w:val="042B15B4"/>
    <w:rsid w:val="042C7070"/>
    <w:rsid w:val="0433224A"/>
    <w:rsid w:val="04423B6F"/>
    <w:rsid w:val="044466B9"/>
    <w:rsid w:val="044C4F46"/>
    <w:rsid w:val="04586544"/>
    <w:rsid w:val="046038FA"/>
    <w:rsid w:val="046042EA"/>
    <w:rsid w:val="04660E90"/>
    <w:rsid w:val="04670EAA"/>
    <w:rsid w:val="04684B52"/>
    <w:rsid w:val="046D13B3"/>
    <w:rsid w:val="046D6820"/>
    <w:rsid w:val="04713329"/>
    <w:rsid w:val="047C06A9"/>
    <w:rsid w:val="047D732D"/>
    <w:rsid w:val="04805479"/>
    <w:rsid w:val="048246C2"/>
    <w:rsid w:val="0485464E"/>
    <w:rsid w:val="04865248"/>
    <w:rsid w:val="04874259"/>
    <w:rsid w:val="048C36E4"/>
    <w:rsid w:val="04921307"/>
    <w:rsid w:val="049A0157"/>
    <w:rsid w:val="049E3C60"/>
    <w:rsid w:val="04A42BE0"/>
    <w:rsid w:val="04A53D4C"/>
    <w:rsid w:val="04A60D6C"/>
    <w:rsid w:val="04AE17CC"/>
    <w:rsid w:val="04AE7CAB"/>
    <w:rsid w:val="04AF1D34"/>
    <w:rsid w:val="04B21188"/>
    <w:rsid w:val="04B361D1"/>
    <w:rsid w:val="04B53DE4"/>
    <w:rsid w:val="04BB5274"/>
    <w:rsid w:val="04BE3F1E"/>
    <w:rsid w:val="04BE64F9"/>
    <w:rsid w:val="04C01E9F"/>
    <w:rsid w:val="04CB4033"/>
    <w:rsid w:val="04CD59C3"/>
    <w:rsid w:val="04D2096B"/>
    <w:rsid w:val="04D2402E"/>
    <w:rsid w:val="04D242F9"/>
    <w:rsid w:val="04DA239D"/>
    <w:rsid w:val="04DA2FBE"/>
    <w:rsid w:val="04E65957"/>
    <w:rsid w:val="04E703F7"/>
    <w:rsid w:val="04EB6681"/>
    <w:rsid w:val="04F135DB"/>
    <w:rsid w:val="04F55E74"/>
    <w:rsid w:val="04FC15E3"/>
    <w:rsid w:val="04FC2C86"/>
    <w:rsid w:val="04FD7843"/>
    <w:rsid w:val="04FF037E"/>
    <w:rsid w:val="05011BD8"/>
    <w:rsid w:val="05017776"/>
    <w:rsid w:val="050735EE"/>
    <w:rsid w:val="0511357C"/>
    <w:rsid w:val="0519619B"/>
    <w:rsid w:val="051A0D14"/>
    <w:rsid w:val="052309DD"/>
    <w:rsid w:val="05235FD7"/>
    <w:rsid w:val="0527730A"/>
    <w:rsid w:val="052839B8"/>
    <w:rsid w:val="053079C4"/>
    <w:rsid w:val="05392773"/>
    <w:rsid w:val="053B270A"/>
    <w:rsid w:val="053B36B9"/>
    <w:rsid w:val="05415772"/>
    <w:rsid w:val="05445D91"/>
    <w:rsid w:val="0546694F"/>
    <w:rsid w:val="05487868"/>
    <w:rsid w:val="05487A70"/>
    <w:rsid w:val="054A53DB"/>
    <w:rsid w:val="05561A6C"/>
    <w:rsid w:val="05634F8A"/>
    <w:rsid w:val="05657F56"/>
    <w:rsid w:val="0567545A"/>
    <w:rsid w:val="057952D6"/>
    <w:rsid w:val="057B562E"/>
    <w:rsid w:val="057D4123"/>
    <w:rsid w:val="057F4278"/>
    <w:rsid w:val="057F6DC9"/>
    <w:rsid w:val="058250CD"/>
    <w:rsid w:val="05832D9D"/>
    <w:rsid w:val="05843AEB"/>
    <w:rsid w:val="058712C7"/>
    <w:rsid w:val="05874B27"/>
    <w:rsid w:val="05877042"/>
    <w:rsid w:val="05882E3D"/>
    <w:rsid w:val="058B3055"/>
    <w:rsid w:val="059551AA"/>
    <w:rsid w:val="059856FE"/>
    <w:rsid w:val="05A109FE"/>
    <w:rsid w:val="05A21170"/>
    <w:rsid w:val="05A25C7E"/>
    <w:rsid w:val="05A5203C"/>
    <w:rsid w:val="05A567C9"/>
    <w:rsid w:val="05A80A13"/>
    <w:rsid w:val="05A8313D"/>
    <w:rsid w:val="05AC4062"/>
    <w:rsid w:val="05B00408"/>
    <w:rsid w:val="05B25FA6"/>
    <w:rsid w:val="05B320D9"/>
    <w:rsid w:val="05BF12DB"/>
    <w:rsid w:val="05C06193"/>
    <w:rsid w:val="05C624EC"/>
    <w:rsid w:val="05CA5FA0"/>
    <w:rsid w:val="05D84AE2"/>
    <w:rsid w:val="05DD246D"/>
    <w:rsid w:val="05E337FC"/>
    <w:rsid w:val="05E93D73"/>
    <w:rsid w:val="05EC3C54"/>
    <w:rsid w:val="05EC6FD2"/>
    <w:rsid w:val="05F652DD"/>
    <w:rsid w:val="05F83EAE"/>
    <w:rsid w:val="05FF55BD"/>
    <w:rsid w:val="06003C64"/>
    <w:rsid w:val="06020809"/>
    <w:rsid w:val="06090831"/>
    <w:rsid w:val="060C2EAE"/>
    <w:rsid w:val="06121F2A"/>
    <w:rsid w:val="061332E7"/>
    <w:rsid w:val="061614DB"/>
    <w:rsid w:val="061F57BE"/>
    <w:rsid w:val="06214EBC"/>
    <w:rsid w:val="0623179D"/>
    <w:rsid w:val="06233921"/>
    <w:rsid w:val="062A7173"/>
    <w:rsid w:val="06345D7F"/>
    <w:rsid w:val="06375C91"/>
    <w:rsid w:val="06377341"/>
    <w:rsid w:val="063971DB"/>
    <w:rsid w:val="063B020C"/>
    <w:rsid w:val="063E17C3"/>
    <w:rsid w:val="063E7D85"/>
    <w:rsid w:val="06401698"/>
    <w:rsid w:val="06407D95"/>
    <w:rsid w:val="06455BEB"/>
    <w:rsid w:val="064C5817"/>
    <w:rsid w:val="064F1A22"/>
    <w:rsid w:val="065169B7"/>
    <w:rsid w:val="06530017"/>
    <w:rsid w:val="065A60BF"/>
    <w:rsid w:val="065F49BA"/>
    <w:rsid w:val="06611F8D"/>
    <w:rsid w:val="0669727D"/>
    <w:rsid w:val="067B55D8"/>
    <w:rsid w:val="067F6791"/>
    <w:rsid w:val="06813233"/>
    <w:rsid w:val="068517DD"/>
    <w:rsid w:val="0686066C"/>
    <w:rsid w:val="068772D4"/>
    <w:rsid w:val="06880A94"/>
    <w:rsid w:val="068C1AB0"/>
    <w:rsid w:val="06953C9F"/>
    <w:rsid w:val="069B51DD"/>
    <w:rsid w:val="069C35A0"/>
    <w:rsid w:val="069F3BC7"/>
    <w:rsid w:val="06A42F8B"/>
    <w:rsid w:val="06AF070D"/>
    <w:rsid w:val="06B91E1A"/>
    <w:rsid w:val="06BA27AF"/>
    <w:rsid w:val="06BA5C05"/>
    <w:rsid w:val="06BB404E"/>
    <w:rsid w:val="06C57774"/>
    <w:rsid w:val="06C64EA2"/>
    <w:rsid w:val="06C929F2"/>
    <w:rsid w:val="06CA37B9"/>
    <w:rsid w:val="06CB6B9D"/>
    <w:rsid w:val="06D014B3"/>
    <w:rsid w:val="06D07C00"/>
    <w:rsid w:val="06D25138"/>
    <w:rsid w:val="06D729CD"/>
    <w:rsid w:val="06DB6D6E"/>
    <w:rsid w:val="06DC78DF"/>
    <w:rsid w:val="06E15017"/>
    <w:rsid w:val="06E26335"/>
    <w:rsid w:val="06E601C8"/>
    <w:rsid w:val="06E92AC4"/>
    <w:rsid w:val="06F16AF4"/>
    <w:rsid w:val="06F4271B"/>
    <w:rsid w:val="06FA0DFD"/>
    <w:rsid w:val="06FB1609"/>
    <w:rsid w:val="07061F66"/>
    <w:rsid w:val="07080B13"/>
    <w:rsid w:val="07107BC6"/>
    <w:rsid w:val="07133368"/>
    <w:rsid w:val="071B25CA"/>
    <w:rsid w:val="07230354"/>
    <w:rsid w:val="07293586"/>
    <w:rsid w:val="07295285"/>
    <w:rsid w:val="072B545A"/>
    <w:rsid w:val="072D0B32"/>
    <w:rsid w:val="072D63F4"/>
    <w:rsid w:val="072D7853"/>
    <w:rsid w:val="07315DA8"/>
    <w:rsid w:val="073B0F31"/>
    <w:rsid w:val="073B1F70"/>
    <w:rsid w:val="073D3508"/>
    <w:rsid w:val="07423B3C"/>
    <w:rsid w:val="07445DCA"/>
    <w:rsid w:val="074472F4"/>
    <w:rsid w:val="074526C1"/>
    <w:rsid w:val="074905B0"/>
    <w:rsid w:val="074A6435"/>
    <w:rsid w:val="074B78AB"/>
    <w:rsid w:val="075679D7"/>
    <w:rsid w:val="0758433E"/>
    <w:rsid w:val="075C73F4"/>
    <w:rsid w:val="07627EDF"/>
    <w:rsid w:val="0763164E"/>
    <w:rsid w:val="07636392"/>
    <w:rsid w:val="076713BC"/>
    <w:rsid w:val="076B60EF"/>
    <w:rsid w:val="07711C08"/>
    <w:rsid w:val="07770C56"/>
    <w:rsid w:val="07773B00"/>
    <w:rsid w:val="0779781C"/>
    <w:rsid w:val="077A3448"/>
    <w:rsid w:val="077A38A1"/>
    <w:rsid w:val="077B40E4"/>
    <w:rsid w:val="077F2364"/>
    <w:rsid w:val="078607CE"/>
    <w:rsid w:val="07866D9D"/>
    <w:rsid w:val="0796722D"/>
    <w:rsid w:val="0799303C"/>
    <w:rsid w:val="079E37BD"/>
    <w:rsid w:val="07A12B12"/>
    <w:rsid w:val="07A20B3C"/>
    <w:rsid w:val="07A44131"/>
    <w:rsid w:val="07A85C55"/>
    <w:rsid w:val="07AB1830"/>
    <w:rsid w:val="07B9418C"/>
    <w:rsid w:val="07BD36DA"/>
    <w:rsid w:val="07BF0BB7"/>
    <w:rsid w:val="07CC09EB"/>
    <w:rsid w:val="07D40E21"/>
    <w:rsid w:val="07D96C64"/>
    <w:rsid w:val="07DD49A7"/>
    <w:rsid w:val="07E05CD7"/>
    <w:rsid w:val="07E732C7"/>
    <w:rsid w:val="07E80A55"/>
    <w:rsid w:val="07EC2E3C"/>
    <w:rsid w:val="07F775C8"/>
    <w:rsid w:val="07F935DC"/>
    <w:rsid w:val="080B1D94"/>
    <w:rsid w:val="08177B96"/>
    <w:rsid w:val="08197469"/>
    <w:rsid w:val="081D7ED0"/>
    <w:rsid w:val="081E4B17"/>
    <w:rsid w:val="081F3079"/>
    <w:rsid w:val="08206641"/>
    <w:rsid w:val="08216F94"/>
    <w:rsid w:val="082425D6"/>
    <w:rsid w:val="082C64AD"/>
    <w:rsid w:val="082C65BB"/>
    <w:rsid w:val="082E79A9"/>
    <w:rsid w:val="08345967"/>
    <w:rsid w:val="083B4285"/>
    <w:rsid w:val="083C7B78"/>
    <w:rsid w:val="084301F3"/>
    <w:rsid w:val="08437AAB"/>
    <w:rsid w:val="084D6DE8"/>
    <w:rsid w:val="08513A4A"/>
    <w:rsid w:val="08562D55"/>
    <w:rsid w:val="085A5FF7"/>
    <w:rsid w:val="08647286"/>
    <w:rsid w:val="08674583"/>
    <w:rsid w:val="08696A82"/>
    <w:rsid w:val="086B5F8B"/>
    <w:rsid w:val="086D43FF"/>
    <w:rsid w:val="086F5594"/>
    <w:rsid w:val="08700AD2"/>
    <w:rsid w:val="0870356A"/>
    <w:rsid w:val="08712E62"/>
    <w:rsid w:val="08726BAB"/>
    <w:rsid w:val="087742A2"/>
    <w:rsid w:val="08781935"/>
    <w:rsid w:val="08787943"/>
    <w:rsid w:val="087E69F3"/>
    <w:rsid w:val="08877A8F"/>
    <w:rsid w:val="08892F7C"/>
    <w:rsid w:val="088944EE"/>
    <w:rsid w:val="088C3CD7"/>
    <w:rsid w:val="088D1D0C"/>
    <w:rsid w:val="08932257"/>
    <w:rsid w:val="089520DF"/>
    <w:rsid w:val="089952E1"/>
    <w:rsid w:val="089A414F"/>
    <w:rsid w:val="089C0A55"/>
    <w:rsid w:val="089F1C5C"/>
    <w:rsid w:val="08A4332D"/>
    <w:rsid w:val="08AE3800"/>
    <w:rsid w:val="08B50FFC"/>
    <w:rsid w:val="08BB16D3"/>
    <w:rsid w:val="08BD5C39"/>
    <w:rsid w:val="08C07850"/>
    <w:rsid w:val="08C20A64"/>
    <w:rsid w:val="08C93885"/>
    <w:rsid w:val="08CB52FC"/>
    <w:rsid w:val="08CC029F"/>
    <w:rsid w:val="08CC0577"/>
    <w:rsid w:val="08CC4C66"/>
    <w:rsid w:val="08D13CBD"/>
    <w:rsid w:val="08D36DB1"/>
    <w:rsid w:val="08D84047"/>
    <w:rsid w:val="08DA1717"/>
    <w:rsid w:val="08F14F77"/>
    <w:rsid w:val="08FE60B1"/>
    <w:rsid w:val="09022C23"/>
    <w:rsid w:val="090F5C28"/>
    <w:rsid w:val="091149CD"/>
    <w:rsid w:val="09152775"/>
    <w:rsid w:val="09155089"/>
    <w:rsid w:val="09157EED"/>
    <w:rsid w:val="091A56D4"/>
    <w:rsid w:val="091D782B"/>
    <w:rsid w:val="091E2F4A"/>
    <w:rsid w:val="091F08D3"/>
    <w:rsid w:val="09216B4A"/>
    <w:rsid w:val="092217DD"/>
    <w:rsid w:val="092A2F3D"/>
    <w:rsid w:val="09362C28"/>
    <w:rsid w:val="093746C3"/>
    <w:rsid w:val="0938557A"/>
    <w:rsid w:val="093A7294"/>
    <w:rsid w:val="093F0D49"/>
    <w:rsid w:val="093F55AD"/>
    <w:rsid w:val="09512A1D"/>
    <w:rsid w:val="095E4011"/>
    <w:rsid w:val="09632D04"/>
    <w:rsid w:val="0964167E"/>
    <w:rsid w:val="0968157F"/>
    <w:rsid w:val="09694018"/>
    <w:rsid w:val="097304B0"/>
    <w:rsid w:val="09785C86"/>
    <w:rsid w:val="0981076D"/>
    <w:rsid w:val="09866BB3"/>
    <w:rsid w:val="098C3F0D"/>
    <w:rsid w:val="09905B06"/>
    <w:rsid w:val="0991777C"/>
    <w:rsid w:val="09956D51"/>
    <w:rsid w:val="099F7EE8"/>
    <w:rsid w:val="09A33653"/>
    <w:rsid w:val="09B14EAE"/>
    <w:rsid w:val="09B326D5"/>
    <w:rsid w:val="09B81B22"/>
    <w:rsid w:val="09BC4873"/>
    <w:rsid w:val="09BE2367"/>
    <w:rsid w:val="09C10285"/>
    <w:rsid w:val="09CA1DC8"/>
    <w:rsid w:val="09CD0A06"/>
    <w:rsid w:val="09D12896"/>
    <w:rsid w:val="09D3275F"/>
    <w:rsid w:val="09D87E04"/>
    <w:rsid w:val="09E52DD6"/>
    <w:rsid w:val="09E81589"/>
    <w:rsid w:val="09EB0ED1"/>
    <w:rsid w:val="09F86F68"/>
    <w:rsid w:val="09FD621D"/>
    <w:rsid w:val="0A005E4C"/>
    <w:rsid w:val="0A014D0E"/>
    <w:rsid w:val="0A043977"/>
    <w:rsid w:val="0A04459D"/>
    <w:rsid w:val="0A175094"/>
    <w:rsid w:val="0A1F0A4A"/>
    <w:rsid w:val="0A1F1706"/>
    <w:rsid w:val="0A2001BE"/>
    <w:rsid w:val="0A263993"/>
    <w:rsid w:val="0A272F91"/>
    <w:rsid w:val="0A2B4DF2"/>
    <w:rsid w:val="0A2D3AC2"/>
    <w:rsid w:val="0A2F2C93"/>
    <w:rsid w:val="0A331EC9"/>
    <w:rsid w:val="0A3B58C4"/>
    <w:rsid w:val="0A3C6EF7"/>
    <w:rsid w:val="0A3D4649"/>
    <w:rsid w:val="0A3F72CC"/>
    <w:rsid w:val="0A415923"/>
    <w:rsid w:val="0A460E73"/>
    <w:rsid w:val="0A480672"/>
    <w:rsid w:val="0A517BF6"/>
    <w:rsid w:val="0A5657F8"/>
    <w:rsid w:val="0A592545"/>
    <w:rsid w:val="0A5B30EA"/>
    <w:rsid w:val="0A5E596D"/>
    <w:rsid w:val="0A690774"/>
    <w:rsid w:val="0A6C0605"/>
    <w:rsid w:val="0A717B95"/>
    <w:rsid w:val="0A751F10"/>
    <w:rsid w:val="0A7C5115"/>
    <w:rsid w:val="0A836CE5"/>
    <w:rsid w:val="0A876AE8"/>
    <w:rsid w:val="0A8E2478"/>
    <w:rsid w:val="0A8E61A8"/>
    <w:rsid w:val="0A90134B"/>
    <w:rsid w:val="0A946AFD"/>
    <w:rsid w:val="0A960E3D"/>
    <w:rsid w:val="0A977A12"/>
    <w:rsid w:val="0A9C2E65"/>
    <w:rsid w:val="0AA219BC"/>
    <w:rsid w:val="0AA7129C"/>
    <w:rsid w:val="0AA755DF"/>
    <w:rsid w:val="0AA811BE"/>
    <w:rsid w:val="0AAA2FE6"/>
    <w:rsid w:val="0AAD6C85"/>
    <w:rsid w:val="0AB53DC6"/>
    <w:rsid w:val="0AB76A4A"/>
    <w:rsid w:val="0ABF2C7D"/>
    <w:rsid w:val="0AC24D55"/>
    <w:rsid w:val="0AC737AC"/>
    <w:rsid w:val="0ACD0D99"/>
    <w:rsid w:val="0AD629E4"/>
    <w:rsid w:val="0AE05CC8"/>
    <w:rsid w:val="0AE235A4"/>
    <w:rsid w:val="0AE73D26"/>
    <w:rsid w:val="0AE91151"/>
    <w:rsid w:val="0AEB4D6B"/>
    <w:rsid w:val="0AEB5112"/>
    <w:rsid w:val="0AEE5262"/>
    <w:rsid w:val="0AFD4B5B"/>
    <w:rsid w:val="0AFE2CFD"/>
    <w:rsid w:val="0B05393B"/>
    <w:rsid w:val="0B094887"/>
    <w:rsid w:val="0B095AB3"/>
    <w:rsid w:val="0B097861"/>
    <w:rsid w:val="0B0B7F7C"/>
    <w:rsid w:val="0B0D536E"/>
    <w:rsid w:val="0B120D44"/>
    <w:rsid w:val="0B1368D4"/>
    <w:rsid w:val="0B194E38"/>
    <w:rsid w:val="0B1A6A92"/>
    <w:rsid w:val="0B2023E1"/>
    <w:rsid w:val="0B222B18"/>
    <w:rsid w:val="0B2469A1"/>
    <w:rsid w:val="0B28014A"/>
    <w:rsid w:val="0B36418C"/>
    <w:rsid w:val="0B3E6BEC"/>
    <w:rsid w:val="0B3F4F66"/>
    <w:rsid w:val="0B482333"/>
    <w:rsid w:val="0B4F2FD9"/>
    <w:rsid w:val="0B533B9F"/>
    <w:rsid w:val="0B554854"/>
    <w:rsid w:val="0B5A04EE"/>
    <w:rsid w:val="0B5A12E2"/>
    <w:rsid w:val="0B5C6DA1"/>
    <w:rsid w:val="0B5C70A2"/>
    <w:rsid w:val="0B5F0351"/>
    <w:rsid w:val="0B610609"/>
    <w:rsid w:val="0B625196"/>
    <w:rsid w:val="0B73728A"/>
    <w:rsid w:val="0B7373D0"/>
    <w:rsid w:val="0B747169"/>
    <w:rsid w:val="0B772695"/>
    <w:rsid w:val="0B795031"/>
    <w:rsid w:val="0B7C44D7"/>
    <w:rsid w:val="0B7C4EFE"/>
    <w:rsid w:val="0B86750A"/>
    <w:rsid w:val="0B8D19BA"/>
    <w:rsid w:val="0B912919"/>
    <w:rsid w:val="0B9330A2"/>
    <w:rsid w:val="0BA143CF"/>
    <w:rsid w:val="0BA25328"/>
    <w:rsid w:val="0BA708E9"/>
    <w:rsid w:val="0BA81DC8"/>
    <w:rsid w:val="0BAA1044"/>
    <w:rsid w:val="0BAC60A0"/>
    <w:rsid w:val="0BAC78E9"/>
    <w:rsid w:val="0BB11DB1"/>
    <w:rsid w:val="0BB47357"/>
    <w:rsid w:val="0BB97AC8"/>
    <w:rsid w:val="0BC33F7B"/>
    <w:rsid w:val="0BC452B6"/>
    <w:rsid w:val="0BC60C29"/>
    <w:rsid w:val="0BCC6600"/>
    <w:rsid w:val="0BCF21E8"/>
    <w:rsid w:val="0BCF2262"/>
    <w:rsid w:val="0BD15160"/>
    <w:rsid w:val="0BD27BF6"/>
    <w:rsid w:val="0BD71CCF"/>
    <w:rsid w:val="0BD936D7"/>
    <w:rsid w:val="0BD940D8"/>
    <w:rsid w:val="0BDC6633"/>
    <w:rsid w:val="0BE45BD8"/>
    <w:rsid w:val="0BED3FA1"/>
    <w:rsid w:val="0BED5AAB"/>
    <w:rsid w:val="0BF050D8"/>
    <w:rsid w:val="0BF44783"/>
    <w:rsid w:val="0BF61121"/>
    <w:rsid w:val="0BF86301"/>
    <w:rsid w:val="0BFB5627"/>
    <w:rsid w:val="0C0544CC"/>
    <w:rsid w:val="0C0F0C41"/>
    <w:rsid w:val="0C143813"/>
    <w:rsid w:val="0C23301B"/>
    <w:rsid w:val="0C254854"/>
    <w:rsid w:val="0C2637C8"/>
    <w:rsid w:val="0C2932C9"/>
    <w:rsid w:val="0C2A7469"/>
    <w:rsid w:val="0C304A15"/>
    <w:rsid w:val="0C30595E"/>
    <w:rsid w:val="0C311312"/>
    <w:rsid w:val="0C350142"/>
    <w:rsid w:val="0C36178E"/>
    <w:rsid w:val="0C39641A"/>
    <w:rsid w:val="0C3B3C7D"/>
    <w:rsid w:val="0C3C32D7"/>
    <w:rsid w:val="0C3E2C7D"/>
    <w:rsid w:val="0C3E79DE"/>
    <w:rsid w:val="0C402010"/>
    <w:rsid w:val="0C433C66"/>
    <w:rsid w:val="0C443981"/>
    <w:rsid w:val="0C45497E"/>
    <w:rsid w:val="0C472A59"/>
    <w:rsid w:val="0C475EF7"/>
    <w:rsid w:val="0C477411"/>
    <w:rsid w:val="0C496354"/>
    <w:rsid w:val="0C4966FF"/>
    <w:rsid w:val="0C4F5747"/>
    <w:rsid w:val="0C5D118A"/>
    <w:rsid w:val="0C5D16FC"/>
    <w:rsid w:val="0C5D748D"/>
    <w:rsid w:val="0C637445"/>
    <w:rsid w:val="0C685366"/>
    <w:rsid w:val="0C6C4968"/>
    <w:rsid w:val="0C6F1517"/>
    <w:rsid w:val="0C72528F"/>
    <w:rsid w:val="0C7E75BA"/>
    <w:rsid w:val="0C822F81"/>
    <w:rsid w:val="0C903D00"/>
    <w:rsid w:val="0C936DBD"/>
    <w:rsid w:val="0CA05EF5"/>
    <w:rsid w:val="0CA536BE"/>
    <w:rsid w:val="0CA85443"/>
    <w:rsid w:val="0CA95866"/>
    <w:rsid w:val="0CAA6548"/>
    <w:rsid w:val="0CAB2EAE"/>
    <w:rsid w:val="0CB06F35"/>
    <w:rsid w:val="0CB2454C"/>
    <w:rsid w:val="0CB25599"/>
    <w:rsid w:val="0CBA6F42"/>
    <w:rsid w:val="0CBF2F57"/>
    <w:rsid w:val="0CC31F93"/>
    <w:rsid w:val="0CC82A4D"/>
    <w:rsid w:val="0CCE0D62"/>
    <w:rsid w:val="0CD14A5D"/>
    <w:rsid w:val="0CD56FA6"/>
    <w:rsid w:val="0CD65B63"/>
    <w:rsid w:val="0CDB3502"/>
    <w:rsid w:val="0CDD0FA5"/>
    <w:rsid w:val="0CDD62A4"/>
    <w:rsid w:val="0CF22230"/>
    <w:rsid w:val="0CF50EE9"/>
    <w:rsid w:val="0CF741BD"/>
    <w:rsid w:val="0D002783"/>
    <w:rsid w:val="0D0247A5"/>
    <w:rsid w:val="0D044085"/>
    <w:rsid w:val="0D066680"/>
    <w:rsid w:val="0D0B7B74"/>
    <w:rsid w:val="0D0C69CF"/>
    <w:rsid w:val="0D0E5602"/>
    <w:rsid w:val="0D111605"/>
    <w:rsid w:val="0D111F2B"/>
    <w:rsid w:val="0D116EA1"/>
    <w:rsid w:val="0D15426F"/>
    <w:rsid w:val="0D1567BB"/>
    <w:rsid w:val="0D16219E"/>
    <w:rsid w:val="0D180657"/>
    <w:rsid w:val="0D18517E"/>
    <w:rsid w:val="0D1D75F3"/>
    <w:rsid w:val="0D1E1675"/>
    <w:rsid w:val="0D245C66"/>
    <w:rsid w:val="0D250312"/>
    <w:rsid w:val="0D2560D2"/>
    <w:rsid w:val="0D2B3860"/>
    <w:rsid w:val="0D2B6E2A"/>
    <w:rsid w:val="0D2E5FD9"/>
    <w:rsid w:val="0D325089"/>
    <w:rsid w:val="0D3260A7"/>
    <w:rsid w:val="0D3627FC"/>
    <w:rsid w:val="0D371CC0"/>
    <w:rsid w:val="0D38685D"/>
    <w:rsid w:val="0D3E0ECD"/>
    <w:rsid w:val="0D3E6FB7"/>
    <w:rsid w:val="0D400121"/>
    <w:rsid w:val="0D434585"/>
    <w:rsid w:val="0D470EA5"/>
    <w:rsid w:val="0D482BDE"/>
    <w:rsid w:val="0D483549"/>
    <w:rsid w:val="0D4A57CE"/>
    <w:rsid w:val="0D4E1F38"/>
    <w:rsid w:val="0D5079C9"/>
    <w:rsid w:val="0D5154EF"/>
    <w:rsid w:val="0D5323DE"/>
    <w:rsid w:val="0D556D8D"/>
    <w:rsid w:val="0D5725C3"/>
    <w:rsid w:val="0D59633E"/>
    <w:rsid w:val="0D5C1A1C"/>
    <w:rsid w:val="0D5D3E94"/>
    <w:rsid w:val="0D5D49DC"/>
    <w:rsid w:val="0D602970"/>
    <w:rsid w:val="0D621C7D"/>
    <w:rsid w:val="0D646981"/>
    <w:rsid w:val="0D6A58EC"/>
    <w:rsid w:val="0D6E72BA"/>
    <w:rsid w:val="0D6F71B4"/>
    <w:rsid w:val="0D73006E"/>
    <w:rsid w:val="0D7D527D"/>
    <w:rsid w:val="0D820C21"/>
    <w:rsid w:val="0D821B4C"/>
    <w:rsid w:val="0D844D88"/>
    <w:rsid w:val="0D87276C"/>
    <w:rsid w:val="0D8D436B"/>
    <w:rsid w:val="0D941980"/>
    <w:rsid w:val="0D9C3225"/>
    <w:rsid w:val="0DA00712"/>
    <w:rsid w:val="0DA02988"/>
    <w:rsid w:val="0DA15ACD"/>
    <w:rsid w:val="0DA161BD"/>
    <w:rsid w:val="0DA24523"/>
    <w:rsid w:val="0DA2773C"/>
    <w:rsid w:val="0DA35C02"/>
    <w:rsid w:val="0DA47D46"/>
    <w:rsid w:val="0DA54418"/>
    <w:rsid w:val="0DAD635E"/>
    <w:rsid w:val="0DAE0A59"/>
    <w:rsid w:val="0DAF5DB4"/>
    <w:rsid w:val="0DB17DA1"/>
    <w:rsid w:val="0DB75732"/>
    <w:rsid w:val="0DB86146"/>
    <w:rsid w:val="0DBA1167"/>
    <w:rsid w:val="0DBD2207"/>
    <w:rsid w:val="0DBD7E4C"/>
    <w:rsid w:val="0DC108C7"/>
    <w:rsid w:val="0DC45CC1"/>
    <w:rsid w:val="0DD93F62"/>
    <w:rsid w:val="0DDD6082"/>
    <w:rsid w:val="0DE46D75"/>
    <w:rsid w:val="0DE81036"/>
    <w:rsid w:val="0DEA1DCF"/>
    <w:rsid w:val="0DFA7016"/>
    <w:rsid w:val="0E012A71"/>
    <w:rsid w:val="0E040492"/>
    <w:rsid w:val="0E0425AE"/>
    <w:rsid w:val="0E097BCB"/>
    <w:rsid w:val="0E0C6B59"/>
    <w:rsid w:val="0E120BCF"/>
    <w:rsid w:val="0E127789"/>
    <w:rsid w:val="0E147856"/>
    <w:rsid w:val="0E194D6D"/>
    <w:rsid w:val="0E1A5691"/>
    <w:rsid w:val="0E1B64AA"/>
    <w:rsid w:val="0E2C1C82"/>
    <w:rsid w:val="0E2D36E5"/>
    <w:rsid w:val="0E3137AC"/>
    <w:rsid w:val="0E324927"/>
    <w:rsid w:val="0E373E88"/>
    <w:rsid w:val="0E3C7909"/>
    <w:rsid w:val="0E3D671A"/>
    <w:rsid w:val="0E3F4F9E"/>
    <w:rsid w:val="0E401304"/>
    <w:rsid w:val="0E404A80"/>
    <w:rsid w:val="0E414AD1"/>
    <w:rsid w:val="0E434E4F"/>
    <w:rsid w:val="0E44676C"/>
    <w:rsid w:val="0E4D19C9"/>
    <w:rsid w:val="0E590564"/>
    <w:rsid w:val="0E5B7D6A"/>
    <w:rsid w:val="0E5C1773"/>
    <w:rsid w:val="0E64613A"/>
    <w:rsid w:val="0E6676BD"/>
    <w:rsid w:val="0E6754D7"/>
    <w:rsid w:val="0E676DAA"/>
    <w:rsid w:val="0E681654"/>
    <w:rsid w:val="0E6C7675"/>
    <w:rsid w:val="0E6E12C0"/>
    <w:rsid w:val="0E6E52B8"/>
    <w:rsid w:val="0E73034D"/>
    <w:rsid w:val="0E740B02"/>
    <w:rsid w:val="0E76552C"/>
    <w:rsid w:val="0E8836FB"/>
    <w:rsid w:val="0E8E60D1"/>
    <w:rsid w:val="0E9558C8"/>
    <w:rsid w:val="0E9716BC"/>
    <w:rsid w:val="0EA86315"/>
    <w:rsid w:val="0EA95154"/>
    <w:rsid w:val="0EAC59FD"/>
    <w:rsid w:val="0EAF21D9"/>
    <w:rsid w:val="0EAF21E2"/>
    <w:rsid w:val="0EB14B2C"/>
    <w:rsid w:val="0EB21B7E"/>
    <w:rsid w:val="0EB81060"/>
    <w:rsid w:val="0EC541F2"/>
    <w:rsid w:val="0ECA21B7"/>
    <w:rsid w:val="0ECA7307"/>
    <w:rsid w:val="0ED24590"/>
    <w:rsid w:val="0ED3788C"/>
    <w:rsid w:val="0ED60810"/>
    <w:rsid w:val="0ED7143D"/>
    <w:rsid w:val="0EDD431B"/>
    <w:rsid w:val="0EE22690"/>
    <w:rsid w:val="0EE228A3"/>
    <w:rsid w:val="0EE31EA3"/>
    <w:rsid w:val="0EE43265"/>
    <w:rsid w:val="0EEA30E7"/>
    <w:rsid w:val="0EF361D6"/>
    <w:rsid w:val="0EF63FCE"/>
    <w:rsid w:val="0EF644CC"/>
    <w:rsid w:val="0EFC1C49"/>
    <w:rsid w:val="0EFD6688"/>
    <w:rsid w:val="0EFE347C"/>
    <w:rsid w:val="0F0A7041"/>
    <w:rsid w:val="0F0B6C8B"/>
    <w:rsid w:val="0F10645A"/>
    <w:rsid w:val="0F13775A"/>
    <w:rsid w:val="0F171F73"/>
    <w:rsid w:val="0F206DE9"/>
    <w:rsid w:val="0F262938"/>
    <w:rsid w:val="0F2775AE"/>
    <w:rsid w:val="0F325084"/>
    <w:rsid w:val="0F331E43"/>
    <w:rsid w:val="0F36562C"/>
    <w:rsid w:val="0F4009A4"/>
    <w:rsid w:val="0F450786"/>
    <w:rsid w:val="0F4D1F40"/>
    <w:rsid w:val="0F4D2E96"/>
    <w:rsid w:val="0F4E7F38"/>
    <w:rsid w:val="0F510BCB"/>
    <w:rsid w:val="0F5209EC"/>
    <w:rsid w:val="0F5A0DDD"/>
    <w:rsid w:val="0F5B3F73"/>
    <w:rsid w:val="0F5F45FE"/>
    <w:rsid w:val="0F621FDA"/>
    <w:rsid w:val="0F672C4B"/>
    <w:rsid w:val="0F674F85"/>
    <w:rsid w:val="0F6755D2"/>
    <w:rsid w:val="0F684275"/>
    <w:rsid w:val="0F691B21"/>
    <w:rsid w:val="0F6F0CC4"/>
    <w:rsid w:val="0F7233CB"/>
    <w:rsid w:val="0F856650"/>
    <w:rsid w:val="0F8C41B6"/>
    <w:rsid w:val="0F9241DF"/>
    <w:rsid w:val="0F933633"/>
    <w:rsid w:val="0F9565F8"/>
    <w:rsid w:val="0F9A112B"/>
    <w:rsid w:val="0F9B6B4C"/>
    <w:rsid w:val="0F9D2C6D"/>
    <w:rsid w:val="0FA410C8"/>
    <w:rsid w:val="0FAA07F4"/>
    <w:rsid w:val="0FB00211"/>
    <w:rsid w:val="0FB436F8"/>
    <w:rsid w:val="0FB95FF5"/>
    <w:rsid w:val="0FC111DB"/>
    <w:rsid w:val="0FCA14CB"/>
    <w:rsid w:val="0FCA3629"/>
    <w:rsid w:val="0FCA7CE8"/>
    <w:rsid w:val="0FCC498E"/>
    <w:rsid w:val="0FCE600D"/>
    <w:rsid w:val="0FD10C0E"/>
    <w:rsid w:val="0FD8005B"/>
    <w:rsid w:val="0FDF6B2A"/>
    <w:rsid w:val="0FE0356F"/>
    <w:rsid w:val="0FE831B4"/>
    <w:rsid w:val="0FEA3110"/>
    <w:rsid w:val="0FEB2E02"/>
    <w:rsid w:val="0FEB4C47"/>
    <w:rsid w:val="0FF07B38"/>
    <w:rsid w:val="0FF11DF3"/>
    <w:rsid w:val="0FF806DD"/>
    <w:rsid w:val="0FFB62D7"/>
    <w:rsid w:val="10047FC1"/>
    <w:rsid w:val="10066A65"/>
    <w:rsid w:val="100A0C1D"/>
    <w:rsid w:val="10111995"/>
    <w:rsid w:val="10121F9D"/>
    <w:rsid w:val="10176A13"/>
    <w:rsid w:val="101968BD"/>
    <w:rsid w:val="101A380A"/>
    <w:rsid w:val="101F3001"/>
    <w:rsid w:val="10236D43"/>
    <w:rsid w:val="1028470E"/>
    <w:rsid w:val="1032477F"/>
    <w:rsid w:val="10340F65"/>
    <w:rsid w:val="103A6794"/>
    <w:rsid w:val="10414D43"/>
    <w:rsid w:val="1042262D"/>
    <w:rsid w:val="10464231"/>
    <w:rsid w:val="105405D7"/>
    <w:rsid w:val="10582E36"/>
    <w:rsid w:val="105B29D5"/>
    <w:rsid w:val="10606F0E"/>
    <w:rsid w:val="10641D3A"/>
    <w:rsid w:val="1065791B"/>
    <w:rsid w:val="106B1EF6"/>
    <w:rsid w:val="106D2F64"/>
    <w:rsid w:val="10771710"/>
    <w:rsid w:val="10783395"/>
    <w:rsid w:val="108067E8"/>
    <w:rsid w:val="10841436"/>
    <w:rsid w:val="108543B9"/>
    <w:rsid w:val="1085694A"/>
    <w:rsid w:val="10875846"/>
    <w:rsid w:val="108A2802"/>
    <w:rsid w:val="108A4A9F"/>
    <w:rsid w:val="108F6538"/>
    <w:rsid w:val="109B6858"/>
    <w:rsid w:val="109B6E69"/>
    <w:rsid w:val="10A24F48"/>
    <w:rsid w:val="10A406CA"/>
    <w:rsid w:val="10AC2A06"/>
    <w:rsid w:val="10AE180F"/>
    <w:rsid w:val="10B63710"/>
    <w:rsid w:val="10BB07A2"/>
    <w:rsid w:val="10C17F93"/>
    <w:rsid w:val="10C23BAE"/>
    <w:rsid w:val="10C511FF"/>
    <w:rsid w:val="10C56084"/>
    <w:rsid w:val="10C954BE"/>
    <w:rsid w:val="10D43301"/>
    <w:rsid w:val="10D51728"/>
    <w:rsid w:val="10D54B5E"/>
    <w:rsid w:val="10D6471B"/>
    <w:rsid w:val="10DA1801"/>
    <w:rsid w:val="10E1453E"/>
    <w:rsid w:val="10E2525A"/>
    <w:rsid w:val="10E32311"/>
    <w:rsid w:val="10E44C6A"/>
    <w:rsid w:val="10EA3F4F"/>
    <w:rsid w:val="10EB7E37"/>
    <w:rsid w:val="10EC5790"/>
    <w:rsid w:val="10EC642B"/>
    <w:rsid w:val="10EE6705"/>
    <w:rsid w:val="10F03CC0"/>
    <w:rsid w:val="10F06162"/>
    <w:rsid w:val="10F10820"/>
    <w:rsid w:val="10F22854"/>
    <w:rsid w:val="10F30C8C"/>
    <w:rsid w:val="10F55378"/>
    <w:rsid w:val="10F60887"/>
    <w:rsid w:val="10F90377"/>
    <w:rsid w:val="10FF4D36"/>
    <w:rsid w:val="1105451C"/>
    <w:rsid w:val="11065BDB"/>
    <w:rsid w:val="110C58F2"/>
    <w:rsid w:val="111B042E"/>
    <w:rsid w:val="111C2F7A"/>
    <w:rsid w:val="11290EBA"/>
    <w:rsid w:val="112E51CA"/>
    <w:rsid w:val="11321949"/>
    <w:rsid w:val="113349F9"/>
    <w:rsid w:val="11356B11"/>
    <w:rsid w:val="113651DF"/>
    <w:rsid w:val="113A36BF"/>
    <w:rsid w:val="113C3BE2"/>
    <w:rsid w:val="113E37D9"/>
    <w:rsid w:val="1141739B"/>
    <w:rsid w:val="11422895"/>
    <w:rsid w:val="11435D86"/>
    <w:rsid w:val="1146085A"/>
    <w:rsid w:val="11491D43"/>
    <w:rsid w:val="114B06D4"/>
    <w:rsid w:val="1151667D"/>
    <w:rsid w:val="1151758F"/>
    <w:rsid w:val="11522C83"/>
    <w:rsid w:val="11553997"/>
    <w:rsid w:val="11577239"/>
    <w:rsid w:val="115959F3"/>
    <w:rsid w:val="115D26B4"/>
    <w:rsid w:val="115E31FC"/>
    <w:rsid w:val="115E5DB6"/>
    <w:rsid w:val="115F128D"/>
    <w:rsid w:val="1160516D"/>
    <w:rsid w:val="116161ED"/>
    <w:rsid w:val="11637301"/>
    <w:rsid w:val="11665CA1"/>
    <w:rsid w:val="116B3C90"/>
    <w:rsid w:val="116D4B0D"/>
    <w:rsid w:val="116E7424"/>
    <w:rsid w:val="11732A19"/>
    <w:rsid w:val="117A61FE"/>
    <w:rsid w:val="117B5707"/>
    <w:rsid w:val="117F28D8"/>
    <w:rsid w:val="117F5F56"/>
    <w:rsid w:val="11883B8C"/>
    <w:rsid w:val="118B78E3"/>
    <w:rsid w:val="118C11EC"/>
    <w:rsid w:val="118D7330"/>
    <w:rsid w:val="11927D7E"/>
    <w:rsid w:val="11941301"/>
    <w:rsid w:val="1195419F"/>
    <w:rsid w:val="119604A5"/>
    <w:rsid w:val="11972F1E"/>
    <w:rsid w:val="119B18B2"/>
    <w:rsid w:val="119C3706"/>
    <w:rsid w:val="11A56C3D"/>
    <w:rsid w:val="11AB3EAC"/>
    <w:rsid w:val="11AD2583"/>
    <w:rsid w:val="11B27615"/>
    <w:rsid w:val="11B316B9"/>
    <w:rsid w:val="11B379A6"/>
    <w:rsid w:val="11B6145F"/>
    <w:rsid w:val="11BB0034"/>
    <w:rsid w:val="11BC1A70"/>
    <w:rsid w:val="11BF2A4B"/>
    <w:rsid w:val="11C611A4"/>
    <w:rsid w:val="11CD0BE3"/>
    <w:rsid w:val="11CF7287"/>
    <w:rsid w:val="11D95085"/>
    <w:rsid w:val="11E133C1"/>
    <w:rsid w:val="11EF7262"/>
    <w:rsid w:val="11F013EE"/>
    <w:rsid w:val="11FF1E72"/>
    <w:rsid w:val="11FF7E49"/>
    <w:rsid w:val="120362D9"/>
    <w:rsid w:val="12053700"/>
    <w:rsid w:val="12080FF5"/>
    <w:rsid w:val="12097FB9"/>
    <w:rsid w:val="120A1046"/>
    <w:rsid w:val="120D6549"/>
    <w:rsid w:val="12102805"/>
    <w:rsid w:val="12174B86"/>
    <w:rsid w:val="122063EA"/>
    <w:rsid w:val="12224E20"/>
    <w:rsid w:val="122B603A"/>
    <w:rsid w:val="123114D3"/>
    <w:rsid w:val="12336B23"/>
    <w:rsid w:val="123639F6"/>
    <w:rsid w:val="123D414B"/>
    <w:rsid w:val="123E510D"/>
    <w:rsid w:val="123E6CAE"/>
    <w:rsid w:val="12404081"/>
    <w:rsid w:val="12425D17"/>
    <w:rsid w:val="12442667"/>
    <w:rsid w:val="12443874"/>
    <w:rsid w:val="12550B42"/>
    <w:rsid w:val="125C2F44"/>
    <w:rsid w:val="125E2750"/>
    <w:rsid w:val="12631B3A"/>
    <w:rsid w:val="1264068A"/>
    <w:rsid w:val="126F1954"/>
    <w:rsid w:val="12753A2E"/>
    <w:rsid w:val="12776E17"/>
    <w:rsid w:val="127C6165"/>
    <w:rsid w:val="128020C2"/>
    <w:rsid w:val="128A4C1E"/>
    <w:rsid w:val="128B34F8"/>
    <w:rsid w:val="128D714B"/>
    <w:rsid w:val="128E3B42"/>
    <w:rsid w:val="128F31E4"/>
    <w:rsid w:val="12982F51"/>
    <w:rsid w:val="12A2143C"/>
    <w:rsid w:val="12AD0171"/>
    <w:rsid w:val="12B0453D"/>
    <w:rsid w:val="12B24C82"/>
    <w:rsid w:val="12B36550"/>
    <w:rsid w:val="12BB65C2"/>
    <w:rsid w:val="12BE34AE"/>
    <w:rsid w:val="12C1356E"/>
    <w:rsid w:val="12C31EC6"/>
    <w:rsid w:val="12C43F7B"/>
    <w:rsid w:val="12CB5E52"/>
    <w:rsid w:val="12CC486C"/>
    <w:rsid w:val="12CE5243"/>
    <w:rsid w:val="12D465FD"/>
    <w:rsid w:val="12D6736E"/>
    <w:rsid w:val="12D80632"/>
    <w:rsid w:val="12D841CE"/>
    <w:rsid w:val="12DE7EAF"/>
    <w:rsid w:val="12E25892"/>
    <w:rsid w:val="12E96446"/>
    <w:rsid w:val="12EF0D34"/>
    <w:rsid w:val="12EF558E"/>
    <w:rsid w:val="12F37CA2"/>
    <w:rsid w:val="12F454FF"/>
    <w:rsid w:val="12F725C7"/>
    <w:rsid w:val="12FD52CB"/>
    <w:rsid w:val="1301334A"/>
    <w:rsid w:val="130841DA"/>
    <w:rsid w:val="13185CE5"/>
    <w:rsid w:val="131B42F0"/>
    <w:rsid w:val="131F6F7D"/>
    <w:rsid w:val="132246EF"/>
    <w:rsid w:val="13253F0F"/>
    <w:rsid w:val="1329029D"/>
    <w:rsid w:val="132B4B50"/>
    <w:rsid w:val="132D74D0"/>
    <w:rsid w:val="13333DAC"/>
    <w:rsid w:val="1337272B"/>
    <w:rsid w:val="13382AC1"/>
    <w:rsid w:val="133E3030"/>
    <w:rsid w:val="133F7AB5"/>
    <w:rsid w:val="13407557"/>
    <w:rsid w:val="13416200"/>
    <w:rsid w:val="13452FC8"/>
    <w:rsid w:val="134578A4"/>
    <w:rsid w:val="134A52AD"/>
    <w:rsid w:val="13506C8A"/>
    <w:rsid w:val="13523CA0"/>
    <w:rsid w:val="13556AB7"/>
    <w:rsid w:val="135875D7"/>
    <w:rsid w:val="135B377F"/>
    <w:rsid w:val="135D4BED"/>
    <w:rsid w:val="13614747"/>
    <w:rsid w:val="136E33F1"/>
    <w:rsid w:val="1373354D"/>
    <w:rsid w:val="13766648"/>
    <w:rsid w:val="13766AF7"/>
    <w:rsid w:val="1376793E"/>
    <w:rsid w:val="137770DF"/>
    <w:rsid w:val="1378524A"/>
    <w:rsid w:val="137C2E0E"/>
    <w:rsid w:val="137D703E"/>
    <w:rsid w:val="13800147"/>
    <w:rsid w:val="13806048"/>
    <w:rsid w:val="13826DEE"/>
    <w:rsid w:val="13951726"/>
    <w:rsid w:val="13996B27"/>
    <w:rsid w:val="139D7B9A"/>
    <w:rsid w:val="139E14CF"/>
    <w:rsid w:val="13A609F8"/>
    <w:rsid w:val="13A74A7A"/>
    <w:rsid w:val="13A83CA7"/>
    <w:rsid w:val="13AB3BAB"/>
    <w:rsid w:val="13AC33F3"/>
    <w:rsid w:val="13B17D0F"/>
    <w:rsid w:val="13B4139E"/>
    <w:rsid w:val="13BB36C2"/>
    <w:rsid w:val="13BD0D6F"/>
    <w:rsid w:val="13CA5CA4"/>
    <w:rsid w:val="13CC2904"/>
    <w:rsid w:val="13D306EB"/>
    <w:rsid w:val="13D94FC1"/>
    <w:rsid w:val="13DA623E"/>
    <w:rsid w:val="13DA707E"/>
    <w:rsid w:val="13E163E5"/>
    <w:rsid w:val="13E16514"/>
    <w:rsid w:val="13E17046"/>
    <w:rsid w:val="13F36727"/>
    <w:rsid w:val="13F94565"/>
    <w:rsid w:val="13F97C86"/>
    <w:rsid w:val="13FD00AD"/>
    <w:rsid w:val="13FD5D1E"/>
    <w:rsid w:val="140129E5"/>
    <w:rsid w:val="14061EFB"/>
    <w:rsid w:val="14122DCF"/>
    <w:rsid w:val="14135384"/>
    <w:rsid w:val="14151BA3"/>
    <w:rsid w:val="141E017C"/>
    <w:rsid w:val="141F00F5"/>
    <w:rsid w:val="141F56C5"/>
    <w:rsid w:val="14270D58"/>
    <w:rsid w:val="1428183B"/>
    <w:rsid w:val="142A156E"/>
    <w:rsid w:val="142A1B80"/>
    <w:rsid w:val="142A7116"/>
    <w:rsid w:val="143852AB"/>
    <w:rsid w:val="14396509"/>
    <w:rsid w:val="143C2C5E"/>
    <w:rsid w:val="144A333D"/>
    <w:rsid w:val="144C728C"/>
    <w:rsid w:val="144D26BE"/>
    <w:rsid w:val="144D4C62"/>
    <w:rsid w:val="144D6A10"/>
    <w:rsid w:val="144E6DAD"/>
    <w:rsid w:val="1450241A"/>
    <w:rsid w:val="145145D0"/>
    <w:rsid w:val="14581102"/>
    <w:rsid w:val="145863A4"/>
    <w:rsid w:val="14593702"/>
    <w:rsid w:val="1459587D"/>
    <w:rsid w:val="145E6E6F"/>
    <w:rsid w:val="145F221F"/>
    <w:rsid w:val="146D497A"/>
    <w:rsid w:val="146E5179"/>
    <w:rsid w:val="14734F0B"/>
    <w:rsid w:val="14766034"/>
    <w:rsid w:val="148137F7"/>
    <w:rsid w:val="14887F51"/>
    <w:rsid w:val="14952165"/>
    <w:rsid w:val="149A4523"/>
    <w:rsid w:val="14A3625E"/>
    <w:rsid w:val="14B23CE5"/>
    <w:rsid w:val="14B561A3"/>
    <w:rsid w:val="14B720DC"/>
    <w:rsid w:val="14B77891"/>
    <w:rsid w:val="14B86CEB"/>
    <w:rsid w:val="14B90CD7"/>
    <w:rsid w:val="14BA6EE0"/>
    <w:rsid w:val="14BE12F3"/>
    <w:rsid w:val="14BF5492"/>
    <w:rsid w:val="14C32343"/>
    <w:rsid w:val="14C33E51"/>
    <w:rsid w:val="14C633EA"/>
    <w:rsid w:val="14D00B65"/>
    <w:rsid w:val="14D056B8"/>
    <w:rsid w:val="14D12D8D"/>
    <w:rsid w:val="14DB6D09"/>
    <w:rsid w:val="14DD2C3C"/>
    <w:rsid w:val="14DE09B4"/>
    <w:rsid w:val="14E34AE7"/>
    <w:rsid w:val="14E95131"/>
    <w:rsid w:val="14FB1F3B"/>
    <w:rsid w:val="14FE316A"/>
    <w:rsid w:val="15016819"/>
    <w:rsid w:val="15107A3E"/>
    <w:rsid w:val="15177BC0"/>
    <w:rsid w:val="15190455"/>
    <w:rsid w:val="151F6DA3"/>
    <w:rsid w:val="15232E3B"/>
    <w:rsid w:val="15235D3E"/>
    <w:rsid w:val="15264F53"/>
    <w:rsid w:val="15307A7B"/>
    <w:rsid w:val="15353FC2"/>
    <w:rsid w:val="153A2338"/>
    <w:rsid w:val="153B4CFA"/>
    <w:rsid w:val="154C4DDA"/>
    <w:rsid w:val="154D0F1E"/>
    <w:rsid w:val="155572BB"/>
    <w:rsid w:val="155A359A"/>
    <w:rsid w:val="155B2BC0"/>
    <w:rsid w:val="156579A5"/>
    <w:rsid w:val="15697413"/>
    <w:rsid w:val="157241E5"/>
    <w:rsid w:val="15734D19"/>
    <w:rsid w:val="15752172"/>
    <w:rsid w:val="157A158F"/>
    <w:rsid w:val="15927E6A"/>
    <w:rsid w:val="15945CB1"/>
    <w:rsid w:val="15960CA8"/>
    <w:rsid w:val="15971900"/>
    <w:rsid w:val="1598015F"/>
    <w:rsid w:val="159E25E2"/>
    <w:rsid w:val="15AD7DA2"/>
    <w:rsid w:val="15B453CD"/>
    <w:rsid w:val="15BF5AD4"/>
    <w:rsid w:val="15C731CF"/>
    <w:rsid w:val="15C947BC"/>
    <w:rsid w:val="15CB11F3"/>
    <w:rsid w:val="15CB3152"/>
    <w:rsid w:val="15D01BB6"/>
    <w:rsid w:val="15D07F48"/>
    <w:rsid w:val="15D32B47"/>
    <w:rsid w:val="15D5485D"/>
    <w:rsid w:val="15D62A35"/>
    <w:rsid w:val="15DC2444"/>
    <w:rsid w:val="15DD230F"/>
    <w:rsid w:val="15DF44A5"/>
    <w:rsid w:val="15EF0C00"/>
    <w:rsid w:val="15F00966"/>
    <w:rsid w:val="15F23975"/>
    <w:rsid w:val="15FA6764"/>
    <w:rsid w:val="15FB4457"/>
    <w:rsid w:val="15FB4529"/>
    <w:rsid w:val="15FD0DBD"/>
    <w:rsid w:val="15FE6245"/>
    <w:rsid w:val="15FF3D3A"/>
    <w:rsid w:val="16015052"/>
    <w:rsid w:val="16037498"/>
    <w:rsid w:val="16045CE3"/>
    <w:rsid w:val="16067C0D"/>
    <w:rsid w:val="16087E1D"/>
    <w:rsid w:val="160A0B09"/>
    <w:rsid w:val="160C53F2"/>
    <w:rsid w:val="161672D6"/>
    <w:rsid w:val="161876ED"/>
    <w:rsid w:val="16190AD1"/>
    <w:rsid w:val="161C423B"/>
    <w:rsid w:val="161E7406"/>
    <w:rsid w:val="162270B5"/>
    <w:rsid w:val="162A064B"/>
    <w:rsid w:val="162F53C8"/>
    <w:rsid w:val="16380AF5"/>
    <w:rsid w:val="16382AED"/>
    <w:rsid w:val="1638549E"/>
    <w:rsid w:val="163A280C"/>
    <w:rsid w:val="163C6D3C"/>
    <w:rsid w:val="163D2298"/>
    <w:rsid w:val="163F1E44"/>
    <w:rsid w:val="1641651F"/>
    <w:rsid w:val="16483C78"/>
    <w:rsid w:val="164E1ADF"/>
    <w:rsid w:val="16517728"/>
    <w:rsid w:val="165A6EDC"/>
    <w:rsid w:val="165C2A7A"/>
    <w:rsid w:val="16654B5E"/>
    <w:rsid w:val="16665A5D"/>
    <w:rsid w:val="166D7A53"/>
    <w:rsid w:val="1671541D"/>
    <w:rsid w:val="1675224E"/>
    <w:rsid w:val="167669E7"/>
    <w:rsid w:val="16775A39"/>
    <w:rsid w:val="167B466A"/>
    <w:rsid w:val="16850115"/>
    <w:rsid w:val="16880275"/>
    <w:rsid w:val="16897AA8"/>
    <w:rsid w:val="168B1031"/>
    <w:rsid w:val="168C52AB"/>
    <w:rsid w:val="168E4FDC"/>
    <w:rsid w:val="168E5D7B"/>
    <w:rsid w:val="16921E0C"/>
    <w:rsid w:val="1694258C"/>
    <w:rsid w:val="1695551A"/>
    <w:rsid w:val="16983242"/>
    <w:rsid w:val="169A0EAB"/>
    <w:rsid w:val="169C4836"/>
    <w:rsid w:val="169D0409"/>
    <w:rsid w:val="169D4F63"/>
    <w:rsid w:val="16A23725"/>
    <w:rsid w:val="16A76CFC"/>
    <w:rsid w:val="16AB4A01"/>
    <w:rsid w:val="16AB7F54"/>
    <w:rsid w:val="16AD628F"/>
    <w:rsid w:val="16AE139D"/>
    <w:rsid w:val="16B70AB9"/>
    <w:rsid w:val="16B74615"/>
    <w:rsid w:val="16C46D32"/>
    <w:rsid w:val="16C60BB7"/>
    <w:rsid w:val="16CD6933"/>
    <w:rsid w:val="16CE4B3C"/>
    <w:rsid w:val="16D070B0"/>
    <w:rsid w:val="16D2313B"/>
    <w:rsid w:val="16D66E40"/>
    <w:rsid w:val="16D9376D"/>
    <w:rsid w:val="16DA2F76"/>
    <w:rsid w:val="16DA633E"/>
    <w:rsid w:val="16E06D18"/>
    <w:rsid w:val="16E12EBC"/>
    <w:rsid w:val="16E24AD0"/>
    <w:rsid w:val="16E51E97"/>
    <w:rsid w:val="16E86531"/>
    <w:rsid w:val="16EA0E2C"/>
    <w:rsid w:val="16EA1602"/>
    <w:rsid w:val="16EE34AD"/>
    <w:rsid w:val="16F62850"/>
    <w:rsid w:val="16F66508"/>
    <w:rsid w:val="17043020"/>
    <w:rsid w:val="170A508C"/>
    <w:rsid w:val="170E6252"/>
    <w:rsid w:val="171E201A"/>
    <w:rsid w:val="172717E0"/>
    <w:rsid w:val="172969D7"/>
    <w:rsid w:val="172B40D3"/>
    <w:rsid w:val="173C565D"/>
    <w:rsid w:val="17443EF0"/>
    <w:rsid w:val="17465746"/>
    <w:rsid w:val="17467702"/>
    <w:rsid w:val="174B0742"/>
    <w:rsid w:val="174C1160"/>
    <w:rsid w:val="174C5B4A"/>
    <w:rsid w:val="17530F95"/>
    <w:rsid w:val="17591E34"/>
    <w:rsid w:val="175C1CFC"/>
    <w:rsid w:val="17612F53"/>
    <w:rsid w:val="176355EB"/>
    <w:rsid w:val="17643773"/>
    <w:rsid w:val="17666632"/>
    <w:rsid w:val="176E6F52"/>
    <w:rsid w:val="17701D14"/>
    <w:rsid w:val="17716EB9"/>
    <w:rsid w:val="1773110D"/>
    <w:rsid w:val="17735226"/>
    <w:rsid w:val="177B7DE6"/>
    <w:rsid w:val="177C432E"/>
    <w:rsid w:val="178259BF"/>
    <w:rsid w:val="178B6FD1"/>
    <w:rsid w:val="17933CD5"/>
    <w:rsid w:val="179C770F"/>
    <w:rsid w:val="179E0F53"/>
    <w:rsid w:val="17A141B8"/>
    <w:rsid w:val="17A2662F"/>
    <w:rsid w:val="17A61F65"/>
    <w:rsid w:val="17A84678"/>
    <w:rsid w:val="17A92423"/>
    <w:rsid w:val="17AF722A"/>
    <w:rsid w:val="17B16A7E"/>
    <w:rsid w:val="17B97C77"/>
    <w:rsid w:val="17C20009"/>
    <w:rsid w:val="17C26E6F"/>
    <w:rsid w:val="17C27925"/>
    <w:rsid w:val="17CA481C"/>
    <w:rsid w:val="17CD1C16"/>
    <w:rsid w:val="17DF7B71"/>
    <w:rsid w:val="17E02C2C"/>
    <w:rsid w:val="17E3392D"/>
    <w:rsid w:val="17E40135"/>
    <w:rsid w:val="17F53DA4"/>
    <w:rsid w:val="17FE0021"/>
    <w:rsid w:val="18003D15"/>
    <w:rsid w:val="18042A65"/>
    <w:rsid w:val="180463E7"/>
    <w:rsid w:val="180C7480"/>
    <w:rsid w:val="180E295A"/>
    <w:rsid w:val="180F242B"/>
    <w:rsid w:val="18147E2D"/>
    <w:rsid w:val="181A2178"/>
    <w:rsid w:val="18214B9E"/>
    <w:rsid w:val="18215B32"/>
    <w:rsid w:val="18260653"/>
    <w:rsid w:val="18306B68"/>
    <w:rsid w:val="1840009E"/>
    <w:rsid w:val="1841790D"/>
    <w:rsid w:val="18493DB1"/>
    <w:rsid w:val="184B20AD"/>
    <w:rsid w:val="184F1072"/>
    <w:rsid w:val="185329B4"/>
    <w:rsid w:val="18574782"/>
    <w:rsid w:val="185A42A0"/>
    <w:rsid w:val="18663077"/>
    <w:rsid w:val="18664544"/>
    <w:rsid w:val="18685027"/>
    <w:rsid w:val="186A05FD"/>
    <w:rsid w:val="186D1799"/>
    <w:rsid w:val="186F234F"/>
    <w:rsid w:val="18732DF7"/>
    <w:rsid w:val="18752704"/>
    <w:rsid w:val="187B5F68"/>
    <w:rsid w:val="187F302D"/>
    <w:rsid w:val="18826E19"/>
    <w:rsid w:val="18850C79"/>
    <w:rsid w:val="18904647"/>
    <w:rsid w:val="189477B9"/>
    <w:rsid w:val="18951C7C"/>
    <w:rsid w:val="189E55DE"/>
    <w:rsid w:val="189F624C"/>
    <w:rsid w:val="18A0307E"/>
    <w:rsid w:val="18A273D3"/>
    <w:rsid w:val="18A6596A"/>
    <w:rsid w:val="18A82E02"/>
    <w:rsid w:val="18AF760F"/>
    <w:rsid w:val="18B72A18"/>
    <w:rsid w:val="18B7412A"/>
    <w:rsid w:val="18BF5C01"/>
    <w:rsid w:val="18C46036"/>
    <w:rsid w:val="18C62EF6"/>
    <w:rsid w:val="18CD2428"/>
    <w:rsid w:val="18D07B52"/>
    <w:rsid w:val="18D13A93"/>
    <w:rsid w:val="18E2664D"/>
    <w:rsid w:val="18EC6AB8"/>
    <w:rsid w:val="18EE55B4"/>
    <w:rsid w:val="18F25262"/>
    <w:rsid w:val="18F274B7"/>
    <w:rsid w:val="18F33841"/>
    <w:rsid w:val="18F816E2"/>
    <w:rsid w:val="18F82955"/>
    <w:rsid w:val="18F8402C"/>
    <w:rsid w:val="18FC7448"/>
    <w:rsid w:val="1902636C"/>
    <w:rsid w:val="19095A87"/>
    <w:rsid w:val="19104DFB"/>
    <w:rsid w:val="19137AFC"/>
    <w:rsid w:val="19197AD0"/>
    <w:rsid w:val="191C5AE0"/>
    <w:rsid w:val="19223931"/>
    <w:rsid w:val="19270A08"/>
    <w:rsid w:val="192C7B3D"/>
    <w:rsid w:val="193C062C"/>
    <w:rsid w:val="193C5E4C"/>
    <w:rsid w:val="19422943"/>
    <w:rsid w:val="194303E2"/>
    <w:rsid w:val="194660D8"/>
    <w:rsid w:val="19471226"/>
    <w:rsid w:val="19472BEF"/>
    <w:rsid w:val="1949648C"/>
    <w:rsid w:val="194F3C82"/>
    <w:rsid w:val="1950463C"/>
    <w:rsid w:val="1956020B"/>
    <w:rsid w:val="195A73B8"/>
    <w:rsid w:val="195D1C32"/>
    <w:rsid w:val="197226F4"/>
    <w:rsid w:val="197432D1"/>
    <w:rsid w:val="19860839"/>
    <w:rsid w:val="198A31B8"/>
    <w:rsid w:val="198B408C"/>
    <w:rsid w:val="19976C42"/>
    <w:rsid w:val="199B1FCC"/>
    <w:rsid w:val="199C51C6"/>
    <w:rsid w:val="199C5E12"/>
    <w:rsid w:val="199F6720"/>
    <w:rsid w:val="19A10C4A"/>
    <w:rsid w:val="19A77654"/>
    <w:rsid w:val="19A934A4"/>
    <w:rsid w:val="19AB1812"/>
    <w:rsid w:val="19B00A4D"/>
    <w:rsid w:val="19B665FB"/>
    <w:rsid w:val="19C27D7B"/>
    <w:rsid w:val="19C31C82"/>
    <w:rsid w:val="19C80040"/>
    <w:rsid w:val="19CA0A29"/>
    <w:rsid w:val="19CA16F4"/>
    <w:rsid w:val="19D23B8B"/>
    <w:rsid w:val="19D30FEB"/>
    <w:rsid w:val="19DF0B7A"/>
    <w:rsid w:val="19E1317D"/>
    <w:rsid w:val="19E13F6A"/>
    <w:rsid w:val="19E23F91"/>
    <w:rsid w:val="19E969A1"/>
    <w:rsid w:val="19F01717"/>
    <w:rsid w:val="19F36E23"/>
    <w:rsid w:val="19FA3210"/>
    <w:rsid w:val="19FC2847"/>
    <w:rsid w:val="19FD4AA7"/>
    <w:rsid w:val="19FD6599"/>
    <w:rsid w:val="1A003B2E"/>
    <w:rsid w:val="1A0A30BA"/>
    <w:rsid w:val="1A0E62F5"/>
    <w:rsid w:val="1A173187"/>
    <w:rsid w:val="1A197434"/>
    <w:rsid w:val="1A1A531A"/>
    <w:rsid w:val="1A1B48B5"/>
    <w:rsid w:val="1A1C66C0"/>
    <w:rsid w:val="1A235CE7"/>
    <w:rsid w:val="1A25717C"/>
    <w:rsid w:val="1A2E6C57"/>
    <w:rsid w:val="1A361CF4"/>
    <w:rsid w:val="1A42393B"/>
    <w:rsid w:val="1A4408B5"/>
    <w:rsid w:val="1A452843"/>
    <w:rsid w:val="1A483086"/>
    <w:rsid w:val="1A5019CD"/>
    <w:rsid w:val="1A512AF5"/>
    <w:rsid w:val="1A527D1C"/>
    <w:rsid w:val="1A664C6F"/>
    <w:rsid w:val="1A6D0325"/>
    <w:rsid w:val="1A702180"/>
    <w:rsid w:val="1A707000"/>
    <w:rsid w:val="1A721403"/>
    <w:rsid w:val="1A7B5FBB"/>
    <w:rsid w:val="1A8004FE"/>
    <w:rsid w:val="1A801F88"/>
    <w:rsid w:val="1A8B21D4"/>
    <w:rsid w:val="1A8E1076"/>
    <w:rsid w:val="1A9176F5"/>
    <w:rsid w:val="1A947260"/>
    <w:rsid w:val="1A950605"/>
    <w:rsid w:val="1A99682C"/>
    <w:rsid w:val="1A9A4119"/>
    <w:rsid w:val="1A9C1E3E"/>
    <w:rsid w:val="1A9D1D74"/>
    <w:rsid w:val="1A9E647E"/>
    <w:rsid w:val="1A9F2B4D"/>
    <w:rsid w:val="1AA00FED"/>
    <w:rsid w:val="1AA01741"/>
    <w:rsid w:val="1AA428B3"/>
    <w:rsid w:val="1AA9696A"/>
    <w:rsid w:val="1AAD45DE"/>
    <w:rsid w:val="1AB71087"/>
    <w:rsid w:val="1AB8095B"/>
    <w:rsid w:val="1ABD0F06"/>
    <w:rsid w:val="1AC07876"/>
    <w:rsid w:val="1AC36F63"/>
    <w:rsid w:val="1AC473C5"/>
    <w:rsid w:val="1AC62949"/>
    <w:rsid w:val="1AC70AE0"/>
    <w:rsid w:val="1AC81F34"/>
    <w:rsid w:val="1AC83CD3"/>
    <w:rsid w:val="1AC86366"/>
    <w:rsid w:val="1AC87CB2"/>
    <w:rsid w:val="1AD27428"/>
    <w:rsid w:val="1ADC0D0D"/>
    <w:rsid w:val="1ADF4299"/>
    <w:rsid w:val="1AE52636"/>
    <w:rsid w:val="1AEA1B5A"/>
    <w:rsid w:val="1AEE25CF"/>
    <w:rsid w:val="1AF07847"/>
    <w:rsid w:val="1AF7212B"/>
    <w:rsid w:val="1B001940"/>
    <w:rsid w:val="1B046F80"/>
    <w:rsid w:val="1B0D1C09"/>
    <w:rsid w:val="1B0E262A"/>
    <w:rsid w:val="1B0E4C20"/>
    <w:rsid w:val="1B0F593B"/>
    <w:rsid w:val="1B102545"/>
    <w:rsid w:val="1B10433A"/>
    <w:rsid w:val="1B105CDE"/>
    <w:rsid w:val="1B1356E0"/>
    <w:rsid w:val="1B1B6410"/>
    <w:rsid w:val="1B1E1BEE"/>
    <w:rsid w:val="1B1E473C"/>
    <w:rsid w:val="1B217924"/>
    <w:rsid w:val="1B220B5A"/>
    <w:rsid w:val="1B274D30"/>
    <w:rsid w:val="1B2B5035"/>
    <w:rsid w:val="1B2D003E"/>
    <w:rsid w:val="1B2F60E1"/>
    <w:rsid w:val="1B301692"/>
    <w:rsid w:val="1B3267B5"/>
    <w:rsid w:val="1B34092A"/>
    <w:rsid w:val="1B356E54"/>
    <w:rsid w:val="1B366CC0"/>
    <w:rsid w:val="1B393EFF"/>
    <w:rsid w:val="1B3D0675"/>
    <w:rsid w:val="1B3E64C4"/>
    <w:rsid w:val="1B3F107D"/>
    <w:rsid w:val="1B40161D"/>
    <w:rsid w:val="1B4175C5"/>
    <w:rsid w:val="1B441859"/>
    <w:rsid w:val="1B4A0F46"/>
    <w:rsid w:val="1B4B167C"/>
    <w:rsid w:val="1B4C1155"/>
    <w:rsid w:val="1B4E0DDB"/>
    <w:rsid w:val="1B5471EF"/>
    <w:rsid w:val="1B5602C2"/>
    <w:rsid w:val="1B5F313B"/>
    <w:rsid w:val="1B6606B1"/>
    <w:rsid w:val="1B670910"/>
    <w:rsid w:val="1B684B23"/>
    <w:rsid w:val="1B6956DC"/>
    <w:rsid w:val="1B6B5AC1"/>
    <w:rsid w:val="1B6D46B6"/>
    <w:rsid w:val="1B6E189F"/>
    <w:rsid w:val="1B6F0DBB"/>
    <w:rsid w:val="1B81514C"/>
    <w:rsid w:val="1B820D32"/>
    <w:rsid w:val="1B852DAA"/>
    <w:rsid w:val="1B874019"/>
    <w:rsid w:val="1B8D2378"/>
    <w:rsid w:val="1B8E0E36"/>
    <w:rsid w:val="1B8E7731"/>
    <w:rsid w:val="1B9210BA"/>
    <w:rsid w:val="1B960AC2"/>
    <w:rsid w:val="1B99005C"/>
    <w:rsid w:val="1BA025AD"/>
    <w:rsid w:val="1BA5740D"/>
    <w:rsid w:val="1BA87BD8"/>
    <w:rsid w:val="1BAE677A"/>
    <w:rsid w:val="1BB2309B"/>
    <w:rsid w:val="1BB630ED"/>
    <w:rsid w:val="1BBD4792"/>
    <w:rsid w:val="1BBE3DF7"/>
    <w:rsid w:val="1BC127A7"/>
    <w:rsid w:val="1BC21E12"/>
    <w:rsid w:val="1BC52CD5"/>
    <w:rsid w:val="1BC619BB"/>
    <w:rsid w:val="1BCA6B98"/>
    <w:rsid w:val="1BD50CFE"/>
    <w:rsid w:val="1BD526D6"/>
    <w:rsid w:val="1BD72391"/>
    <w:rsid w:val="1BD77104"/>
    <w:rsid w:val="1BD87F6B"/>
    <w:rsid w:val="1BDC54BA"/>
    <w:rsid w:val="1BDD03AB"/>
    <w:rsid w:val="1BE0460E"/>
    <w:rsid w:val="1BE3377B"/>
    <w:rsid w:val="1BEB4001"/>
    <w:rsid w:val="1BEE0646"/>
    <w:rsid w:val="1BEE4F52"/>
    <w:rsid w:val="1BEF2B65"/>
    <w:rsid w:val="1BF24F21"/>
    <w:rsid w:val="1BF41B7A"/>
    <w:rsid w:val="1C010930"/>
    <w:rsid w:val="1C0D0B0A"/>
    <w:rsid w:val="1C1055F7"/>
    <w:rsid w:val="1C132622"/>
    <w:rsid w:val="1C162003"/>
    <w:rsid w:val="1C177F96"/>
    <w:rsid w:val="1C185B56"/>
    <w:rsid w:val="1C1A0A3B"/>
    <w:rsid w:val="1C1F1C35"/>
    <w:rsid w:val="1C201A76"/>
    <w:rsid w:val="1C222012"/>
    <w:rsid w:val="1C2300FD"/>
    <w:rsid w:val="1C2427C6"/>
    <w:rsid w:val="1C2714AC"/>
    <w:rsid w:val="1C2A0C6A"/>
    <w:rsid w:val="1C424981"/>
    <w:rsid w:val="1C4639F7"/>
    <w:rsid w:val="1C533BD9"/>
    <w:rsid w:val="1C547C58"/>
    <w:rsid w:val="1C5A0D28"/>
    <w:rsid w:val="1C5E7925"/>
    <w:rsid w:val="1C5F42AB"/>
    <w:rsid w:val="1C671685"/>
    <w:rsid w:val="1C6D534A"/>
    <w:rsid w:val="1C7A2B9C"/>
    <w:rsid w:val="1C7F5D0D"/>
    <w:rsid w:val="1C8B1641"/>
    <w:rsid w:val="1C8B2132"/>
    <w:rsid w:val="1C8E60C6"/>
    <w:rsid w:val="1C8F3AD6"/>
    <w:rsid w:val="1C93152D"/>
    <w:rsid w:val="1C94560C"/>
    <w:rsid w:val="1C952A4F"/>
    <w:rsid w:val="1C9758FA"/>
    <w:rsid w:val="1C984825"/>
    <w:rsid w:val="1CA238F1"/>
    <w:rsid w:val="1CA43FA6"/>
    <w:rsid w:val="1CA5425E"/>
    <w:rsid w:val="1CAF2138"/>
    <w:rsid w:val="1CB40077"/>
    <w:rsid w:val="1CB51D98"/>
    <w:rsid w:val="1CB74D44"/>
    <w:rsid w:val="1CC003A9"/>
    <w:rsid w:val="1CC00641"/>
    <w:rsid w:val="1CC0512C"/>
    <w:rsid w:val="1CCB2D98"/>
    <w:rsid w:val="1CCE003A"/>
    <w:rsid w:val="1CD35F20"/>
    <w:rsid w:val="1CD9335B"/>
    <w:rsid w:val="1CD9512C"/>
    <w:rsid w:val="1CDF05F9"/>
    <w:rsid w:val="1CE22A61"/>
    <w:rsid w:val="1CE42B67"/>
    <w:rsid w:val="1CE96D17"/>
    <w:rsid w:val="1CEB3848"/>
    <w:rsid w:val="1CEE130F"/>
    <w:rsid w:val="1CF205BB"/>
    <w:rsid w:val="1CF24843"/>
    <w:rsid w:val="1CF3201D"/>
    <w:rsid w:val="1CF75960"/>
    <w:rsid w:val="1CFD070F"/>
    <w:rsid w:val="1CFD3956"/>
    <w:rsid w:val="1D0468F7"/>
    <w:rsid w:val="1D050A52"/>
    <w:rsid w:val="1D1A7519"/>
    <w:rsid w:val="1D1D45E6"/>
    <w:rsid w:val="1D263E95"/>
    <w:rsid w:val="1D2B2FE5"/>
    <w:rsid w:val="1D325EDB"/>
    <w:rsid w:val="1D33206F"/>
    <w:rsid w:val="1D3A517E"/>
    <w:rsid w:val="1D3C593F"/>
    <w:rsid w:val="1D4A44B6"/>
    <w:rsid w:val="1D4B29D2"/>
    <w:rsid w:val="1D4B5569"/>
    <w:rsid w:val="1D4D25E8"/>
    <w:rsid w:val="1D5203A7"/>
    <w:rsid w:val="1D5458A8"/>
    <w:rsid w:val="1D5534A7"/>
    <w:rsid w:val="1D5B751C"/>
    <w:rsid w:val="1D5F53D5"/>
    <w:rsid w:val="1D5F6196"/>
    <w:rsid w:val="1D5F7366"/>
    <w:rsid w:val="1D6132A5"/>
    <w:rsid w:val="1D640288"/>
    <w:rsid w:val="1D6E4314"/>
    <w:rsid w:val="1D720C69"/>
    <w:rsid w:val="1D76283D"/>
    <w:rsid w:val="1D78617B"/>
    <w:rsid w:val="1D794440"/>
    <w:rsid w:val="1D804D84"/>
    <w:rsid w:val="1D825388"/>
    <w:rsid w:val="1D840FC9"/>
    <w:rsid w:val="1D8E56D5"/>
    <w:rsid w:val="1D907758"/>
    <w:rsid w:val="1D9273F3"/>
    <w:rsid w:val="1D931278"/>
    <w:rsid w:val="1D9727DB"/>
    <w:rsid w:val="1DA358F3"/>
    <w:rsid w:val="1DA61A4A"/>
    <w:rsid w:val="1DA67E02"/>
    <w:rsid w:val="1DAA0D4F"/>
    <w:rsid w:val="1DAE4A83"/>
    <w:rsid w:val="1DB53532"/>
    <w:rsid w:val="1DB7304D"/>
    <w:rsid w:val="1DB92C33"/>
    <w:rsid w:val="1DC26B40"/>
    <w:rsid w:val="1DCB324F"/>
    <w:rsid w:val="1DCB50F8"/>
    <w:rsid w:val="1DCC36C4"/>
    <w:rsid w:val="1DD039E9"/>
    <w:rsid w:val="1DD04C16"/>
    <w:rsid w:val="1DD50A0D"/>
    <w:rsid w:val="1DD6399F"/>
    <w:rsid w:val="1DD6789B"/>
    <w:rsid w:val="1DD818D4"/>
    <w:rsid w:val="1DD87F98"/>
    <w:rsid w:val="1DDA3642"/>
    <w:rsid w:val="1DDB32DF"/>
    <w:rsid w:val="1DF04385"/>
    <w:rsid w:val="1DF131FA"/>
    <w:rsid w:val="1DF44011"/>
    <w:rsid w:val="1DF55EB8"/>
    <w:rsid w:val="1DF71875"/>
    <w:rsid w:val="1DF850BB"/>
    <w:rsid w:val="1DFF36CA"/>
    <w:rsid w:val="1DFF6783"/>
    <w:rsid w:val="1E013B7C"/>
    <w:rsid w:val="1E025CEA"/>
    <w:rsid w:val="1E072D57"/>
    <w:rsid w:val="1E1660E3"/>
    <w:rsid w:val="1E1C3095"/>
    <w:rsid w:val="1E1F5033"/>
    <w:rsid w:val="1E274FB7"/>
    <w:rsid w:val="1E321397"/>
    <w:rsid w:val="1E3A219E"/>
    <w:rsid w:val="1E3F4CA3"/>
    <w:rsid w:val="1E4273CA"/>
    <w:rsid w:val="1E45146B"/>
    <w:rsid w:val="1E48228B"/>
    <w:rsid w:val="1E49153A"/>
    <w:rsid w:val="1E49200A"/>
    <w:rsid w:val="1E495D1C"/>
    <w:rsid w:val="1E4B46C2"/>
    <w:rsid w:val="1E4C7C0E"/>
    <w:rsid w:val="1E4D37B0"/>
    <w:rsid w:val="1E4E5A63"/>
    <w:rsid w:val="1E5167D3"/>
    <w:rsid w:val="1E5176F8"/>
    <w:rsid w:val="1E540A99"/>
    <w:rsid w:val="1E5701C3"/>
    <w:rsid w:val="1E5E7A6C"/>
    <w:rsid w:val="1E6A4663"/>
    <w:rsid w:val="1E6B5DDB"/>
    <w:rsid w:val="1E6E3787"/>
    <w:rsid w:val="1E71779F"/>
    <w:rsid w:val="1E7A43DA"/>
    <w:rsid w:val="1E8327E6"/>
    <w:rsid w:val="1E883975"/>
    <w:rsid w:val="1E884065"/>
    <w:rsid w:val="1E8E0F92"/>
    <w:rsid w:val="1E8E3F76"/>
    <w:rsid w:val="1E8F2CBC"/>
    <w:rsid w:val="1E8F2D55"/>
    <w:rsid w:val="1EA01E32"/>
    <w:rsid w:val="1EA135E2"/>
    <w:rsid w:val="1EA57699"/>
    <w:rsid w:val="1EA9518B"/>
    <w:rsid w:val="1EAC6A29"/>
    <w:rsid w:val="1EB259C8"/>
    <w:rsid w:val="1EBD424B"/>
    <w:rsid w:val="1EBD43DF"/>
    <w:rsid w:val="1EBE03A0"/>
    <w:rsid w:val="1ECB3566"/>
    <w:rsid w:val="1ECC2EFC"/>
    <w:rsid w:val="1EDB140F"/>
    <w:rsid w:val="1EDB4322"/>
    <w:rsid w:val="1EDB7CBA"/>
    <w:rsid w:val="1EE15540"/>
    <w:rsid w:val="1EEB4E58"/>
    <w:rsid w:val="1EED0356"/>
    <w:rsid w:val="1EED32EA"/>
    <w:rsid w:val="1EF17083"/>
    <w:rsid w:val="1EF34E2E"/>
    <w:rsid w:val="1EF90580"/>
    <w:rsid w:val="1EF97ADC"/>
    <w:rsid w:val="1EFB6B8A"/>
    <w:rsid w:val="1EFE305E"/>
    <w:rsid w:val="1F015DE9"/>
    <w:rsid w:val="1F0C1E5D"/>
    <w:rsid w:val="1F0C2DA5"/>
    <w:rsid w:val="1F1F0D00"/>
    <w:rsid w:val="1F21342A"/>
    <w:rsid w:val="1F3061A5"/>
    <w:rsid w:val="1F344A96"/>
    <w:rsid w:val="1F347139"/>
    <w:rsid w:val="1F3C0969"/>
    <w:rsid w:val="1F3D054F"/>
    <w:rsid w:val="1F3E6316"/>
    <w:rsid w:val="1F403FC5"/>
    <w:rsid w:val="1F4225A9"/>
    <w:rsid w:val="1F4464D7"/>
    <w:rsid w:val="1F473B74"/>
    <w:rsid w:val="1F4C4122"/>
    <w:rsid w:val="1F521D20"/>
    <w:rsid w:val="1F56528D"/>
    <w:rsid w:val="1F5B06AA"/>
    <w:rsid w:val="1F5E41C7"/>
    <w:rsid w:val="1F5F16B8"/>
    <w:rsid w:val="1F6132DC"/>
    <w:rsid w:val="1F6976C6"/>
    <w:rsid w:val="1F6D3042"/>
    <w:rsid w:val="1F7551DB"/>
    <w:rsid w:val="1F780D08"/>
    <w:rsid w:val="1F806BBB"/>
    <w:rsid w:val="1F807EA1"/>
    <w:rsid w:val="1F8720D1"/>
    <w:rsid w:val="1F880941"/>
    <w:rsid w:val="1F896D6A"/>
    <w:rsid w:val="1F926555"/>
    <w:rsid w:val="1F945A60"/>
    <w:rsid w:val="1F95570F"/>
    <w:rsid w:val="1F963815"/>
    <w:rsid w:val="1F9A2D26"/>
    <w:rsid w:val="1F9F70AE"/>
    <w:rsid w:val="1FA24468"/>
    <w:rsid w:val="1FA9011A"/>
    <w:rsid w:val="1FAB35AA"/>
    <w:rsid w:val="1FAB7D97"/>
    <w:rsid w:val="1FAC3E66"/>
    <w:rsid w:val="1FB107A7"/>
    <w:rsid w:val="1FB1463E"/>
    <w:rsid w:val="1FB40A96"/>
    <w:rsid w:val="1FB70D10"/>
    <w:rsid w:val="1FB81E65"/>
    <w:rsid w:val="1FB87786"/>
    <w:rsid w:val="1FC06E59"/>
    <w:rsid w:val="1FC22BEE"/>
    <w:rsid w:val="1FC56A9D"/>
    <w:rsid w:val="1FCA0E55"/>
    <w:rsid w:val="1FCB75DE"/>
    <w:rsid w:val="1FCC772E"/>
    <w:rsid w:val="1FCE4CA4"/>
    <w:rsid w:val="1FD2202A"/>
    <w:rsid w:val="1FD37ABF"/>
    <w:rsid w:val="1FD66FE9"/>
    <w:rsid w:val="1FD86441"/>
    <w:rsid w:val="1FDC3F0E"/>
    <w:rsid w:val="1FDE439F"/>
    <w:rsid w:val="1FE11E63"/>
    <w:rsid w:val="1FE16BA6"/>
    <w:rsid w:val="1FE31210"/>
    <w:rsid w:val="1FE32F32"/>
    <w:rsid w:val="1FE425B9"/>
    <w:rsid w:val="1FE7539E"/>
    <w:rsid w:val="1FF42436"/>
    <w:rsid w:val="1FF72FD2"/>
    <w:rsid w:val="1FFC0448"/>
    <w:rsid w:val="200343BD"/>
    <w:rsid w:val="200A25E1"/>
    <w:rsid w:val="200B633A"/>
    <w:rsid w:val="200F101E"/>
    <w:rsid w:val="20112BB3"/>
    <w:rsid w:val="201302EF"/>
    <w:rsid w:val="20131427"/>
    <w:rsid w:val="201A390F"/>
    <w:rsid w:val="202224A5"/>
    <w:rsid w:val="20226E35"/>
    <w:rsid w:val="202746F5"/>
    <w:rsid w:val="202C7E22"/>
    <w:rsid w:val="202F288D"/>
    <w:rsid w:val="202F4707"/>
    <w:rsid w:val="20310028"/>
    <w:rsid w:val="203643E2"/>
    <w:rsid w:val="203712D7"/>
    <w:rsid w:val="203B3691"/>
    <w:rsid w:val="203C3BC5"/>
    <w:rsid w:val="203D2B73"/>
    <w:rsid w:val="204C273A"/>
    <w:rsid w:val="204C5806"/>
    <w:rsid w:val="204D1ECB"/>
    <w:rsid w:val="20624664"/>
    <w:rsid w:val="20651A87"/>
    <w:rsid w:val="20671BE0"/>
    <w:rsid w:val="206837B7"/>
    <w:rsid w:val="206F381A"/>
    <w:rsid w:val="206F6295"/>
    <w:rsid w:val="20731AE0"/>
    <w:rsid w:val="20764B1A"/>
    <w:rsid w:val="20793DF8"/>
    <w:rsid w:val="208441B7"/>
    <w:rsid w:val="208555BA"/>
    <w:rsid w:val="208768F0"/>
    <w:rsid w:val="208E6407"/>
    <w:rsid w:val="20911110"/>
    <w:rsid w:val="209155CF"/>
    <w:rsid w:val="2094544C"/>
    <w:rsid w:val="20950DBC"/>
    <w:rsid w:val="20963CB8"/>
    <w:rsid w:val="209918BD"/>
    <w:rsid w:val="209B0B03"/>
    <w:rsid w:val="209F5C69"/>
    <w:rsid w:val="20A138EB"/>
    <w:rsid w:val="20A81A1B"/>
    <w:rsid w:val="20AA370A"/>
    <w:rsid w:val="20AD36EF"/>
    <w:rsid w:val="20AE370B"/>
    <w:rsid w:val="20B07FB6"/>
    <w:rsid w:val="20B120D5"/>
    <w:rsid w:val="20B16579"/>
    <w:rsid w:val="20B428CD"/>
    <w:rsid w:val="20B646FB"/>
    <w:rsid w:val="20B9542D"/>
    <w:rsid w:val="20BE25A4"/>
    <w:rsid w:val="20BE2F27"/>
    <w:rsid w:val="20C07E1F"/>
    <w:rsid w:val="20C25CA7"/>
    <w:rsid w:val="20C763D8"/>
    <w:rsid w:val="20C808AA"/>
    <w:rsid w:val="20CA58FE"/>
    <w:rsid w:val="20CC6F0F"/>
    <w:rsid w:val="20D109C9"/>
    <w:rsid w:val="20D642D9"/>
    <w:rsid w:val="20D73D02"/>
    <w:rsid w:val="20DB3C10"/>
    <w:rsid w:val="20DD696A"/>
    <w:rsid w:val="20DD7701"/>
    <w:rsid w:val="20E03B17"/>
    <w:rsid w:val="20E06E46"/>
    <w:rsid w:val="20E50013"/>
    <w:rsid w:val="20E5500C"/>
    <w:rsid w:val="20EA16D6"/>
    <w:rsid w:val="20F756F7"/>
    <w:rsid w:val="20F922B1"/>
    <w:rsid w:val="21023763"/>
    <w:rsid w:val="210308EA"/>
    <w:rsid w:val="21061923"/>
    <w:rsid w:val="210843BE"/>
    <w:rsid w:val="21097911"/>
    <w:rsid w:val="210C470F"/>
    <w:rsid w:val="210E5131"/>
    <w:rsid w:val="21123A9E"/>
    <w:rsid w:val="211508DE"/>
    <w:rsid w:val="21154D5A"/>
    <w:rsid w:val="211A73DA"/>
    <w:rsid w:val="212308FE"/>
    <w:rsid w:val="212E1A87"/>
    <w:rsid w:val="21365894"/>
    <w:rsid w:val="21385945"/>
    <w:rsid w:val="213A08D8"/>
    <w:rsid w:val="213B74B1"/>
    <w:rsid w:val="213D61F5"/>
    <w:rsid w:val="213D6DF5"/>
    <w:rsid w:val="214152F7"/>
    <w:rsid w:val="21447C5E"/>
    <w:rsid w:val="214543FF"/>
    <w:rsid w:val="2147230F"/>
    <w:rsid w:val="214D2228"/>
    <w:rsid w:val="214F0511"/>
    <w:rsid w:val="215519D5"/>
    <w:rsid w:val="215742A7"/>
    <w:rsid w:val="215A2310"/>
    <w:rsid w:val="215B533B"/>
    <w:rsid w:val="215D0331"/>
    <w:rsid w:val="21624067"/>
    <w:rsid w:val="216C0FAB"/>
    <w:rsid w:val="216D3DAA"/>
    <w:rsid w:val="216E7A84"/>
    <w:rsid w:val="21703FEE"/>
    <w:rsid w:val="21751354"/>
    <w:rsid w:val="217F12D6"/>
    <w:rsid w:val="217F6677"/>
    <w:rsid w:val="21821A7A"/>
    <w:rsid w:val="21864582"/>
    <w:rsid w:val="218B332A"/>
    <w:rsid w:val="2190748C"/>
    <w:rsid w:val="21990AA1"/>
    <w:rsid w:val="21995995"/>
    <w:rsid w:val="219A1286"/>
    <w:rsid w:val="219C1526"/>
    <w:rsid w:val="219D7347"/>
    <w:rsid w:val="21A47E8B"/>
    <w:rsid w:val="21A50B19"/>
    <w:rsid w:val="21A65DEA"/>
    <w:rsid w:val="21A66868"/>
    <w:rsid w:val="21A73FA1"/>
    <w:rsid w:val="21A7569B"/>
    <w:rsid w:val="21B43FEB"/>
    <w:rsid w:val="21B454E9"/>
    <w:rsid w:val="21B87D1C"/>
    <w:rsid w:val="21BA0084"/>
    <w:rsid w:val="21BA0EE0"/>
    <w:rsid w:val="21BB77A2"/>
    <w:rsid w:val="21C36301"/>
    <w:rsid w:val="21C777A3"/>
    <w:rsid w:val="21C96191"/>
    <w:rsid w:val="21CA540B"/>
    <w:rsid w:val="21CF315A"/>
    <w:rsid w:val="21D101E7"/>
    <w:rsid w:val="21D62A8B"/>
    <w:rsid w:val="21DB6CBA"/>
    <w:rsid w:val="21DE318A"/>
    <w:rsid w:val="21E10792"/>
    <w:rsid w:val="21E25926"/>
    <w:rsid w:val="21E30AD6"/>
    <w:rsid w:val="21E45600"/>
    <w:rsid w:val="21ED409A"/>
    <w:rsid w:val="21ED5625"/>
    <w:rsid w:val="21ED7753"/>
    <w:rsid w:val="21EE5D71"/>
    <w:rsid w:val="21EF5B80"/>
    <w:rsid w:val="21F11283"/>
    <w:rsid w:val="21F6343D"/>
    <w:rsid w:val="21F82FAD"/>
    <w:rsid w:val="21FC268E"/>
    <w:rsid w:val="22033668"/>
    <w:rsid w:val="220941AC"/>
    <w:rsid w:val="220C20F0"/>
    <w:rsid w:val="22151481"/>
    <w:rsid w:val="22152852"/>
    <w:rsid w:val="221B6567"/>
    <w:rsid w:val="222641F8"/>
    <w:rsid w:val="22394A78"/>
    <w:rsid w:val="223C1945"/>
    <w:rsid w:val="223C29CB"/>
    <w:rsid w:val="22423C82"/>
    <w:rsid w:val="22455CD4"/>
    <w:rsid w:val="22576990"/>
    <w:rsid w:val="22597821"/>
    <w:rsid w:val="226D6E4A"/>
    <w:rsid w:val="22720A33"/>
    <w:rsid w:val="22744381"/>
    <w:rsid w:val="22752F6E"/>
    <w:rsid w:val="227A5E53"/>
    <w:rsid w:val="227B0C6B"/>
    <w:rsid w:val="22804AA0"/>
    <w:rsid w:val="228A7CE8"/>
    <w:rsid w:val="228B059C"/>
    <w:rsid w:val="228C7E35"/>
    <w:rsid w:val="22935E2C"/>
    <w:rsid w:val="22963C78"/>
    <w:rsid w:val="2296628B"/>
    <w:rsid w:val="2298179E"/>
    <w:rsid w:val="229A6C50"/>
    <w:rsid w:val="229D20C2"/>
    <w:rsid w:val="22A77747"/>
    <w:rsid w:val="22B322A5"/>
    <w:rsid w:val="22BE77E4"/>
    <w:rsid w:val="22C15AE0"/>
    <w:rsid w:val="22C230CA"/>
    <w:rsid w:val="22C54D3D"/>
    <w:rsid w:val="22CB3B2F"/>
    <w:rsid w:val="22CC7BC6"/>
    <w:rsid w:val="22CE0239"/>
    <w:rsid w:val="22D21898"/>
    <w:rsid w:val="22D80AD6"/>
    <w:rsid w:val="22D9209E"/>
    <w:rsid w:val="22DA1DB7"/>
    <w:rsid w:val="22DB7D9B"/>
    <w:rsid w:val="22E007D6"/>
    <w:rsid w:val="22E20C6B"/>
    <w:rsid w:val="22EE1A57"/>
    <w:rsid w:val="22EE7610"/>
    <w:rsid w:val="22F47480"/>
    <w:rsid w:val="22F76CB7"/>
    <w:rsid w:val="22F84D69"/>
    <w:rsid w:val="23005243"/>
    <w:rsid w:val="2302472F"/>
    <w:rsid w:val="230C6777"/>
    <w:rsid w:val="230D2B83"/>
    <w:rsid w:val="230F132C"/>
    <w:rsid w:val="23180C18"/>
    <w:rsid w:val="231978C0"/>
    <w:rsid w:val="23266752"/>
    <w:rsid w:val="232B6424"/>
    <w:rsid w:val="232F5A63"/>
    <w:rsid w:val="232F67C3"/>
    <w:rsid w:val="23366740"/>
    <w:rsid w:val="233C1D09"/>
    <w:rsid w:val="23420AD1"/>
    <w:rsid w:val="2347515D"/>
    <w:rsid w:val="234A4EDB"/>
    <w:rsid w:val="234B0F30"/>
    <w:rsid w:val="234F24B4"/>
    <w:rsid w:val="234F2D31"/>
    <w:rsid w:val="23580F2E"/>
    <w:rsid w:val="235D1BAE"/>
    <w:rsid w:val="23604121"/>
    <w:rsid w:val="23604A7B"/>
    <w:rsid w:val="23627691"/>
    <w:rsid w:val="23686448"/>
    <w:rsid w:val="23695DC7"/>
    <w:rsid w:val="236A7B94"/>
    <w:rsid w:val="236E1F11"/>
    <w:rsid w:val="23722136"/>
    <w:rsid w:val="237775E9"/>
    <w:rsid w:val="237809B3"/>
    <w:rsid w:val="237869AE"/>
    <w:rsid w:val="237922CC"/>
    <w:rsid w:val="238C6FBD"/>
    <w:rsid w:val="238F37F3"/>
    <w:rsid w:val="23936CB3"/>
    <w:rsid w:val="239C5BC6"/>
    <w:rsid w:val="23A456C2"/>
    <w:rsid w:val="23A72EC6"/>
    <w:rsid w:val="23AB18BB"/>
    <w:rsid w:val="23B02B18"/>
    <w:rsid w:val="23B75C54"/>
    <w:rsid w:val="23B8027B"/>
    <w:rsid w:val="23B96153"/>
    <w:rsid w:val="23BB221D"/>
    <w:rsid w:val="23BB3DFB"/>
    <w:rsid w:val="23C90E4C"/>
    <w:rsid w:val="23C955A8"/>
    <w:rsid w:val="23D25685"/>
    <w:rsid w:val="23D314CE"/>
    <w:rsid w:val="23D3712A"/>
    <w:rsid w:val="23D42CAA"/>
    <w:rsid w:val="23D5376B"/>
    <w:rsid w:val="23D8539A"/>
    <w:rsid w:val="23DC593C"/>
    <w:rsid w:val="23DE1C48"/>
    <w:rsid w:val="23DF798F"/>
    <w:rsid w:val="23E12FA8"/>
    <w:rsid w:val="23E17553"/>
    <w:rsid w:val="23E375C9"/>
    <w:rsid w:val="23E70B07"/>
    <w:rsid w:val="23ED5788"/>
    <w:rsid w:val="23F42F67"/>
    <w:rsid w:val="23F449DC"/>
    <w:rsid w:val="23F810FA"/>
    <w:rsid w:val="240210CD"/>
    <w:rsid w:val="240523E9"/>
    <w:rsid w:val="240A2813"/>
    <w:rsid w:val="240F01DA"/>
    <w:rsid w:val="2415322B"/>
    <w:rsid w:val="241935BD"/>
    <w:rsid w:val="241B530B"/>
    <w:rsid w:val="241C39CC"/>
    <w:rsid w:val="241F3238"/>
    <w:rsid w:val="242809E5"/>
    <w:rsid w:val="242B03F0"/>
    <w:rsid w:val="242B5451"/>
    <w:rsid w:val="243224DB"/>
    <w:rsid w:val="24397309"/>
    <w:rsid w:val="243E395E"/>
    <w:rsid w:val="244317FA"/>
    <w:rsid w:val="2444261C"/>
    <w:rsid w:val="2446076E"/>
    <w:rsid w:val="24496E1D"/>
    <w:rsid w:val="244A2F6C"/>
    <w:rsid w:val="24547C40"/>
    <w:rsid w:val="24555018"/>
    <w:rsid w:val="245B35CE"/>
    <w:rsid w:val="245B49A5"/>
    <w:rsid w:val="24623792"/>
    <w:rsid w:val="24733CDE"/>
    <w:rsid w:val="24760C77"/>
    <w:rsid w:val="24785416"/>
    <w:rsid w:val="247C660B"/>
    <w:rsid w:val="247F2548"/>
    <w:rsid w:val="24803C80"/>
    <w:rsid w:val="24854AAB"/>
    <w:rsid w:val="248D505A"/>
    <w:rsid w:val="248D64B8"/>
    <w:rsid w:val="24942439"/>
    <w:rsid w:val="24971777"/>
    <w:rsid w:val="249B19C2"/>
    <w:rsid w:val="24A714C6"/>
    <w:rsid w:val="24AD2775"/>
    <w:rsid w:val="24B115FF"/>
    <w:rsid w:val="24B1712B"/>
    <w:rsid w:val="24B46637"/>
    <w:rsid w:val="24B709D0"/>
    <w:rsid w:val="24BE2E6E"/>
    <w:rsid w:val="24BF09F7"/>
    <w:rsid w:val="24C33CAC"/>
    <w:rsid w:val="24C34ACD"/>
    <w:rsid w:val="24C44349"/>
    <w:rsid w:val="24CC2143"/>
    <w:rsid w:val="24CD4E9B"/>
    <w:rsid w:val="24D13BCA"/>
    <w:rsid w:val="24DA3EBB"/>
    <w:rsid w:val="24DE1802"/>
    <w:rsid w:val="24DF3E9A"/>
    <w:rsid w:val="24E43BB7"/>
    <w:rsid w:val="24E54A43"/>
    <w:rsid w:val="24E8371A"/>
    <w:rsid w:val="24EE3EEE"/>
    <w:rsid w:val="24EE5E5B"/>
    <w:rsid w:val="24EF38F1"/>
    <w:rsid w:val="24EF472C"/>
    <w:rsid w:val="24F011C3"/>
    <w:rsid w:val="24F229E2"/>
    <w:rsid w:val="24F22FE8"/>
    <w:rsid w:val="24F5528E"/>
    <w:rsid w:val="24FF2FEE"/>
    <w:rsid w:val="25012488"/>
    <w:rsid w:val="25040759"/>
    <w:rsid w:val="250C68F6"/>
    <w:rsid w:val="250E27BB"/>
    <w:rsid w:val="25143662"/>
    <w:rsid w:val="25186BC6"/>
    <w:rsid w:val="251B12E1"/>
    <w:rsid w:val="251E1D03"/>
    <w:rsid w:val="25211368"/>
    <w:rsid w:val="252424A5"/>
    <w:rsid w:val="25254B3A"/>
    <w:rsid w:val="252A0898"/>
    <w:rsid w:val="252D38B0"/>
    <w:rsid w:val="252D53FE"/>
    <w:rsid w:val="252F2575"/>
    <w:rsid w:val="253232CE"/>
    <w:rsid w:val="254044DE"/>
    <w:rsid w:val="25441769"/>
    <w:rsid w:val="25454AB1"/>
    <w:rsid w:val="25481AD2"/>
    <w:rsid w:val="25496D80"/>
    <w:rsid w:val="254D526A"/>
    <w:rsid w:val="255E4792"/>
    <w:rsid w:val="256103ED"/>
    <w:rsid w:val="256161B9"/>
    <w:rsid w:val="25636658"/>
    <w:rsid w:val="2565282D"/>
    <w:rsid w:val="2565768D"/>
    <w:rsid w:val="2566013D"/>
    <w:rsid w:val="256C3041"/>
    <w:rsid w:val="256E59A8"/>
    <w:rsid w:val="2570622D"/>
    <w:rsid w:val="25717066"/>
    <w:rsid w:val="257346BE"/>
    <w:rsid w:val="25735A27"/>
    <w:rsid w:val="257430BA"/>
    <w:rsid w:val="25790E7B"/>
    <w:rsid w:val="25796BD8"/>
    <w:rsid w:val="257D7594"/>
    <w:rsid w:val="257E52D1"/>
    <w:rsid w:val="258451D6"/>
    <w:rsid w:val="25875AFA"/>
    <w:rsid w:val="259049AF"/>
    <w:rsid w:val="2592414F"/>
    <w:rsid w:val="259300DB"/>
    <w:rsid w:val="25930E2E"/>
    <w:rsid w:val="259615B0"/>
    <w:rsid w:val="25961682"/>
    <w:rsid w:val="25983902"/>
    <w:rsid w:val="259F1D3A"/>
    <w:rsid w:val="25A2699F"/>
    <w:rsid w:val="25A44CE2"/>
    <w:rsid w:val="25A52498"/>
    <w:rsid w:val="25AD31B1"/>
    <w:rsid w:val="25B00725"/>
    <w:rsid w:val="25B04B74"/>
    <w:rsid w:val="25B20504"/>
    <w:rsid w:val="25B236C8"/>
    <w:rsid w:val="25C51D55"/>
    <w:rsid w:val="25C530DC"/>
    <w:rsid w:val="25C74149"/>
    <w:rsid w:val="25C90BD5"/>
    <w:rsid w:val="25CB19DA"/>
    <w:rsid w:val="25CB4B2A"/>
    <w:rsid w:val="25CD1804"/>
    <w:rsid w:val="25D96DFC"/>
    <w:rsid w:val="25DA3E7C"/>
    <w:rsid w:val="25E87A4B"/>
    <w:rsid w:val="25EA315F"/>
    <w:rsid w:val="25EC2D81"/>
    <w:rsid w:val="25ED0053"/>
    <w:rsid w:val="25ED1DE7"/>
    <w:rsid w:val="25EF0E72"/>
    <w:rsid w:val="25EF32DA"/>
    <w:rsid w:val="25F91854"/>
    <w:rsid w:val="26103D41"/>
    <w:rsid w:val="26105E03"/>
    <w:rsid w:val="26192901"/>
    <w:rsid w:val="262360D0"/>
    <w:rsid w:val="26244CDF"/>
    <w:rsid w:val="2627380F"/>
    <w:rsid w:val="263119B4"/>
    <w:rsid w:val="2635725A"/>
    <w:rsid w:val="263A6CAE"/>
    <w:rsid w:val="26495BF9"/>
    <w:rsid w:val="264B412D"/>
    <w:rsid w:val="264D1F4D"/>
    <w:rsid w:val="26505AD0"/>
    <w:rsid w:val="26556E11"/>
    <w:rsid w:val="26565902"/>
    <w:rsid w:val="26584CC8"/>
    <w:rsid w:val="265C2FF4"/>
    <w:rsid w:val="265F4923"/>
    <w:rsid w:val="2661634B"/>
    <w:rsid w:val="26625EC2"/>
    <w:rsid w:val="26654D7B"/>
    <w:rsid w:val="266744D7"/>
    <w:rsid w:val="266802BB"/>
    <w:rsid w:val="26683828"/>
    <w:rsid w:val="266E7307"/>
    <w:rsid w:val="266F7EAE"/>
    <w:rsid w:val="26736F97"/>
    <w:rsid w:val="26753D0A"/>
    <w:rsid w:val="267972B5"/>
    <w:rsid w:val="267A437C"/>
    <w:rsid w:val="268542F3"/>
    <w:rsid w:val="268679EC"/>
    <w:rsid w:val="268727B0"/>
    <w:rsid w:val="268D33F9"/>
    <w:rsid w:val="269404CF"/>
    <w:rsid w:val="269631F7"/>
    <w:rsid w:val="269F4135"/>
    <w:rsid w:val="26A06C71"/>
    <w:rsid w:val="26A10E3D"/>
    <w:rsid w:val="26AC2706"/>
    <w:rsid w:val="26AC2961"/>
    <w:rsid w:val="26AE47E0"/>
    <w:rsid w:val="26B233F0"/>
    <w:rsid w:val="26B3251E"/>
    <w:rsid w:val="26BA6365"/>
    <w:rsid w:val="26BC4D90"/>
    <w:rsid w:val="26BE0515"/>
    <w:rsid w:val="26BE0B1A"/>
    <w:rsid w:val="26C136ED"/>
    <w:rsid w:val="26C65980"/>
    <w:rsid w:val="26D931B0"/>
    <w:rsid w:val="26DA0729"/>
    <w:rsid w:val="26DD25A7"/>
    <w:rsid w:val="26E254C0"/>
    <w:rsid w:val="26E91B93"/>
    <w:rsid w:val="26EE1B16"/>
    <w:rsid w:val="26EF000B"/>
    <w:rsid w:val="26FB22FC"/>
    <w:rsid w:val="26FD74D0"/>
    <w:rsid w:val="270367DA"/>
    <w:rsid w:val="27044D1E"/>
    <w:rsid w:val="270719B2"/>
    <w:rsid w:val="27074AFB"/>
    <w:rsid w:val="270977F5"/>
    <w:rsid w:val="270D6C01"/>
    <w:rsid w:val="27182429"/>
    <w:rsid w:val="271C2893"/>
    <w:rsid w:val="271F3325"/>
    <w:rsid w:val="271F65E2"/>
    <w:rsid w:val="27220A7D"/>
    <w:rsid w:val="27266A4D"/>
    <w:rsid w:val="272711C1"/>
    <w:rsid w:val="27286E69"/>
    <w:rsid w:val="272E785F"/>
    <w:rsid w:val="273013BD"/>
    <w:rsid w:val="273318F6"/>
    <w:rsid w:val="27336879"/>
    <w:rsid w:val="27374C7D"/>
    <w:rsid w:val="27425501"/>
    <w:rsid w:val="274556D9"/>
    <w:rsid w:val="27482E4D"/>
    <w:rsid w:val="274E52FB"/>
    <w:rsid w:val="27540AC5"/>
    <w:rsid w:val="27546FD5"/>
    <w:rsid w:val="277057A2"/>
    <w:rsid w:val="27721099"/>
    <w:rsid w:val="27723B5D"/>
    <w:rsid w:val="277B1836"/>
    <w:rsid w:val="277D6146"/>
    <w:rsid w:val="278019B0"/>
    <w:rsid w:val="278224C6"/>
    <w:rsid w:val="2785625A"/>
    <w:rsid w:val="27890490"/>
    <w:rsid w:val="278E564F"/>
    <w:rsid w:val="27A229BD"/>
    <w:rsid w:val="27A30218"/>
    <w:rsid w:val="27A41B53"/>
    <w:rsid w:val="27A73CFE"/>
    <w:rsid w:val="27A95F60"/>
    <w:rsid w:val="27AC74B0"/>
    <w:rsid w:val="27AD6FBE"/>
    <w:rsid w:val="27AF0D72"/>
    <w:rsid w:val="27B333D4"/>
    <w:rsid w:val="27BD0C0B"/>
    <w:rsid w:val="27BD45DA"/>
    <w:rsid w:val="27BF3C66"/>
    <w:rsid w:val="27C070C8"/>
    <w:rsid w:val="27C97CD5"/>
    <w:rsid w:val="27CB712C"/>
    <w:rsid w:val="27CC3C98"/>
    <w:rsid w:val="27D112AE"/>
    <w:rsid w:val="27D616D8"/>
    <w:rsid w:val="27D72023"/>
    <w:rsid w:val="27DD5A4C"/>
    <w:rsid w:val="27E27319"/>
    <w:rsid w:val="27E44141"/>
    <w:rsid w:val="27E45486"/>
    <w:rsid w:val="27EA3827"/>
    <w:rsid w:val="27F25694"/>
    <w:rsid w:val="27F403AC"/>
    <w:rsid w:val="27F4092A"/>
    <w:rsid w:val="27F41405"/>
    <w:rsid w:val="280467E8"/>
    <w:rsid w:val="28066C96"/>
    <w:rsid w:val="280D5239"/>
    <w:rsid w:val="28132609"/>
    <w:rsid w:val="28167E4D"/>
    <w:rsid w:val="281918DC"/>
    <w:rsid w:val="28195A94"/>
    <w:rsid w:val="281C3C81"/>
    <w:rsid w:val="28252369"/>
    <w:rsid w:val="28272473"/>
    <w:rsid w:val="282736E4"/>
    <w:rsid w:val="2827430F"/>
    <w:rsid w:val="282C02A6"/>
    <w:rsid w:val="28435C0F"/>
    <w:rsid w:val="28437D81"/>
    <w:rsid w:val="28503519"/>
    <w:rsid w:val="28541657"/>
    <w:rsid w:val="285673E9"/>
    <w:rsid w:val="285C60A6"/>
    <w:rsid w:val="28623DF1"/>
    <w:rsid w:val="28697E52"/>
    <w:rsid w:val="286B654B"/>
    <w:rsid w:val="286E7938"/>
    <w:rsid w:val="287170FD"/>
    <w:rsid w:val="287528F7"/>
    <w:rsid w:val="28784091"/>
    <w:rsid w:val="287B3B0C"/>
    <w:rsid w:val="288367F2"/>
    <w:rsid w:val="288726CD"/>
    <w:rsid w:val="28872858"/>
    <w:rsid w:val="28873408"/>
    <w:rsid w:val="28883B68"/>
    <w:rsid w:val="288F5AD7"/>
    <w:rsid w:val="28906F9B"/>
    <w:rsid w:val="289120D9"/>
    <w:rsid w:val="289204D5"/>
    <w:rsid w:val="289C26D2"/>
    <w:rsid w:val="289D77F5"/>
    <w:rsid w:val="28A3045D"/>
    <w:rsid w:val="28A8536D"/>
    <w:rsid w:val="28A90254"/>
    <w:rsid w:val="28AB3BCD"/>
    <w:rsid w:val="28AB7D51"/>
    <w:rsid w:val="28B60BD0"/>
    <w:rsid w:val="28BF2F94"/>
    <w:rsid w:val="28C16F45"/>
    <w:rsid w:val="28CB19DB"/>
    <w:rsid w:val="28CD3A2E"/>
    <w:rsid w:val="28D2463B"/>
    <w:rsid w:val="28E25E85"/>
    <w:rsid w:val="28E52BED"/>
    <w:rsid w:val="28E73934"/>
    <w:rsid w:val="28F06BC6"/>
    <w:rsid w:val="28F37DE2"/>
    <w:rsid w:val="28F92064"/>
    <w:rsid w:val="28FE641B"/>
    <w:rsid w:val="29040DEC"/>
    <w:rsid w:val="290860E3"/>
    <w:rsid w:val="290B020C"/>
    <w:rsid w:val="290F0322"/>
    <w:rsid w:val="290F0349"/>
    <w:rsid w:val="29121B1F"/>
    <w:rsid w:val="2914585E"/>
    <w:rsid w:val="29163719"/>
    <w:rsid w:val="2917350C"/>
    <w:rsid w:val="29190856"/>
    <w:rsid w:val="291D10A0"/>
    <w:rsid w:val="29206EB8"/>
    <w:rsid w:val="29283896"/>
    <w:rsid w:val="292A28FE"/>
    <w:rsid w:val="292B085B"/>
    <w:rsid w:val="292F0982"/>
    <w:rsid w:val="29312E73"/>
    <w:rsid w:val="2936660C"/>
    <w:rsid w:val="293A0DE1"/>
    <w:rsid w:val="293B1749"/>
    <w:rsid w:val="293B1FAE"/>
    <w:rsid w:val="293C140C"/>
    <w:rsid w:val="293D4E4D"/>
    <w:rsid w:val="29413C8F"/>
    <w:rsid w:val="2946756F"/>
    <w:rsid w:val="29550740"/>
    <w:rsid w:val="29564161"/>
    <w:rsid w:val="29567959"/>
    <w:rsid w:val="29595666"/>
    <w:rsid w:val="295A5703"/>
    <w:rsid w:val="295B3464"/>
    <w:rsid w:val="295D1F41"/>
    <w:rsid w:val="295F078B"/>
    <w:rsid w:val="296634CD"/>
    <w:rsid w:val="296648C9"/>
    <w:rsid w:val="29665317"/>
    <w:rsid w:val="2967011C"/>
    <w:rsid w:val="296C0D67"/>
    <w:rsid w:val="296E1C48"/>
    <w:rsid w:val="296F0B0C"/>
    <w:rsid w:val="29766098"/>
    <w:rsid w:val="297D0CAA"/>
    <w:rsid w:val="29874881"/>
    <w:rsid w:val="298C7B29"/>
    <w:rsid w:val="298D27F7"/>
    <w:rsid w:val="298E4767"/>
    <w:rsid w:val="29904DA4"/>
    <w:rsid w:val="299647F0"/>
    <w:rsid w:val="2996656D"/>
    <w:rsid w:val="29970760"/>
    <w:rsid w:val="299747E3"/>
    <w:rsid w:val="299C3346"/>
    <w:rsid w:val="299E5254"/>
    <w:rsid w:val="29A0418A"/>
    <w:rsid w:val="29B0672F"/>
    <w:rsid w:val="29B52F15"/>
    <w:rsid w:val="29B65846"/>
    <w:rsid w:val="29BA3C05"/>
    <w:rsid w:val="29BA66E8"/>
    <w:rsid w:val="29BB72C9"/>
    <w:rsid w:val="29C95EB3"/>
    <w:rsid w:val="29CC7F7F"/>
    <w:rsid w:val="29DF3FCC"/>
    <w:rsid w:val="29E03200"/>
    <w:rsid w:val="29E300B5"/>
    <w:rsid w:val="29E325E0"/>
    <w:rsid w:val="29E37698"/>
    <w:rsid w:val="29E52B9D"/>
    <w:rsid w:val="29EB1925"/>
    <w:rsid w:val="29EC04B9"/>
    <w:rsid w:val="29F13560"/>
    <w:rsid w:val="29F955D8"/>
    <w:rsid w:val="2A002B49"/>
    <w:rsid w:val="2A021BF3"/>
    <w:rsid w:val="2A04624B"/>
    <w:rsid w:val="2A085B9E"/>
    <w:rsid w:val="2A0C569A"/>
    <w:rsid w:val="2A0E00D4"/>
    <w:rsid w:val="2A132B68"/>
    <w:rsid w:val="2A187D0D"/>
    <w:rsid w:val="2A1C0BDC"/>
    <w:rsid w:val="2A216F1C"/>
    <w:rsid w:val="2A260C0D"/>
    <w:rsid w:val="2A277EFE"/>
    <w:rsid w:val="2A296C7E"/>
    <w:rsid w:val="2A2F34DC"/>
    <w:rsid w:val="2A355843"/>
    <w:rsid w:val="2A3A1C2C"/>
    <w:rsid w:val="2A3E713F"/>
    <w:rsid w:val="2A3F17FE"/>
    <w:rsid w:val="2A401EBA"/>
    <w:rsid w:val="2A4254DE"/>
    <w:rsid w:val="2A432960"/>
    <w:rsid w:val="2A452503"/>
    <w:rsid w:val="2A464FFE"/>
    <w:rsid w:val="2A4B1221"/>
    <w:rsid w:val="2A4D5059"/>
    <w:rsid w:val="2A524929"/>
    <w:rsid w:val="2A54660F"/>
    <w:rsid w:val="2A557A96"/>
    <w:rsid w:val="2A5B7105"/>
    <w:rsid w:val="2A5D6C8B"/>
    <w:rsid w:val="2A5F29FA"/>
    <w:rsid w:val="2A5F7C7E"/>
    <w:rsid w:val="2A617D8B"/>
    <w:rsid w:val="2A671CFC"/>
    <w:rsid w:val="2A6B25D8"/>
    <w:rsid w:val="2A6C5518"/>
    <w:rsid w:val="2A790996"/>
    <w:rsid w:val="2A7C50F3"/>
    <w:rsid w:val="2A8F5A0F"/>
    <w:rsid w:val="2A905ABE"/>
    <w:rsid w:val="2A9420DA"/>
    <w:rsid w:val="2A990F59"/>
    <w:rsid w:val="2A9A4B01"/>
    <w:rsid w:val="2AA056E0"/>
    <w:rsid w:val="2AA07373"/>
    <w:rsid w:val="2AA408FD"/>
    <w:rsid w:val="2AA56F7B"/>
    <w:rsid w:val="2AA6734D"/>
    <w:rsid w:val="2AA77625"/>
    <w:rsid w:val="2AA92517"/>
    <w:rsid w:val="2AA9498D"/>
    <w:rsid w:val="2AAB642C"/>
    <w:rsid w:val="2AAC088D"/>
    <w:rsid w:val="2AAF69A1"/>
    <w:rsid w:val="2AB4113F"/>
    <w:rsid w:val="2ABC1CC9"/>
    <w:rsid w:val="2AC179D7"/>
    <w:rsid w:val="2AC90C66"/>
    <w:rsid w:val="2ACA4099"/>
    <w:rsid w:val="2ACF7537"/>
    <w:rsid w:val="2ADA3205"/>
    <w:rsid w:val="2ADD5C1D"/>
    <w:rsid w:val="2AE51B66"/>
    <w:rsid w:val="2AE73182"/>
    <w:rsid w:val="2AE80DE9"/>
    <w:rsid w:val="2AEA3675"/>
    <w:rsid w:val="2AF31654"/>
    <w:rsid w:val="2AF36B68"/>
    <w:rsid w:val="2AF97284"/>
    <w:rsid w:val="2AFC5022"/>
    <w:rsid w:val="2AFF7A17"/>
    <w:rsid w:val="2B03475B"/>
    <w:rsid w:val="2B042837"/>
    <w:rsid w:val="2B06212C"/>
    <w:rsid w:val="2B066FF7"/>
    <w:rsid w:val="2B084235"/>
    <w:rsid w:val="2B1267FD"/>
    <w:rsid w:val="2B1361F0"/>
    <w:rsid w:val="2B141AF3"/>
    <w:rsid w:val="2B1A4786"/>
    <w:rsid w:val="2B1D10C4"/>
    <w:rsid w:val="2B1D2CC1"/>
    <w:rsid w:val="2B207EA9"/>
    <w:rsid w:val="2B2142FB"/>
    <w:rsid w:val="2B22356E"/>
    <w:rsid w:val="2B2262F3"/>
    <w:rsid w:val="2B247411"/>
    <w:rsid w:val="2B25392A"/>
    <w:rsid w:val="2B27058D"/>
    <w:rsid w:val="2B3161A9"/>
    <w:rsid w:val="2B330D0F"/>
    <w:rsid w:val="2B36364E"/>
    <w:rsid w:val="2B367172"/>
    <w:rsid w:val="2B381D70"/>
    <w:rsid w:val="2B427CAF"/>
    <w:rsid w:val="2B4733D3"/>
    <w:rsid w:val="2B4B5186"/>
    <w:rsid w:val="2B4D5EE7"/>
    <w:rsid w:val="2B541D73"/>
    <w:rsid w:val="2B557941"/>
    <w:rsid w:val="2B590BEA"/>
    <w:rsid w:val="2B5B70DD"/>
    <w:rsid w:val="2B5F689C"/>
    <w:rsid w:val="2B615FC9"/>
    <w:rsid w:val="2B654705"/>
    <w:rsid w:val="2B65781E"/>
    <w:rsid w:val="2B681065"/>
    <w:rsid w:val="2B694081"/>
    <w:rsid w:val="2B6A593D"/>
    <w:rsid w:val="2B6E0CB5"/>
    <w:rsid w:val="2B6F1287"/>
    <w:rsid w:val="2B7006E4"/>
    <w:rsid w:val="2B7D5822"/>
    <w:rsid w:val="2B7E3686"/>
    <w:rsid w:val="2B7F49A6"/>
    <w:rsid w:val="2B8069D3"/>
    <w:rsid w:val="2B8B1750"/>
    <w:rsid w:val="2B8E6B1E"/>
    <w:rsid w:val="2B9630FA"/>
    <w:rsid w:val="2B9734A8"/>
    <w:rsid w:val="2B974219"/>
    <w:rsid w:val="2B9A1A65"/>
    <w:rsid w:val="2B9C0396"/>
    <w:rsid w:val="2B9C1C17"/>
    <w:rsid w:val="2BA12434"/>
    <w:rsid w:val="2BA47662"/>
    <w:rsid w:val="2BA936A8"/>
    <w:rsid w:val="2BAD034C"/>
    <w:rsid w:val="2BAD0C2F"/>
    <w:rsid w:val="2BAD0DF3"/>
    <w:rsid w:val="2BAE5A5B"/>
    <w:rsid w:val="2BB23F36"/>
    <w:rsid w:val="2BBF639C"/>
    <w:rsid w:val="2BC26F9C"/>
    <w:rsid w:val="2BC36028"/>
    <w:rsid w:val="2BCB1660"/>
    <w:rsid w:val="2BCB66AA"/>
    <w:rsid w:val="2BCD3E5A"/>
    <w:rsid w:val="2BCF0BE3"/>
    <w:rsid w:val="2BCF624B"/>
    <w:rsid w:val="2BCF7EC4"/>
    <w:rsid w:val="2BD00A9D"/>
    <w:rsid w:val="2BD02A1D"/>
    <w:rsid w:val="2BD34689"/>
    <w:rsid w:val="2BD355F5"/>
    <w:rsid w:val="2BD96958"/>
    <w:rsid w:val="2BDC10FF"/>
    <w:rsid w:val="2BDC67A1"/>
    <w:rsid w:val="2BE451DC"/>
    <w:rsid w:val="2BE56DA2"/>
    <w:rsid w:val="2BE66366"/>
    <w:rsid w:val="2BEE50BF"/>
    <w:rsid w:val="2BF21F92"/>
    <w:rsid w:val="2BF26A2A"/>
    <w:rsid w:val="2BF51C48"/>
    <w:rsid w:val="2BF818D0"/>
    <w:rsid w:val="2BF856C7"/>
    <w:rsid w:val="2BF976CA"/>
    <w:rsid w:val="2BFD2672"/>
    <w:rsid w:val="2BFE6A21"/>
    <w:rsid w:val="2C031008"/>
    <w:rsid w:val="2C087720"/>
    <w:rsid w:val="2C0B189B"/>
    <w:rsid w:val="2C137D42"/>
    <w:rsid w:val="2C1D2D14"/>
    <w:rsid w:val="2C1D74F8"/>
    <w:rsid w:val="2C1F7431"/>
    <w:rsid w:val="2C2357EC"/>
    <w:rsid w:val="2C290E82"/>
    <w:rsid w:val="2C2C4CCA"/>
    <w:rsid w:val="2C315A5A"/>
    <w:rsid w:val="2C36361E"/>
    <w:rsid w:val="2C3C4763"/>
    <w:rsid w:val="2C444780"/>
    <w:rsid w:val="2C456E72"/>
    <w:rsid w:val="2C463814"/>
    <w:rsid w:val="2C4B1C25"/>
    <w:rsid w:val="2C5164ED"/>
    <w:rsid w:val="2C5270A0"/>
    <w:rsid w:val="2C56122A"/>
    <w:rsid w:val="2C591846"/>
    <w:rsid w:val="2C6072EB"/>
    <w:rsid w:val="2C613A52"/>
    <w:rsid w:val="2C65797D"/>
    <w:rsid w:val="2C6675DE"/>
    <w:rsid w:val="2C676012"/>
    <w:rsid w:val="2C6D707D"/>
    <w:rsid w:val="2C74026C"/>
    <w:rsid w:val="2C754D45"/>
    <w:rsid w:val="2C7601E9"/>
    <w:rsid w:val="2C85655A"/>
    <w:rsid w:val="2C887077"/>
    <w:rsid w:val="2C8D76CE"/>
    <w:rsid w:val="2C8E6628"/>
    <w:rsid w:val="2C9859EB"/>
    <w:rsid w:val="2C9C4F27"/>
    <w:rsid w:val="2CA2089B"/>
    <w:rsid w:val="2CA62E13"/>
    <w:rsid w:val="2CA661DD"/>
    <w:rsid w:val="2CAF2F4A"/>
    <w:rsid w:val="2CB35427"/>
    <w:rsid w:val="2CB36875"/>
    <w:rsid w:val="2CB44CCF"/>
    <w:rsid w:val="2CB90CA6"/>
    <w:rsid w:val="2CBD3C7D"/>
    <w:rsid w:val="2CBF3DC0"/>
    <w:rsid w:val="2CC60ECB"/>
    <w:rsid w:val="2CC753C2"/>
    <w:rsid w:val="2CC974A1"/>
    <w:rsid w:val="2CCA7AFF"/>
    <w:rsid w:val="2CCF55EC"/>
    <w:rsid w:val="2CDD2877"/>
    <w:rsid w:val="2CDE369B"/>
    <w:rsid w:val="2CDF3CF4"/>
    <w:rsid w:val="2CE1679A"/>
    <w:rsid w:val="2CE455E0"/>
    <w:rsid w:val="2CEA788D"/>
    <w:rsid w:val="2CEB410F"/>
    <w:rsid w:val="2CEE20C4"/>
    <w:rsid w:val="2CEE28D4"/>
    <w:rsid w:val="2CFC42F2"/>
    <w:rsid w:val="2D001365"/>
    <w:rsid w:val="2D01058E"/>
    <w:rsid w:val="2D045C82"/>
    <w:rsid w:val="2D075237"/>
    <w:rsid w:val="2D083D71"/>
    <w:rsid w:val="2D0C7D48"/>
    <w:rsid w:val="2D1647B6"/>
    <w:rsid w:val="2D1C1A92"/>
    <w:rsid w:val="2D2664BC"/>
    <w:rsid w:val="2D2C533D"/>
    <w:rsid w:val="2D3A44A6"/>
    <w:rsid w:val="2D404A71"/>
    <w:rsid w:val="2D407D9A"/>
    <w:rsid w:val="2D410C84"/>
    <w:rsid w:val="2D453E61"/>
    <w:rsid w:val="2D481F1F"/>
    <w:rsid w:val="2D542188"/>
    <w:rsid w:val="2D552EB2"/>
    <w:rsid w:val="2D56017B"/>
    <w:rsid w:val="2D561E22"/>
    <w:rsid w:val="2D593A83"/>
    <w:rsid w:val="2D655022"/>
    <w:rsid w:val="2D7C51DE"/>
    <w:rsid w:val="2D7E1439"/>
    <w:rsid w:val="2D817709"/>
    <w:rsid w:val="2D884977"/>
    <w:rsid w:val="2D8B5A96"/>
    <w:rsid w:val="2D927602"/>
    <w:rsid w:val="2D940101"/>
    <w:rsid w:val="2D952BEC"/>
    <w:rsid w:val="2D961732"/>
    <w:rsid w:val="2D971100"/>
    <w:rsid w:val="2D98665D"/>
    <w:rsid w:val="2D9A2788"/>
    <w:rsid w:val="2D9D410D"/>
    <w:rsid w:val="2D9E56F5"/>
    <w:rsid w:val="2D9E7E67"/>
    <w:rsid w:val="2D9F62C3"/>
    <w:rsid w:val="2DA22E26"/>
    <w:rsid w:val="2DAB339F"/>
    <w:rsid w:val="2DAD2442"/>
    <w:rsid w:val="2DB223C9"/>
    <w:rsid w:val="2DB357BA"/>
    <w:rsid w:val="2DB53EBA"/>
    <w:rsid w:val="2DBC17CA"/>
    <w:rsid w:val="2DBF69BB"/>
    <w:rsid w:val="2DC0697A"/>
    <w:rsid w:val="2DC37073"/>
    <w:rsid w:val="2DC63E07"/>
    <w:rsid w:val="2DC76734"/>
    <w:rsid w:val="2DC810AB"/>
    <w:rsid w:val="2DC83B9B"/>
    <w:rsid w:val="2DCD63FB"/>
    <w:rsid w:val="2DCF63DF"/>
    <w:rsid w:val="2DD35745"/>
    <w:rsid w:val="2DDF3BE2"/>
    <w:rsid w:val="2DE26FB5"/>
    <w:rsid w:val="2DE51610"/>
    <w:rsid w:val="2DE8291A"/>
    <w:rsid w:val="2DEE209E"/>
    <w:rsid w:val="2DEE2698"/>
    <w:rsid w:val="2DF71CB0"/>
    <w:rsid w:val="2DFA098F"/>
    <w:rsid w:val="2DFA7D09"/>
    <w:rsid w:val="2E006627"/>
    <w:rsid w:val="2E0163D9"/>
    <w:rsid w:val="2E04418C"/>
    <w:rsid w:val="2E070A8C"/>
    <w:rsid w:val="2E097803"/>
    <w:rsid w:val="2E0A2E34"/>
    <w:rsid w:val="2E180085"/>
    <w:rsid w:val="2E1C3400"/>
    <w:rsid w:val="2E1C586A"/>
    <w:rsid w:val="2E1E6002"/>
    <w:rsid w:val="2E271C28"/>
    <w:rsid w:val="2E2B1037"/>
    <w:rsid w:val="2E2F4E30"/>
    <w:rsid w:val="2E312AA7"/>
    <w:rsid w:val="2E3C14A8"/>
    <w:rsid w:val="2E456956"/>
    <w:rsid w:val="2E4F1210"/>
    <w:rsid w:val="2E5E231C"/>
    <w:rsid w:val="2E6328CD"/>
    <w:rsid w:val="2E642E7C"/>
    <w:rsid w:val="2E662EBA"/>
    <w:rsid w:val="2E667F96"/>
    <w:rsid w:val="2E69546B"/>
    <w:rsid w:val="2E6B1950"/>
    <w:rsid w:val="2E770EF3"/>
    <w:rsid w:val="2E7E31A4"/>
    <w:rsid w:val="2E821CF4"/>
    <w:rsid w:val="2E8226AB"/>
    <w:rsid w:val="2E8379C9"/>
    <w:rsid w:val="2E844C4E"/>
    <w:rsid w:val="2E853105"/>
    <w:rsid w:val="2E865C1E"/>
    <w:rsid w:val="2E8C5556"/>
    <w:rsid w:val="2E8D561D"/>
    <w:rsid w:val="2E935832"/>
    <w:rsid w:val="2E97093A"/>
    <w:rsid w:val="2E9B1B5A"/>
    <w:rsid w:val="2E9B59CF"/>
    <w:rsid w:val="2EA303CF"/>
    <w:rsid w:val="2EA4445E"/>
    <w:rsid w:val="2EA57C84"/>
    <w:rsid w:val="2EB418CB"/>
    <w:rsid w:val="2EB7371F"/>
    <w:rsid w:val="2EBB49EE"/>
    <w:rsid w:val="2EBE3AF5"/>
    <w:rsid w:val="2EC265A4"/>
    <w:rsid w:val="2EC560B6"/>
    <w:rsid w:val="2EC73470"/>
    <w:rsid w:val="2EC97D97"/>
    <w:rsid w:val="2ECC0AC3"/>
    <w:rsid w:val="2ECC23EB"/>
    <w:rsid w:val="2ED6563C"/>
    <w:rsid w:val="2EDA700A"/>
    <w:rsid w:val="2EDF07AD"/>
    <w:rsid w:val="2EDF1BA9"/>
    <w:rsid w:val="2EE144CD"/>
    <w:rsid w:val="2EE54EE5"/>
    <w:rsid w:val="2EE70EEC"/>
    <w:rsid w:val="2EED79E3"/>
    <w:rsid w:val="2EEF76C7"/>
    <w:rsid w:val="2EF55A1F"/>
    <w:rsid w:val="2F0003E9"/>
    <w:rsid w:val="2F064B05"/>
    <w:rsid w:val="2F0804C9"/>
    <w:rsid w:val="2F0A3B8B"/>
    <w:rsid w:val="2F0C2E61"/>
    <w:rsid w:val="2F0E20A5"/>
    <w:rsid w:val="2F0E7C8A"/>
    <w:rsid w:val="2F11773D"/>
    <w:rsid w:val="2F185693"/>
    <w:rsid w:val="2F20533E"/>
    <w:rsid w:val="2F270EDB"/>
    <w:rsid w:val="2F283EAA"/>
    <w:rsid w:val="2F2A68BD"/>
    <w:rsid w:val="2F2C7AAD"/>
    <w:rsid w:val="2F307202"/>
    <w:rsid w:val="2F396F67"/>
    <w:rsid w:val="2F3B1D08"/>
    <w:rsid w:val="2F426433"/>
    <w:rsid w:val="2F436F36"/>
    <w:rsid w:val="2F4C7761"/>
    <w:rsid w:val="2F4F1437"/>
    <w:rsid w:val="2F4F5F32"/>
    <w:rsid w:val="2F5B0EC7"/>
    <w:rsid w:val="2F5B4F17"/>
    <w:rsid w:val="2F5D7B01"/>
    <w:rsid w:val="2F5F0A54"/>
    <w:rsid w:val="2F613479"/>
    <w:rsid w:val="2F646CC8"/>
    <w:rsid w:val="2F67350A"/>
    <w:rsid w:val="2F7022CD"/>
    <w:rsid w:val="2F715851"/>
    <w:rsid w:val="2F720BA6"/>
    <w:rsid w:val="2F740E9D"/>
    <w:rsid w:val="2F7B3541"/>
    <w:rsid w:val="2F7F4294"/>
    <w:rsid w:val="2F81344C"/>
    <w:rsid w:val="2F820168"/>
    <w:rsid w:val="2F82527C"/>
    <w:rsid w:val="2F896C0E"/>
    <w:rsid w:val="2F8A08CC"/>
    <w:rsid w:val="2F905F31"/>
    <w:rsid w:val="2F923C88"/>
    <w:rsid w:val="2F994861"/>
    <w:rsid w:val="2F9F455D"/>
    <w:rsid w:val="2FA14DA0"/>
    <w:rsid w:val="2FA279E2"/>
    <w:rsid w:val="2FA351FD"/>
    <w:rsid w:val="2FA604AB"/>
    <w:rsid w:val="2FA97FF6"/>
    <w:rsid w:val="2FAA0613"/>
    <w:rsid w:val="2FAB56E7"/>
    <w:rsid w:val="2FBA7665"/>
    <w:rsid w:val="2FC02847"/>
    <w:rsid w:val="2FC04E27"/>
    <w:rsid w:val="2FC42895"/>
    <w:rsid w:val="2FC50F6B"/>
    <w:rsid w:val="2FC71093"/>
    <w:rsid w:val="2FD065E6"/>
    <w:rsid w:val="2FD82B2A"/>
    <w:rsid w:val="2FD905A1"/>
    <w:rsid w:val="2FD95069"/>
    <w:rsid w:val="2FD96870"/>
    <w:rsid w:val="2FDA4FD6"/>
    <w:rsid w:val="2FEF4A55"/>
    <w:rsid w:val="2FF51A83"/>
    <w:rsid w:val="2FFC4739"/>
    <w:rsid w:val="2FFD4E80"/>
    <w:rsid w:val="2FFF6E5D"/>
    <w:rsid w:val="300C686C"/>
    <w:rsid w:val="300D5E46"/>
    <w:rsid w:val="3010228D"/>
    <w:rsid w:val="30111B12"/>
    <w:rsid w:val="30122F2A"/>
    <w:rsid w:val="301E15E1"/>
    <w:rsid w:val="30256FBC"/>
    <w:rsid w:val="30287477"/>
    <w:rsid w:val="302C4A64"/>
    <w:rsid w:val="302C78DE"/>
    <w:rsid w:val="302F2528"/>
    <w:rsid w:val="30300966"/>
    <w:rsid w:val="30306D03"/>
    <w:rsid w:val="303E330E"/>
    <w:rsid w:val="303E35AC"/>
    <w:rsid w:val="303F4944"/>
    <w:rsid w:val="303F7FE2"/>
    <w:rsid w:val="30405A30"/>
    <w:rsid w:val="30416CC9"/>
    <w:rsid w:val="30427C2A"/>
    <w:rsid w:val="304347A4"/>
    <w:rsid w:val="30504191"/>
    <w:rsid w:val="30556F63"/>
    <w:rsid w:val="30580BC9"/>
    <w:rsid w:val="305A4537"/>
    <w:rsid w:val="30620053"/>
    <w:rsid w:val="306451C3"/>
    <w:rsid w:val="3069065E"/>
    <w:rsid w:val="306A17AC"/>
    <w:rsid w:val="306E6CC1"/>
    <w:rsid w:val="30743B86"/>
    <w:rsid w:val="307B4587"/>
    <w:rsid w:val="307C34E9"/>
    <w:rsid w:val="307F602B"/>
    <w:rsid w:val="30842504"/>
    <w:rsid w:val="30876574"/>
    <w:rsid w:val="308E72D3"/>
    <w:rsid w:val="30934A93"/>
    <w:rsid w:val="309537C1"/>
    <w:rsid w:val="30A4654D"/>
    <w:rsid w:val="30A50CD1"/>
    <w:rsid w:val="30A81E0C"/>
    <w:rsid w:val="30A86B68"/>
    <w:rsid w:val="30AB4D93"/>
    <w:rsid w:val="30B23189"/>
    <w:rsid w:val="30B73737"/>
    <w:rsid w:val="30BC2AC2"/>
    <w:rsid w:val="30BE21D5"/>
    <w:rsid w:val="30C0643D"/>
    <w:rsid w:val="30C0743E"/>
    <w:rsid w:val="30C31EAB"/>
    <w:rsid w:val="30C45B8F"/>
    <w:rsid w:val="30C661E1"/>
    <w:rsid w:val="30CC39DA"/>
    <w:rsid w:val="30CF0BA0"/>
    <w:rsid w:val="30CF6FDC"/>
    <w:rsid w:val="30DD0CC4"/>
    <w:rsid w:val="30DF2A9A"/>
    <w:rsid w:val="30E00203"/>
    <w:rsid w:val="30E453DB"/>
    <w:rsid w:val="30F625DE"/>
    <w:rsid w:val="30F96B80"/>
    <w:rsid w:val="30FC3634"/>
    <w:rsid w:val="30FE7A67"/>
    <w:rsid w:val="31004119"/>
    <w:rsid w:val="310915AE"/>
    <w:rsid w:val="310B0534"/>
    <w:rsid w:val="310C488B"/>
    <w:rsid w:val="311213ED"/>
    <w:rsid w:val="31174D2B"/>
    <w:rsid w:val="31195299"/>
    <w:rsid w:val="311961A0"/>
    <w:rsid w:val="311A44A4"/>
    <w:rsid w:val="311B2236"/>
    <w:rsid w:val="311E2ED7"/>
    <w:rsid w:val="312C5883"/>
    <w:rsid w:val="312C7FF0"/>
    <w:rsid w:val="312E32CE"/>
    <w:rsid w:val="313031B9"/>
    <w:rsid w:val="3130762B"/>
    <w:rsid w:val="313151C5"/>
    <w:rsid w:val="31327262"/>
    <w:rsid w:val="31341609"/>
    <w:rsid w:val="313945C5"/>
    <w:rsid w:val="31395E4E"/>
    <w:rsid w:val="313F2F61"/>
    <w:rsid w:val="31402F14"/>
    <w:rsid w:val="31411150"/>
    <w:rsid w:val="3147147E"/>
    <w:rsid w:val="314C2998"/>
    <w:rsid w:val="315076E8"/>
    <w:rsid w:val="3153318E"/>
    <w:rsid w:val="3154222C"/>
    <w:rsid w:val="315619EE"/>
    <w:rsid w:val="31561DBD"/>
    <w:rsid w:val="31567728"/>
    <w:rsid w:val="31570A76"/>
    <w:rsid w:val="31573D6F"/>
    <w:rsid w:val="315B2DE2"/>
    <w:rsid w:val="315C449C"/>
    <w:rsid w:val="315D249A"/>
    <w:rsid w:val="315E40CE"/>
    <w:rsid w:val="3160258C"/>
    <w:rsid w:val="31623547"/>
    <w:rsid w:val="31632299"/>
    <w:rsid w:val="31644EEA"/>
    <w:rsid w:val="31696333"/>
    <w:rsid w:val="31710199"/>
    <w:rsid w:val="31726F78"/>
    <w:rsid w:val="31814DC1"/>
    <w:rsid w:val="3183222E"/>
    <w:rsid w:val="318956D7"/>
    <w:rsid w:val="318D4FE9"/>
    <w:rsid w:val="318E3D87"/>
    <w:rsid w:val="3194771C"/>
    <w:rsid w:val="31983286"/>
    <w:rsid w:val="319B5869"/>
    <w:rsid w:val="319B734D"/>
    <w:rsid w:val="31A04983"/>
    <w:rsid w:val="31A42D7F"/>
    <w:rsid w:val="31A52CB1"/>
    <w:rsid w:val="31AF0972"/>
    <w:rsid w:val="31B13E11"/>
    <w:rsid w:val="31B3444B"/>
    <w:rsid w:val="31B82709"/>
    <w:rsid w:val="31B92B8B"/>
    <w:rsid w:val="31C34DFE"/>
    <w:rsid w:val="31C85CAB"/>
    <w:rsid w:val="31CA063D"/>
    <w:rsid w:val="31CD2588"/>
    <w:rsid w:val="31CF6F03"/>
    <w:rsid w:val="31D0305F"/>
    <w:rsid w:val="31D05482"/>
    <w:rsid w:val="31D07AD6"/>
    <w:rsid w:val="31D43E75"/>
    <w:rsid w:val="31D91F74"/>
    <w:rsid w:val="31DD36BE"/>
    <w:rsid w:val="31E0641E"/>
    <w:rsid w:val="31E14BBA"/>
    <w:rsid w:val="31E42AC9"/>
    <w:rsid w:val="31EB49C2"/>
    <w:rsid w:val="31EC10CF"/>
    <w:rsid w:val="31F46B28"/>
    <w:rsid w:val="31FC0DEC"/>
    <w:rsid w:val="31FE192B"/>
    <w:rsid w:val="320930F7"/>
    <w:rsid w:val="320935CD"/>
    <w:rsid w:val="32111DD1"/>
    <w:rsid w:val="3216739D"/>
    <w:rsid w:val="321B63E6"/>
    <w:rsid w:val="32235D79"/>
    <w:rsid w:val="32243D23"/>
    <w:rsid w:val="32255E0C"/>
    <w:rsid w:val="32295C5F"/>
    <w:rsid w:val="322D7188"/>
    <w:rsid w:val="32302131"/>
    <w:rsid w:val="323112C7"/>
    <w:rsid w:val="323369A1"/>
    <w:rsid w:val="323437C8"/>
    <w:rsid w:val="323638B6"/>
    <w:rsid w:val="323872D7"/>
    <w:rsid w:val="323B4A6F"/>
    <w:rsid w:val="32400B34"/>
    <w:rsid w:val="32444348"/>
    <w:rsid w:val="32472DB6"/>
    <w:rsid w:val="324C1CE3"/>
    <w:rsid w:val="324C2637"/>
    <w:rsid w:val="324D7F47"/>
    <w:rsid w:val="324F158C"/>
    <w:rsid w:val="325635EA"/>
    <w:rsid w:val="32571340"/>
    <w:rsid w:val="325E3FED"/>
    <w:rsid w:val="32625106"/>
    <w:rsid w:val="32674B13"/>
    <w:rsid w:val="3269569E"/>
    <w:rsid w:val="32723C48"/>
    <w:rsid w:val="3273128F"/>
    <w:rsid w:val="32760DE1"/>
    <w:rsid w:val="327A6D68"/>
    <w:rsid w:val="327B1571"/>
    <w:rsid w:val="3282323F"/>
    <w:rsid w:val="328240DE"/>
    <w:rsid w:val="328C5BBC"/>
    <w:rsid w:val="329314B0"/>
    <w:rsid w:val="32951967"/>
    <w:rsid w:val="329900FB"/>
    <w:rsid w:val="329D3A1C"/>
    <w:rsid w:val="329E6876"/>
    <w:rsid w:val="329F7CCB"/>
    <w:rsid w:val="32A156FD"/>
    <w:rsid w:val="32AF1F81"/>
    <w:rsid w:val="32B35DF6"/>
    <w:rsid w:val="32B966BE"/>
    <w:rsid w:val="32BC33E8"/>
    <w:rsid w:val="32C02276"/>
    <w:rsid w:val="32C0264B"/>
    <w:rsid w:val="32C028A2"/>
    <w:rsid w:val="32C5066B"/>
    <w:rsid w:val="32C75E5E"/>
    <w:rsid w:val="32CB499B"/>
    <w:rsid w:val="32CB7F3F"/>
    <w:rsid w:val="32CC3FB9"/>
    <w:rsid w:val="32CE7060"/>
    <w:rsid w:val="32D12125"/>
    <w:rsid w:val="32D16665"/>
    <w:rsid w:val="32D560F7"/>
    <w:rsid w:val="32D710DC"/>
    <w:rsid w:val="32E3324E"/>
    <w:rsid w:val="32E91BA2"/>
    <w:rsid w:val="32E968BE"/>
    <w:rsid w:val="32EA395E"/>
    <w:rsid w:val="32EB68A6"/>
    <w:rsid w:val="32F517A7"/>
    <w:rsid w:val="32F7388F"/>
    <w:rsid w:val="32FC280E"/>
    <w:rsid w:val="32FD48F7"/>
    <w:rsid w:val="32FD755A"/>
    <w:rsid w:val="33010C9A"/>
    <w:rsid w:val="3303440D"/>
    <w:rsid w:val="33097532"/>
    <w:rsid w:val="331935EC"/>
    <w:rsid w:val="331E52DB"/>
    <w:rsid w:val="331F0988"/>
    <w:rsid w:val="33240427"/>
    <w:rsid w:val="3327072F"/>
    <w:rsid w:val="33291F9F"/>
    <w:rsid w:val="333015F2"/>
    <w:rsid w:val="33310A59"/>
    <w:rsid w:val="3333300C"/>
    <w:rsid w:val="333E0C04"/>
    <w:rsid w:val="334A7605"/>
    <w:rsid w:val="334B6320"/>
    <w:rsid w:val="334F77BD"/>
    <w:rsid w:val="33514171"/>
    <w:rsid w:val="33517D18"/>
    <w:rsid w:val="33590AD6"/>
    <w:rsid w:val="33611CC0"/>
    <w:rsid w:val="33637B63"/>
    <w:rsid w:val="33644A48"/>
    <w:rsid w:val="33674805"/>
    <w:rsid w:val="33697ACC"/>
    <w:rsid w:val="33734F64"/>
    <w:rsid w:val="33751DB8"/>
    <w:rsid w:val="337A0A4C"/>
    <w:rsid w:val="337C75D3"/>
    <w:rsid w:val="337E524D"/>
    <w:rsid w:val="33821CBD"/>
    <w:rsid w:val="3387158A"/>
    <w:rsid w:val="33874378"/>
    <w:rsid w:val="338B0965"/>
    <w:rsid w:val="338E698C"/>
    <w:rsid w:val="33966FCC"/>
    <w:rsid w:val="3398477B"/>
    <w:rsid w:val="339F2007"/>
    <w:rsid w:val="33A1074F"/>
    <w:rsid w:val="33A6210C"/>
    <w:rsid w:val="33B81D9B"/>
    <w:rsid w:val="33C11918"/>
    <w:rsid w:val="33C3506D"/>
    <w:rsid w:val="33D04146"/>
    <w:rsid w:val="33D84C0C"/>
    <w:rsid w:val="33D91A44"/>
    <w:rsid w:val="33D934D4"/>
    <w:rsid w:val="33DD27E0"/>
    <w:rsid w:val="33DE5171"/>
    <w:rsid w:val="33E65D87"/>
    <w:rsid w:val="33EB1F76"/>
    <w:rsid w:val="33F0139B"/>
    <w:rsid w:val="33F04676"/>
    <w:rsid w:val="33F20F2A"/>
    <w:rsid w:val="33FE2F6A"/>
    <w:rsid w:val="340321F7"/>
    <w:rsid w:val="340A1632"/>
    <w:rsid w:val="340D5AC8"/>
    <w:rsid w:val="340E07E5"/>
    <w:rsid w:val="340F7C20"/>
    <w:rsid w:val="34106055"/>
    <w:rsid w:val="341131D1"/>
    <w:rsid w:val="34166845"/>
    <w:rsid w:val="34171AE1"/>
    <w:rsid w:val="341773A7"/>
    <w:rsid w:val="34193CAF"/>
    <w:rsid w:val="341E0F95"/>
    <w:rsid w:val="341E1D1F"/>
    <w:rsid w:val="3422537C"/>
    <w:rsid w:val="34227120"/>
    <w:rsid w:val="34235BF7"/>
    <w:rsid w:val="34301D0E"/>
    <w:rsid w:val="34377098"/>
    <w:rsid w:val="34383093"/>
    <w:rsid w:val="343A7CCB"/>
    <w:rsid w:val="344526F6"/>
    <w:rsid w:val="34565D06"/>
    <w:rsid w:val="34577CFC"/>
    <w:rsid w:val="3459515A"/>
    <w:rsid w:val="345F2573"/>
    <w:rsid w:val="34603F33"/>
    <w:rsid w:val="34607BAA"/>
    <w:rsid w:val="34657070"/>
    <w:rsid w:val="346C3F1B"/>
    <w:rsid w:val="346C405C"/>
    <w:rsid w:val="346C65E7"/>
    <w:rsid w:val="34724779"/>
    <w:rsid w:val="3473665B"/>
    <w:rsid w:val="34741917"/>
    <w:rsid w:val="347436ED"/>
    <w:rsid w:val="3476717D"/>
    <w:rsid w:val="347C0AE5"/>
    <w:rsid w:val="348056C8"/>
    <w:rsid w:val="34876319"/>
    <w:rsid w:val="348A43C0"/>
    <w:rsid w:val="348D05AC"/>
    <w:rsid w:val="348E74D7"/>
    <w:rsid w:val="348F1DA3"/>
    <w:rsid w:val="34954889"/>
    <w:rsid w:val="34984933"/>
    <w:rsid w:val="349961CA"/>
    <w:rsid w:val="349B2C17"/>
    <w:rsid w:val="34A23777"/>
    <w:rsid w:val="34A96341"/>
    <w:rsid w:val="34AA710F"/>
    <w:rsid w:val="34AE2876"/>
    <w:rsid w:val="34B228A7"/>
    <w:rsid w:val="34B748BD"/>
    <w:rsid w:val="34BC50BC"/>
    <w:rsid w:val="34BF5849"/>
    <w:rsid w:val="34C07791"/>
    <w:rsid w:val="34C123E1"/>
    <w:rsid w:val="34C758B2"/>
    <w:rsid w:val="34CB7194"/>
    <w:rsid w:val="34CE091C"/>
    <w:rsid w:val="34D504FB"/>
    <w:rsid w:val="34E16FD5"/>
    <w:rsid w:val="34E56418"/>
    <w:rsid w:val="34E6495A"/>
    <w:rsid w:val="34E716DE"/>
    <w:rsid w:val="34ED417B"/>
    <w:rsid w:val="34F23C69"/>
    <w:rsid w:val="34F3402D"/>
    <w:rsid w:val="34F45F67"/>
    <w:rsid w:val="34F956DB"/>
    <w:rsid w:val="34F979E7"/>
    <w:rsid w:val="35044446"/>
    <w:rsid w:val="350A4C1A"/>
    <w:rsid w:val="350E7F0B"/>
    <w:rsid w:val="3517029F"/>
    <w:rsid w:val="352549C2"/>
    <w:rsid w:val="35285C9F"/>
    <w:rsid w:val="35296278"/>
    <w:rsid w:val="35297954"/>
    <w:rsid w:val="352B4490"/>
    <w:rsid w:val="352B59B5"/>
    <w:rsid w:val="352C5F21"/>
    <w:rsid w:val="352E6057"/>
    <w:rsid w:val="35306A29"/>
    <w:rsid w:val="35394BD9"/>
    <w:rsid w:val="35461CD8"/>
    <w:rsid w:val="354662E5"/>
    <w:rsid w:val="354E6EF6"/>
    <w:rsid w:val="354F76CD"/>
    <w:rsid w:val="35525E5E"/>
    <w:rsid w:val="355349ED"/>
    <w:rsid w:val="3555415E"/>
    <w:rsid w:val="356722D6"/>
    <w:rsid w:val="3567759B"/>
    <w:rsid w:val="356C6E34"/>
    <w:rsid w:val="356D6B2D"/>
    <w:rsid w:val="356F25EF"/>
    <w:rsid w:val="357749F1"/>
    <w:rsid w:val="35775243"/>
    <w:rsid w:val="357B70FF"/>
    <w:rsid w:val="35841E61"/>
    <w:rsid w:val="35847A22"/>
    <w:rsid w:val="358B11D6"/>
    <w:rsid w:val="358C5FA8"/>
    <w:rsid w:val="35960333"/>
    <w:rsid w:val="35972B4A"/>
    <w:rsid w:val="35A04296"/>
    <w:rsid w:val="35A52D26"/>
    <w:rsid w:val="35A61B4D"/>
    <w:rsid w:val="35A7047D"/>
    <w:rsid w:val="35AB568A"/>
    <w:rsid w:val="35AE11C1"/>
    <w:rsid w:val="35AF1BE0"/>
    <w:rsid w:val="35B251BB"/>
    <w:rsid w:val="35B70117"/>
    <w:rsid w:val="35BD086B"/>
    <w:rsid w:val="35BE2C22"/>
    <w:rsid w:val="35C15DF1"/>
    <w:rsid w:val="35C26275"/>
    <w:rsid w:val="35CA288A"/>
    <w:rsid w:val="35CB433B"/>
    <w:rsid w:val="35CE2F97"/>
    <w:rsid w:val="35D44071"/>
    <w:rsid w:val="35D82C0E"/>
    <w:rsid w:val="35DF103A"/>
    <w:rsid w:val="35E00EF6"/>
    <w:rsid w:val="35E30735"/>
    <w:rsid w:val="35EC4681"/>
    <w:rsid w:val="35ED3C8B"/>
    <w:rsid w:val="35EF2E1C"/>
    <w:rsid w:val="35F1149A"/>
    <w:rsid w:val="35F165B8"/>
    <w:rsid w:val="35F63208"/>
    <w:rsid w:val="35FB592D"/>
    <w:rsid w:val="36003320"/>
    <w:rsid w:val="360065A3"/>
    <w:rsid w:val="36034B1A"/>
    <w:rsid w:val="36074A7F"/>
    <w:rsid w:val="360B4212"/>
    <w:rsid w:val="360C2505"/>
    <w:rsid w:val="360F6BD4"/>
    <w:rsid w:val="3616547E"/>
    <w:rsid w:val="36175043"/>
    <w:rsid w:val="36175A8B"/>
    <w:rsid w:val="361A301D"/>
    <w:rsid w:val="36234C3C"/>
    <w:rsid w:val="36262BD4"/>
    <w:rsid w:val="362F761C"/>
    <w:rsid w:val="363027D7"/>
    <w:rsid w:val="36310C2A"/>
    <w:rsid w:val="36344D84"/>
    <w:rsid w:val="363475D8"/>
    <w:rsid w:val="3635703B"/>
    <w:rsid w:val="3635734A"/>
    <w:rsid w:val="363611DD"/>
    <w:rsid w:val="363A144A"/>
    <w:rsid w:val="363A64B8"/>
    <w:rsid w:val="364747FE"/>
    <w:rsid w:val="36497A3D"/>
    <w:rsid w:val="364D6E3E"/>
    <w:rsid w:val="364F5FAD"/>
    <w:rsid w:val="36573D32"/>
    <w:rsid w:val="36585D37"/>
    <w:rsid w:val="36594BA9"/>
    <w:rsid w:val="366213DA"/>
    <w:rsid w:val="36672BD0"/>
    <w:rsid w:val="36687282"/>
    <w:rsid w:val="366D6646"/>
    <w:rsid w:val="366E6258"/>
    <w:rsid w:val="36731670"/>
    <w:rsid w:val="36762627"/>
    <w:rsid w:val="36766C3C"/>
    <w:rsid w:val="367B6810"/>
    <w:rsid w:val="368A3772"/>
    <w:rsid w:val="368D4DEF"/>
    <w:rsid w:val="368E42A2"/>
    <w:rsid w:val="368F1B12"/>
    <w:rsid w:val="36923549"/>
    <w:rsid w:val="369274CC"/>
    <w:rsid w:val="36963DEF"/>
    <w:rsid w:val="369A3F83"/>
    <w:rsid w:val="369E2CA4"/>
    <w:rsid w:val="369E6E91"/>
    <w:rsid w:val="36AA1648"/>
    <w:rsid w:val="36AA789A"/>
    <w:rsid w:val="36AD7522"/>
    <w:rsid w:val="36AF3739"/>
    <w:rsid w:val="36B01A2A"/>
    <w:rsid w:val="36B23F70"/>
    <w:rsid w:val="36B75FBF"/>
    <w:rsid w:val="36B933B5"/>
    <w:rsid w:val="36BA4F87"/>
    <w:rsid w:val="36BD0C45"/>
    <w:rsid w:val="36C013E1"/>
    <w:rsid w:val="36C32AC5"/>
    <w:rsid w:val="36C76268"/>
    <w:rsid w:val="36CB7220"/>
    <w:rsid w:val="36CC53C5"/>
    <w:rsid w:val="36CF1E2D"/>
    <w:rsid w:val="36D3294D"/>
    <w:rsid w:val="36D43DAA"/>
    <w:rsid w:val="36E0204C"/>
    <w:rsid w:val="36E5616D"/>
    <w:rsid w:val="36EA0CA3"/>
    <w:rsid w:val="36EF1F1E"/>
    <w:rsid w:val="36F3658C"/>
    <w:rsid w:val="36F92F58"/>
    <w:rsid w:val="37011092"/>
    <w:rsid w:val="3701395E"/>
    <w:rsid w:val="37063111"/>
    <w:rsid w:val="37115AFA"/>
    <w:rsid w:val="371476EA"/>
    <w:rsid w:val="371567FA"/>
    <w:rsid w:val="3715740A"/>
    <w:rsid w:val="37165CA4"/>
    <w:rsid w:val="37195A2D"/>
    <w:rsid w:val="371A6183"/>
    <w:rsid w:val="371B4788"/>
    <w:rsid w:val="371E7F6B"/>
    <w:rsid w:val="371F71DC"/>
    <w:rsid w:val="372568E0"/>
    <w:rsid w:val="37270AE8"/>
    <w:rsid w:val="372A14F0"/>
    <w:rsid w:val="37320EE5"/>
    <w:rsid w:val="37394EDD"/>
    <w:rsid w:val="373A43C1"/>
    <w:rsid w:val="373E2EE9"/>
    <w:rsid w:val="3740037C"/>
    <w:rsid w:val="37401E77"/>
    <w:rsid w:val="374134DA"/>
    <w:rsid w:val="37441E44"/>
    <w:rsid w:val="37462307"/>
    <w:rsid w:val="3747333B"/>
    <w:rsid w:val="374B5357"/>
    <w:rsid w:val="374C482B"/>
    <w:rsid w:val="374F61BF"/>
    <w:rsid w:val="37533DA9"/>
    <w:rsid w:val="375C3FF4"/>
    <w:rsid w:val="375D2045"/>
    <w:rsid w:val="375F6CB2"/>
    <w:rsid w:val="37607046"/>
    <w:rsid w:val="37613665"/>
    <w:rsid w:val="376467FE"/>
    <w:rsid w:val="37672C7B"/>
    <w:rsid w:val="376B0DD8"/>
    <w:rsid w:val="376C3610"/>
    <w:rsid w:val="377E215C"/>
    <w:rsid w:val="377E7D61"/>
    <w:rsid w:val="378003E0"/>
    <w:rsid w:val="3783492C"/>
    <w:rsid w:val="37835AA1"/>
    <w:rsid w:val="37851CAA"/>
    <w:rsid w:val="378D0CB7"/>
    <w:rsid w:val="378E45D5"/>
    <w:rsid w:val="3792693C"/>
    <w:rsid w:val="379C29EF"/>
    <w:rsid w:val="379D3E0A"/>
    <w:rsid w:val="379D5C11"/>
    <w:rsid w:val="37A11B30"/>
    <w:rsid w:val="37A80682"/>
    <w:rsid w:val="37AB1B1C"/>
    <w:rsid w:val="37AC4521"/>
    <w:rsid w:val="37B4550A"/>
    <w:rsid w:val="37B64172"/>
    <w:rsid w:val="37B95F81"/>
    <w:rsid w:val="37C14360"/>
    <w:rsid w:val="37C2238B"/>
    <w:rsid w:val="37C90083"/>
    <w:rsid w:val="37CD4F76"/>
    <w:rsid w:val="37D1265C"/>
    <w:rsid w:val="37DC5883"/>
    <w:rsid w:val="37DD1765"/>
    <w:rsid w:val="37DE14A3"/>
    <w:rsid w:val="37DF4C71"/>
    <w:rsid w:val="37E00298"/>
    <w:rsid w:val="37E50EA2"/>
    <w:rsid w:val="37E52F20"/>
    <w:rsid w:val="37E56A72"/>
    <w:rsid w:val="37F012DD"/>
    <w:rsid w:val="37F52B8A"/>
    <w:rsid w:val="37F57C7F"/>
    <w:rsid w:val="37F67534"/>
    <w:rsid w:val="37F70649"/>
    <w:rsid w:val="37F973CB"/>
    <w:rsid w:val="37FD41C3"/>
    <w:rsid w:val="37FF59C4"/>
    <w:rsid w:val="38000912"/>
    <w:rsid w:val="38012CA8"/>
    <w:rsid w:val="38015D0A"/>
    <w:rsid w:val="38036479"/>
    <w:rsid w:val="380D3DE7"/>
    <w:rsid w:val="381017E6"/>
    <w:rsid w:val="38137838"/>
    <w:rsid w:val="3817378C"/>
    <w:rsid w:val="381B6E2F"/>
    <w:rsid w:val="38215E3F"/>
    <w:rsid w:val="38223E64"/>
    <w:rsid w:val="382B27B0"/>
    <w:rsid w:val="382B5F49"/>
    <w:rsid w:val="3830274D"/>
    <w:rsid w:val="38327B65"/>
    <w:rsid w:val="3835736D"/>
    <w:rsid w:val="383859F4"/>
    <w:rsid w:val="38435AF4"/>
    <w:rsid w:val="384B18C4"/>
    <w:rsid w:val="38550871"/>
    <w:rsid w:val="385B4234"/>
    <w:rsid w:val="385D381A"/>
    <w:rsid w:val="385E5295"/>
    <w:rsid w:val="38602937"/>
    <w:rsid w:val="38646AC4"/>
    <w:rsid w:val="386646A9"/>
    <w:rsid w:val="386A3FC3"/>
    <w:rsid w:val="386C29BB"/>
    <w:rsid w:val="386D6A36"/>
    <w:rsid w:val="387B61D4"/>
    <w:rsid w:val="388060BC"/>
    <w:rsid w:val="3887044A"/>
    <w:rsid w:val="388971D1"/>
    <w:rsid w:val="389E0B7E"/>
    <w:rsid w:val="389F02D4"/>
    <w:rsid w:val="38A26BEA"/>
    <w:rsid w:val="38A4757D"/>
    <w:rsid w:val="38A671B9"/>
    <w:rsid w:val="38A86215"/>
    <w:rsid w:val="38AC7112"/>
    <w:rsid w:val="38AE7E0B"/>
    <w:rsid w:val="38B11196"/>
    <w:rsid w:val="38B302F9"/>
    <w:rsid w:val="38C04E3C"/>
    <w:rsid w:val="38C1475F"/>
    <w:rsid w:val="38CE1178"/>
    <w:rsid w:val="38D3293B"/>
    <w:rsid w:val="38DD6470"/>
    <w:rsid w:val="38DF2CA6"/>
    <w:rsid w:val="38DF79A6"/>
    <w:rsid w:val="38E04191"/>
    <w:rsid w:val="38E319C0"/>
    <w:rsid w:val="38E54BBA"/>
    <w:rsid w:val="38E63528"/>
    <w:rsid w:val="38EA1330"/>
    <w:rsid w:val="38EB010D"/>
    <w:rsid w:val="38EB6D82"/>
    <w:rsid w:val="38ED53C1"/>
    <w:rsid w:val="38F10E1E"/>
    <w:rsid w:val="38F12CD3"/>
    <w:rsid w:val="38F2018F"/>
    <w:rsid w:val="38F7040C"/>
    <w:rsid w:val="38F71449"/>
    <w:rsid w:val="38F73806"/>
    <w:rsid w:val="38F94775"/>
    <w:rsid w:val="38FB2756"/>
    <w:rsid w:val="39052E3A"/>
    <w:rsid w:val="390811EC"/>
    <w:rsid w:val="39101EE9"/>
    <w:rsid w:val="39172F89"/>
    <w:rsid w:val="391B59F3"/>
    <w:rsid w:val="391D08C7"/>
    <w:rsid w:val="391E2798"/>
    <w:rsid w:val="39204793"/>
    <w:rsid w:val="39240CDB"/>
    <w:rsid w:val="39284D16"/>
    <w:rsid w:val="392971ED"/>
    <w:rsid w:val="392A68D6"/>
    <w:rsid w:val="392F1552"/>
    <w:rsid w:val="392F4087"/>
    <w:rsid w:val="39325651"/>
    <w:rsid w:val="3936134E"/>
    <w:rsid w:val="39367DA1"/>
    <w:rsid w:val="39396ADE"/>
    <w:rsid w:val="393C7314"/>
    <w:rsid w:val="394174A7"/>
    <w:rsid w:val="39423B23"/>
    <w:rsid w:val="394C2E8B"/>
    <w:rsid w:val="394E11E0"/>
    <w:rsid w:val="394E3871"/>
    <w:rsid w:val="394F291C"/>
    <w:rsid w:val="39531C5B"/>
    <w:rsid w:val="39574BC0"/>
    <w:rsid w:val="39601BD1"/>
    <w:rsid w:val="396436F7"/>
    <w:rsid w:val="3965021B"/>
    <w:rsid w:val="39660C13"/>
    <w:rsid w:val="39663C15"/>
    <w:rsid w:val="396C57B4"/>
    <w:rsid w:val="396D71A1"/>
    <w:rsid w:val="397311DC"/>
    <w:rsid w:val="39777E36"/>
    <w:rsid w:val="39780881"/>
    <w:rsid w:val="397C7659"/>
    <w:rsid w:val="39813A75"/>
    <w:rsid w:val="39837973"/>
    <w:rsid w:val="398C14D9"/>
    <w:rsid w:val="398F1E3D"/>
    <w:rsid w:val="39914521"/>
    <w:rsid w:val="39A01C75"/>
    <w:rsid w:val="39A16D33"/>
    <w:rsid w:val="39A932E8"/>
    <w:rsid w:val="39AD5C2D"/>
    <w:rsid w:val="39B25341"/>
    <w:rsid w:val="39B27902"/>
    <w:rsid w:val="39B37888"/>
    <w:rsid w:val="39B84AC8"/>
    <w:rsid w:val="39BA6AA3"/>
    <w:rsid w:val="39BB4F7F"/>
    <w:rsid w:val="39C232CE"/>
    <w:rsid w:val="39D64736"/>
    <w:rsid w:val="39D765DF"/>
    <w:rsid w:val="39DF194B"/>
    <w:rsid w:val="39E235FC"/>
    <w:rsid w:val="39EA5FFB"/>
    <w:rsid w:val="39ED01CA"/>
    <w:rsid w:val="39F15BDD"/>
    <w:rsid w:val="39F73552"/>
    <w:rsid w:val="39FD6250"/>
    <w:rsid w:val="39FD6638"/>
    <w:rsid w:val="3A063C43"/>
    <w:rsid w:val="3A0672C9"/>
    <w:rsid w:val="3A073BBB"/>
    <w:rsid w:val="3A0836DE"/>
    <w:rsid w:val="3A1733B1"/>
    <w:rsid w:val="3A1F5E4E"/>
    <w:rsid w:val="3A231DE6"/>
    <w:rsid w:val="3A27015C"/>
    <w:rsid w:val="3A2B2AA0"/>
    <w:rsid w:val="3A2E433E"/>
    <w:rsid w:val="3A2F0AA3"/>
    <w:rsid w:val="3A363FB8"/>
    <w:rsid w:val="3A3C6ECC"/>
    <w:rsid w:val="3A3E5321"/>
    <w:rsid w:val="3A3F0E30"/>
    <w:rsid w:val="3A4C4BF9"/>
    <w:rsid w:val="3A577AC3"/>
    <w:rsid w:val="3A5B7DD3"/>
    <w:rsid w:val="3A5F0FB7"/>
    <w:rsid w:val="3A6530BC"/>
    <w:rsid w:val="3A6555AE"/>
    <w:rsid w:val="3A6C2D28"/>
    <w:rsid w:val="3A6E758F"/>
    <w:rsid w:val="3A6F78DD"/>
    <w:rsid w:val="3A744447"/>
    <w:rsid w:val="3A770B12"/>
    <w:rsid w:val="3A7916AC"/>
    <w:rsid w:val="3A81655F"/>
    <w:rsid w:val="3A844E7D"/>
    <w:rsid w:val="3A872856"/>
    <w:rsid w:val="3A8B0A95"/>
    <w:rsid w:val="3A8C6B45"/>
    <w:rsid w:val="3A8E6B94"/>
    <w:rsid w:val="3A90657C"/>
    <w:rsid w:val="3A970BEB"/>
    <w:rsid w:val="3A9A6765"/>
    <w:rsid w:val="3A9C3EFF"/>
    <w:rsid w:val="3A9E3272"/>
    <w:rsid w:val="3A9F34C1"/>
    <w:rsid w:val="3A9F7FFB"/>
    <w:rsid w:val="3AA4742F"/>
    <w:rsid w:val="3AA86CE8"/>
    <w:rsid w:val="3AAD2149"/>
    <w:rsid w:val="3AB012A3"/>
    <w:rsid w:val="3AB21AFF"/>
    <w:rsid w:val="3AB46E09"/>
    <w:rsid w:val="3AC76447"/>
    <w:rsid w:val="3AC8799F"/>
    <w:rsid w:val="3ACF3CCE"/>
    <w:rsid w:val="3ACF5C41"/>
    <w:rsid w:val="3ACF79D6"/>
    <w:rsid w:val="3AD366B7"/>
    <w:rsid w:val="3AD37361"/>
    <w:rsid w:val="3ADC2E0A"/>
    <w:rsid w:val="3ADE3FB6"/>
    <w:rsid w:val="3AE81184"/>
    <w:rsid w:val="3AEC5523"/>
    <w:rsid w:val="3AF636C8"/>
    <w:rsid w:val="3AF936CF"/>
    <w:rsid w:val="3AFE30CC"/>
    <w:rsid w:val="3AFF1B57"/>
    <w:rsid w:val="3B05751E"/>
    <w:rsid w:val="3B075C59"/>
    <w:rsid w:val="3B084811"/>
    <w:rsid w:val="3B0A4DAB"/>
    <w:rsid w:val="3B0C4680"/>
    <w:rsid w:val="3B1A0FDA"/>
    <w:rsid w:val="3B1F00FE"/>
    <w:rsid w:val="3B226FDE"/>
    <w:rsid w:val="3B281A54"/>
    <w:rsid w:val="3B2A3811"/>
    <w:rsid w:val="3B2C2002"/>
    <w:rsid w:val="3B314DD4"/>
    <w:rsid w:val="3B3670D6"/>
    <w:rsid w:val="3B370DC9"/>
    <w:rsid w:val="3B3763D1"/>
    <w:rsid w:val="3B3A3B0B"/>
    <w:rsid w:val="3B456329"/>
    <w:rsid w:val="3B491D1F"/>
    <w:rsid w:val="3B4D1259"/>
    <w:rsid w:val="3B4E3CD0"/>
    <w:rsid w:val="3B541105"/>
    <w:rsid w:val="3B566601"/>
    <w:rsid w:val="3B5D25BA"/>
    <w:rsid w:val="3B6246F3"/>
    <w:rsid w:val="3B6861DB"/>
    <w:rsid w:val="3B705BA2"/>
    <w:rsid w:val="3B7564E2"/>
    <w:rsid w:val="3B787B31"/>
    <w:rsid w:val="3B79050B"/>
    <w:rsid w:val="3B7E4B46"/>
    <w:rsid w:val="3B877A57"/>
    <w:rsid w:val="3B9047A3"/>
    <w:rsid w:val="3B977D11"/>
    <w:rsid w:val="3B980EFD"/>
    <w:rsid w:val="3BA1126C"/>
    <w:rsid w:val="3BAA4F3A"/>
    <w:rsid w:val="3BAE5D58"/>
    <w:rsid w:val="3BB14CEC"/>
    <w:rsid w:val="3BB16FD5"/>
    <w:rsid w:val="3BBA394F"/>
    <w:rsid w:val="3BBE400B"/>
    <w:rsid w:val="3BC073E4"/>
    <w:rsid w:val="3BC9170E"/>
    <w:rsid w:val="3BCB51C4"/>
    <w:rsid w:val="3BCD01C1"/>
    <w:rsid w:val="3BCD7BE4"/>
    <w:rsid w:val="3BD2663A"/>
    <w:rsid w:val="3BD61109"/>
    <w:rsid w:val="3BE57F8A"/>
    <w:rsid w:val="3BEA1AFB"/>
    <w:rsid w:val="3BEB3449"/>
    <w:rsid w:val="3BEC3710"/>
    <w:rsid w:val="3BED6290"/>
    <w:rsid w:val="3BF00426"/>
    <w:rsid w:val="3BF44E91"/>
    <w:rsid w:val="3BF946E8"/>
    <w:rsid w:val="3BFA690E"/>
    <w:rsid w:val="3BFC3A4D"/>
    <w:rsid w:val="3BFF41E4"/>
    <w:rsid w:val="3BFF7A6C"/>
    <w:rsid w:val="3C0A5940"/>
    <w:rsid w:val="3C0A7E90"/>
    <w:rsid w:val="3C0D19CB"/>
    <w:rsid w:val="3C0E4916"/>
    <w:rsid w:val="3C174B41"/>
    <w:rsid w:val="3C1C565B"/>
    <w:rsid w:val="3C1E37D7"/>
    <w:rsid w:val="3C1F1ED1"/>
    <w:rsid w:val="3C277F55"/>
    <w:rsid w:val="3C2F6E1E"/>
    <w:rsid w:val="3C3547EC"/>
    <w:rsid w:val="3C4732A8"/>
    <w:rsid w:val="3C4D5335"/>
    <w:rsid w:val="3C4F64BA"/>
    <w:rsid w:val="3C510B28"/>
    <w:rsid w:val="3C52797E"/>
    <w:rsid w:val="3C5315C9"/>
    <w:rsid w:val="3C5639CB"/>
    <w:rsid w:val="3C5D483B"/>
    <w:rsid w:val="3C626D7D"/>
    <w:rsid w:val="3C636521"/>
    <w:rsid w:val="3C7820B2"/>
    <w:rsid w:val="3C7C081B"/>
    <w:rsid w:val="3C84547B"/>
    <w:rsid w:val="3C866559"/>
    <w:rsid w:val="3C8E0C4D"/>
    <w:rsid w:val="3C9330EB"/>
    <w:rsid w:val="3CA0626E"/>
    <w:rsid w:val="3CA37266"/>
    <w:rsid w:val="3CA607D7"/>
    <w:rsid w:val="3CA91C03"/>
    <w:rsid w:val="3CB00BC8"/>
    <w:rsid w:val="3CB44678"/>
    <w:rsid w:val="3CBB2F57"/>
    <w:rsid w:val="3CC26B69"/>
    <w:rsid w:val="3CC30423"/>
    <w:rsid w:val="3CCE2028"/>
    <w:rsid w:val="3CCE36D3"/>
    <w:rsid w:val="3CD06FA6"/>
    <w:rsid w:val="3CD5104F"/>
    <w:rsid w:val="3CDA245A"/>
    <w:rsid w:val="3CDE1A8F"/>
    <w:rsid w:val="3CEA3959"/>
    <w:rsid w:val="3CEE4C40"/>
    <w:rsid w:val="3CF229D2"/>
    <w:rsid w:val="3CF64887"/>
    <w:rsid w:val="3CFB4CAE"/>
    <w:rsid w:val="3CFD74B5"/>
    <w:rsid w:val="3CFE7D41"/>
    <w:rsid w:val="3CFF2C84"/>
    <w:rsid w:val="3D023C99"/>
    <w:rsid w:val="3D034C30"/>
    <w:rsid w:val="3D0633EA"/>
    <w:rsid w:val="3D097D79"/>
    <w:rsid w:val="3D1161F6"/>
    <w:rsid w:val="3D155211"/>
    <w:rsid w:val="3D1E06B7"/>
    <w:rsid w:val="3D1E1458"/>
    <w:rsid w:val="3D2342BA"/>
    <w:rsid w:val="3D2362EC"/>
    <w:rsid w:val="3D255ECD"/>
    <w:rsid w:val="3D2D64DA"/>
    <w:rsid w:val="3D2E3A32"/>
    <w:rsid w:val="3D2E5814"/>
    <w:rsid w:val="3D30653F"/>
    <w:rsid w:val="3D316CE8"/>
    <w:rsid w:val="3D3214BF"/>
    <w:rsid w:val="3D373E2F"/>
    <w:rsid w:val="3D386165"/>
    <w:rsid w:val="3D38721C"/>
    <w:rsid w:val="3D4A76E1"/>
    <w:rsid w:val="3D4C764D"/>
    <w:rsid w:val="3D526F02"/>
    <w:rsid w:val="3D591FBE"/>
    <w:rsid w:val="3D5D4C2B"/>
    <w:rsid w:val="3D610554"/>
    <w:rsid w:val="3D632551"/>
    <w:rsid w:val="3D63742D"/>
    <w:rsid w:val="3D650FFA"/>
    <w:rsid w:val="3D696705"/>
    <w:rsid w:val="3D6A31AB"/>
    <w:rsid w:val="3D7012E9"/>
    <w:rsid w:val="3D705941"/>
    <w:rsid w:val="3D733367"/>
    <w:rsid w:val="3D744219"/>
    <w:rsid w:val="3D751CDB"/>
    <w:rsid w:val="3D794F3F"/>
    <w:rsid w:val="3D7A6BF4"/>
    <w:rsid w:val="3D850EDB"/>
    <w:rsid w:val="3D8A6863"/>
    <w:rsid w:val="3D8E156E"/>
    <w:rsid w:val="3D931088"/>
    <w:rsid w:val="3D946306"/>
    <w:rsid w:val="3D976D74"/>
    <w:rsid w:val="3D9A6E5E"/>
    <w:rsid w:val="3D9F4A18"/>
    <w:rsid w:val="3DA81BC4"/>
    <w:rsid w:val="3DA90ED5"/>
    <w:rsid w:val="3DA96C77"/>
    <w:rsid w:val="3DAC0F43"/>
    <w:rsid w:val="3DB81CEF"/>
    <w:rsid w:val="3DBC20E0"/>
    <w:rsid w:val="3DC079A3"/>
    <w:rsid w:val="3DCB7233"/>
    <w:rsid w:val="3DD12DE9"/>
    <w:rsid w:val="3DD42668"/>
    <w:rsid w:val="3DD628CB"/>
    <w:rsid w:val="3DD97FB5"/>
    <w:rsid w:val="3DDE2232"/>
    <w:rsid w:val="3DE53744"/>
    <w:rsid w:val="3DEA6E2A"/>
    <w:rsid w:val="3DFA1107"/>
    <w:rsid w:val="3E02417A"/>
    <w:rsid w:val="3E044768"/>
    <w:rsid w:val="3E0A09BE"/>
    <w:rsid w:val="3E1700D9"/>
    <w:rsid w:val="3E1A21F5"/>
    <w:rsid w:val="3E1C4CA9"/>
    <w:rsid w:val="3E254E20"/>
    <w:rsid w:val="3E255731"/>
    <w:rsid w:val="3E2747CC"/>
    <w:rsid w:val="3E2B66DA"/>
    <w:rsid w:val="3E2D4F7C"/>
    <w:rsid w:val="3E3361A8"/>
    <w:rsid w:val="3E35355E"/>
    <w:rsid w:val="3E373433"/>
    <w:rsid w:val="3E3867EA"/>
    <w:rsid w:val="3E3B5E4E"/>
    <w:rsid w:val="3E3D3223"/>
    <w:rsid w:val="3E4349B5"/>
    <w:rsid w:val="3E464117"/>
    <w:rsid w:val="3E4713C9"/>
    <w:rsid w:val="3E495A98"/>
    <w:rsid w:val="3E4F1B2B"/>
    <w:rsid w:val="3E5A6094"/>
    <w:rsid w:val="3E5B708B"/>
    <w:rsid w:val="3E5C505E"/>
    <w:rsid w:val="3E5E74F6"/>
    <w:rsid w:val="3E631DB9"/>
    <w:rsid w:val="3E6509B9"/>
    <w:rsid w:val="3E6575B5"/>
    <w:rsid w:val="3E685335"/>
    <w:rsid w:val="3E692CF7"/>
    <w:rsid w:val="3E6B3412"/>
    <w:rsid w:val="3E727E7E"/>
    <w:rsid w:val="3E727FD4"/>
    <w:rsid w:val="3E7B077D"/>
    <w:rsid w:val="3E7D5608"/>
    <w:rsid w:val="3E816F07"/>
    <w:rsid w:val="3E857E48"/>
    <w:rsid w:val="3E897B6A"/>
    <w:rsid w:val="3E8B6858"/>
    <w:rsid w:val="3E8E01F1"/>
    <w:rsid w:val="3E923D5E"/>
    <w:rsid w:val="3E9606F3"/>
    <w:rsid w:val="3E9A5482"/>
    <w:rsid w:val="3E9C653B"/>
    <w:rsid w:val="3E9E240D"/>
    <w:rsid w:val="3EA11698"/>
    <w:rsid w:val="3EA92C92"/>
    <w:rsid w:val="3EAE391C"/>
    <w:rsid w:val="3EAF1EF2"/>
    <w:rsid w:val="3EBB090D"/>
    <w:rsid w:val="3EBF754F"/>
    <w:rsid w:val="3ECC60A4"/>
    <w:rsid w:val="3ED13554"/>
    <w:rsid w:val="3ED41958"/>
    <w:rsid w:val="3ED8317F"/>
    <w:rsid w:val="3EDA0523"/>
    <w:rsid w:val="3EE173C2"/>
    <w:rsid w:val="3EE51377"/>
    <w:rsid w:val="3EEF6792"/>
    <w:rsid w:val="3EF1413C"/>
    <w:rsid w:val="3EF32D22"/>
    <w:rsid w:val="3EFB337B"/>
    <w:rsid w:val="3EFE33AA"/>
    <w:rsid w:val="3F0044FB"/>
    <w:rsid w:val="3F051ACB"/>
    <w:rsid w:val="3F073531"/>
    <w:rsid w:val="3F0775BC"/>
    <w:rsid w:val="3F11495A"/>
    <w:rsid w:val="3F181B9C"/>
    <w:rsid w:val="3F2006FA"/>
    <w:rsid w:val="3F235DA0"/>
    <w:rsid w:val="3F2C57D3"/>
    <w:rsid w:val="3F3A262F"/>
    <w:rsid w:val="3F3A544F"/>
    <w:rsid w:val="3F415642"/>
    <w:rsid w:val="3F487483"/>
    <w:rsid w:val="3F4B426E"/>
    <w:rsid w:val="3F5268AA"/>
    <w:rsid w:val="3F543BDB"/>
    <w:rsid w:val="3F550399"/>
    <w:rsid w:val="3F57443A"/>
    <w:rsid w:val="3F5C66CB"/>
    <w:rsid w:val="3F5D1891"/>
    <w:rsid w:val="3F5D20A4"/>
    <w:rsid w:val="3F5F5A54"/>
    <w:rsid w:val="3F632CDC"/>
    <w:rsid w:val="3F67457A"/>
    <w:rsid w:val="3F6D2DEE"/>
    <w:rsid w:val="3F711701"/>
    <w:rsid w:val="3F741949"/>
    <w:rsid w:val="3F7F4CF7"/>
    <w:rsid w:val="3F8A094A"/>
    <w:rsid w:val="3F8A1FC2"/>
    <w:rsid w:val="3F8B7B53"/>
    <w:rsid w:val="3F8F784E"/>
    <w:rsid w:val="3F905675"/>
    <w:rsid w:val="3F90588D"/>
    <w:rsid w:val="3F946BD6"/>
    <w:rsid w:val="3F9A4950"/>
    <w:rsid w:val="3F9D4D79"/>
    <w:rsid w:val="3FA73D49"/>
    <w:rsid w:val="3FAF09F9"/>
    <w:rsid w:val="3FB452E6"/>
    <w:rsid w:val="3FBC7CBA"/>
    <w:rsid w:val="3FBD2E4C"/>
    <w:rsid w:val="3FBD3F58"/>
    <w:rsid w:val="3FC14181"/>
    <w:rsid w:val="3FD03B52"/>
    <w:rsid w:val="3FD55AA8"/>
    <w:rsid w:val="3FD578FF"/>
    <w:rsid w:val="3FDC0157"/>
    <w:rsid w:val="3FDD5267"/>
    <w:rsid w:val="3FE335A4"/>
    <w:rsid w:val="3FE45E73"/>
    <w:rsid w:val="3FE77FD6"/>
    <w:rsid w:val="3FEF73D4"/>
    <w:rsid w:val="3FF44991"/>
    <w:rsid w:val="3FF72FBB"/>
    <w:rsid w:val="3FF809BA"/>
    <w:rsid w:val="3FFD033C"/>
    <w:rsid w:val="40012271"/>
    <w:rsid w:val="40070E59"/>
    <w:rsid w:val="400714EE"/>
    <w:rsid w:val="40080CF0"/>
    <w:rsid w:val="400C5E08"/>
    <w:rsid w:val="401706C6"/>
    <w:rsid w:val="401747F3"/>
    <w:rsid w:val="401B4653"/>
    <w:rsid w:val="401C4C7B"/>
    <w:rsid w:val="401F7D89"/>
    <w:rsid w:val="40262990"/>
    <w:rsid w:val="40283A19"/>
    <w:rsid w:val="402B1A4C"/>
    <w:rsid w:val="402F5F4B"/>
    <w:rsid w:val="403B1AEB"/>
    <w:rsid w:val="403F09F1"/>
    <w:rsid w:val="403F1471"/>
    <w:rsid w:val="403F5806"/>
    <w:rsid w:val="404943AF"/>
    <w:rsid w:val="40500C87"/>
    <w:rsid w:val="40512B35"/>
    <w:rsid w:val="40592588"/>
    <w:rsid w:val="40641B18"/>
    <w:rsid w:val="406960D0"/>
    <w:rsid w:val="406C4885"/>
    <w:rsid w:val="4070745F"/>
    <w:rsid w:val="407134BB"/>
    <w:rsid w:val="4073314C"/>
    <w:rsid w:val="40761BB2"/>
    <w:rsid w:val="407A4CE9"/>
    <w:rsid w:val="407A6407"/>
    <w:rsid w:val="407C0D77"/>
    <w:rsid w:val="40803096"/>
    <w:rsid w:val="40826737"/>
    <w:rsid w:val="40881DB3"/>
    <w:rsid w:val="40895F3C"/>
    <w:rsid w:val="408F5EAA"/>
    <w:rsid w:val="40907B01"/>
    <w:rsid w:val="40923879"/>
    <w:rsid w:val="409307F7"/>
    <w:rsid w:val="40931DF8"/>
    <w:rsid w:val="409739F7"/>
    <w:rsid w:val="409751C0"/>
    <w:rsid w:val="40985896"/>
    <w:rsid w:val="409A27E8"/>
    <w:rsid w:val="40A54ECB"/>
    <w:rsid w:val="40A67324"/>
    <w:rsid w:val="40A749B7"/>
    <w:rsid w:val="40A93120"/>
    <w:rsid w:val="40A94108"/>
    <w:rsid w:val="40AE6BAF"/>
    <w:rsid w:val="40B0026A"/>
    <w:rsid w:val="40B72CF1"/>
    <w:rsid w:val="40BE1048"/>
    <w:rsid w:val="40C36A4B"/>
    <w:rsid w:val="40C96831"/>
    <w:rsid w:val="40DC79C6"/>
    <w:rsid w:val="40E21D7C"/>
    <w:rsid w:val="40E63BD5"/>
    <w:rsid w:val="40E90FBF"/>
    <w:rsid w:val="40EB0FF3"/>
    <w:rsid w:val="40EE67F5"/>
    <w:rsid w:val="40F854CD"/>
    <w:rsid w:val="40FA685C"/>
    <w:rsid w:val="40FD165F"/>
    <w:rsid w:val="41041EEE"/>
    <w:rsid w:val="410B6675"/>
    <w:rsid w:val="41120950"/>
    <w:rsid w:val="411378C9"/>
    <w:rsid w:val="411418C6"/>
    <w:rsid w:val="41146A56"/>
    <w:rsid w:val="41152AF1"/>
    <w:rsid w:val="41192E6C"/>
    <w:rsid w:val="411955A4"/>
    <w:rsid w:val="411F6046"/>
    <w:rsid w:val="412934A2"/>
    <w:rsid w:val="412B53E2"/>
    <w:rsid w:val="412B59BE"/>
    <w:rsid w:val="412B68F1"/>
    <w:rsid w:val="412D1399"/>
    <w:rsid w:val="412F2E8F"/>
    <w:rsid w:val="413039EF"/>
    <w:rsid w:val="41383471"/>
    <w:rsid w:val="413D183C"/>
    <w:rsid w:val="413E1F6A"/>
    <w:rsid w:val="41415E2F"/>
    <w:rsid w:val="414562AC"/>
    <w:rsid w:val="4148029E"/>
    <w:rsid w:val="4149598B"/>
    <w:rsid w:val="414D46EB"/>
    <w:rsid w:val="414F439E"/>
    <w:rsid w:val="41626A3F"/>
    <w:rsid w:val="416529A9"/>
    <w:rsid w:val="417E7959"/>
    <w:rsid w:val="41803E3C"/>
    <w:rsid w:val="41897892"/>
    <w:rsid w:val="418A0801"/>
    <w:rsid w:val="4190186B"/>
    <w:rsid w:val="419409EF"/>
    <w:rsid w:val="4196066D"/>
    <w:rsid w:val="41961147"/>
    <w:rsid w:val="41967006"/>
    <w:rsid w:val="419C2AC7"/>
    <w:rsid w:val="419D4ED4"/>
    <w:rsid w:val="41A6793B"/>
    <w:rsid w:val="41AB0F6E"/>
    <w:rsid w:val="41AB1EF5"/>
    <w:rsid w:val="41B004EC"/>
    <w:rsid w:val="41BF6404"/>
    <w:rsid w:val="41C553D1"/>
    <w:rsid w:val="41C75FB8"/>
    <w:rsid w:val="41D11DDB"/>
    <w:rsid w:val="41D31447"/>
    <w:rsid w:val="41D77B9A"/>
    <w:rsid w:val="41DB2331"/>
    <w:rsid w:val="41DB75FD"/>
    <w:rsid w:val="41DE4C23"/>
    <w:rsid w:val="41E42A9E"/>
    <w:rsid w:val="41E542A0"/>
    <w:rsid w:val="41F8751C"/>
    <w:rsid w:val="41FB7DDC"/>
    <w:rsid w:val="4200449D"/>
    <w:rsid w:val="42043346"/>
    <w:rsid w:val="420658E3"/>
    <w:rsid w:val="42072888"/>
    <w:rsid w:val="42075CE5"/>
    <w:rsid w:val="42083BFA"/>
    <w:rsid w:val="420874CD"/>
    <w:rsid w:val="420E4868"/>
    <w:rsid w:val="420E6F2F"/>
    <w:rsid w:val="421523BF"/>
    <w:rsid w:val="42160A0B"/>
    <w:rsid w:val="421720FC"/>
    <w:rsid w:val="42246753"/>
    <w:rsid w:val="42284D1F"/>
    <w:rsid w:val="422A0778"/>
    <w:rsid w:val="422B6141"/>
    <w:rsid w:val="422C3774"/>
    <w:rsid w:val="422E0F16"/>
    <w:rsid w:val="422F7398"/>
    <w:rsid w:val="42303BF6"/>
    <w:rsid w:val="423435F7"/>
    <w:rsid w:val="423A3BCC"/>
    <w:rsid w:val="42416730"/>
    <w:rsid w:val="424E37D0"/>
    <w:rsid w:val="424E57D2"/>
    <w:rsid w:val="4254553D"/>
    <w:rsid w:val="42546AC6"/>
    <w:rsid w:val="425A5916"/>
    <w:rsid w:val="425C3E3A"/>
    <w:rsid w:val="425D780A"/>
    <w:rsid w:val="425E3790"/>
    <w:rsid w:val="42646396"/>
    <w:rsid w:val="426A648F"/>
    <w:rsid w:val="426A7875"/>
    <w:rsid w:val="4278473F"/>
    <w:rsid w:val="427D202E"/>
    <w:rsid w:val="428B5084"/>
    <w:rsid w:val="428E2C10"/>
    <w:rsid w:val="42940B7F"/>
    <w:rsid w:val="4297259D"/>
    <w:rsid w:val="4297695F"/>
    <w:rsid w:val="42985937"/>
    <w:rsid w:val="429E629C"/>
    <w:rsid w:val="42A0706C"/>
    <w:rsid w:val="42A739D2"/>
    <w:rsid w:val="42AD3475"/>
    <w:rsid w:val="42B26C49"/>
    <w:rsid w:val="42B50FD4"/>
    <w:rsid w:val="42B6077B"/>
    <w:rsid w:val="42BA4A0B"/>
    <w:rsid w:val="42BD407C"/>
    <w:rsid w:val="42C7113F"/>
    <w:rsid w:val="42CB4176"/>
    <w:rsid w:val="42D17DB5"/>
    <w:rsid w:val="42E57F4B"/>
    <w:rsid w:val="42E60979"/>
    <w:rsid w:val="42F23BC5"/>
    <w:rsid w:val="42F41201"/>
    <w:rsid w:val="42F70A87"/>
    <w:rsid w:val="42F8337F"/>
    <w:rsid w:val="42FA5323"/>
    <w:rsid w:val="42FB69D8"/>
    <w:rsid w:val="43081DBE"/>
    <w:rsid w:val="43120E53"/>
    <w:rsid w:val="43135B69"/>
    <w:rsid w:val="431A58BB"/>
    <w:rsid w:val="431D0B20"/>
    <w:rsid w:val="4320576B"/>
    <w:rsid w:val="43210607"/>
    <w:rsid w:val="43242EFD"/>
    <w:rsid w:val="43292892"/>
    <w:rsid w:val="432F2B5F"/>
    <w:rsid w:val="43302233"/>
    <w:rsid w:val="43366C90"/>
    <w:rsid w:val="4339622E"/>
    <w:rsid w:val="433A6FE6"/>
    <w:rsid w:val="433B15BB"/>
    <w:rsid w:val="433E098E"/>
    <w:rsid w:val="43403314"/>
    <w:rsid w:val="43454447"/>
    <w:rsid w:val="43480868"/>
    <w:rsid w:val="4350713C"/>
    <w:rsid w:val="435235CB"/>
    <w:rsid w:val="43576EC1"/>
    <w:rsid w:val="43593A51"/>
    <w:rsid w:val="435D0DCC"/>
    <w:rsid w:val="435E117D"/>
    <w:rsid w:val="436653E0"/>
    <w:rsid w:val="4367195D"/>
    <w:rsid w:val="4369429B"/>
    <w:rsid w:val="43785E82"/>
    <w:rsid w:val="437B06A7"/>
    <w:rsid w:val="43875359"/>
    <w:rsid w:val="4388394A"/>
    <w:rsid w:val="438C5C19"/>
    <w:rsid w:val="438E1404"/>
    <w:rsid w:val="43944DDC"/>
    <w:rsid w:val="439960B6"/>
    <w:rsid w:val="43AD49E6"/>
    <w:rsid w:val="43AD66FB"/>
    <w:rsid w:val="43AE0745"/>
    <w:rsid w:val="43B255FE"/>
    <w:rsid w:val="43B42BC4"/>
    <w:rsid w:val="43B71491"/>
    <w:rsid w:val="43B745E5"/>
    <w:rsid w:val="43BB3682"/>
    <w:rsid w:val="43C04927"/>
    <w:rsid w:val="43C4431A"/>
    <w:rsid w:val="43C44B00"/>
    <w:rsid w:val="43C63A76"/>
    <w:rsid w:val="43C64D54"/>
    <w:rsid w:val="43C97C3C"/>
    <w:rsid w:val="43CF573E"/>
    <w:rsid w:val="43D4282D"/>
    <w:rsid w:val="43D664C2"/>
    <w:rsid w:val="43D96F89"/>
    <w:rsid w:val="43DF0FEE"/>
    <w:rsid w:val="43E068D6"/>
    <w:rsid w:val="43E7373D"/>
    <w:rsid w:val="43E82E0A"/>
    <w:rsid w:val="43E94C15"/>
    <w:rsid w:val="43F40F34"/>
    <w:rsid w:val="43FB36AD"/>
    <w:rsid w:val="4400492C"/>
    <w:rsid w:val="44055BE3"/>
    <w:rsid w:val="44082546"/>
    <w:rsid w:val="440A4835"/>
    <w:rsid w:val="440A5963"/>
    <w:rsid w:val="440D4C0A"/>
    <w:rsid w:val="44134FC3"/>
    <w:rsid w:val="44137209"/>
    <w:rsid w:val="441537CF"/>
    <w:rsid w:val="44156301"/>
    <w:rsid w:val="441814E8"/>
    <w:rsid w:val="441B7195"/>
    <w:rsid w:val="441C6C9E"/>
    <w:rsid w:val="441E71D2"/>
    <w:rsid w:val="44216EB8"/>
    <w:rsid w:val="44217BE7"/>
    <w:rsid w:val="442306FD"/>
    <w:rsid w:val="442434CE"/>
    <w:rsid w:val="442D0498"/>
    <w:rsid w:val="442D34BF"/>
    <w:rsid w:val="44316F05"/>
    <w:rsid w:val="44325D4B"/>
    <w:rsid w:val="4438016A"/>
    <w:rsid w:val="443D3AC9"/>
    <w:rsid w:val="444059B8"/>
    <w:rsid w:val="44434FFF"/>
    <w:rsid w:val="44464C91"/>
    <w:rsid w:val="4448159C"/>
    <w:rsid w:val="444A0278"/>
    <w:rsid w:val="444C657E"/>
    <w:rsid w:val="445361E5"/>
    <w:rsid w:val="44540EE9"/>
    <w:rsid w:val="44551467"/>
    <w:rsid w:val="445728E4"/>
    <w:rsid w:val="44623471"/>
    <w:rsid w:val="446458C3"/>
    <w:rsid w:val="4469003D"/>
    <w:rsid w:val="446B41F8"/>
    <w:rsid w:val="446E17F3"/>
    <w:rsid w:val="447042C7"/>
    <w:rsid w:val="447A4AB0"/>
    <w:rsid w:val="447B0BEA"/>
    <w:rsid w:val="44823110"/>
    <w:rsid w:val="44902CD8"/>
    <w:rsid w:val="449175CA"/>
    <w:rsid w:val="44941DDB"/>
    <w:rsid w:val="449618D8"/>
    <w:rsid w:val="44982388"/>
    <w:rsid w:val="449A4605"/>
    <w:rsid w:val="44A37D10"/>
    <w:rsid w:val="44A46D0D"/>
    <w:rsid w:val="44A95D2A"/>
    <w:rsid w:val="44B951CC"/>
    <w:rsid w:val="44BE0D29"/>
    <w:rsid w:val="44C10F0B"/>
    <w:rsid w:val="44C43FE2"/>
    <w:rsid w:val="44C46891"/>
    <w:rsid w:val="44C8423E"/>
    <w:rsid w:val="44CB4EB5"/>
    <w:rsid w:val="44CC15A8"/>
    <w:rsid w:val="44CD14E0"/>
    <w:rsid w:val="44CE617A"/>
    <w:rsid w:val="44D3731B"/>
    <w:rsid w:val="44D93A53"/>
    <w:rsid w:val="44DC072C"/>
    <w:rsid w:val="44DC7F6D"/>
    <w:rsid w:val="44DE2D03"/>
    <w:rsid w:val="44EA5E16"/>
    <w:rsid w:val="44EB7930"/>
    <w:rsid w:val="44EB79FC"/>
    <w:rsid w:val="44EC5126"/>
    <w:rsid w:val="44F20B0B"/>
    <w:rsid w:val="44F20D8A"/>
    <w:rsid w:val="44F33D65"/>
    <w:rsid w:val="44F9139D"/>
    <w:rsid w:val="44FB4053"/>
    <w:rsid w:val="44FD02FD"/>
    <w:rsid w:val="44FF3CAD"/>
    <w:rsid w:val="45024B14"/>
    <w:rsid w:val="450625AA"/>
    <w:rsid w:val="45076279"/>
    <w:rsid w:val="45107462"/>
    <w:rsid w:val="45110AAC"/>
    <w:rsid w:val="451816C8"/>
    <w:rsid w:val="4519777D"/>
    <w:rsid w:val="452021FA"/>
    <w:rsid w:val="45220A98"/>
    <w:rsid w:val="45227F78"/>
    <w:rsid w:val="4524265D"/>
    <w:rsid w:val="452D701E"/>
    <w:rsid w:val="452E5F4C"/>
    <w:rsid w:val="4532349B"/>
    <w:rsid w:val="45357C45"/>
    <w:rsid w:val="453937BB"/>
    <w:rsid w:val="453D5077"/>
    <w:rsid w:val="453E0752"/>
    <w:rsid w:val="45441D71"/>
    <w:rsid w:val="454554B1"/>
    <w:rsid w:val="454A1846"/>
    <w:rsid w:val="454A362A"/>
    <w:rsid w:val="45522193"/>
    <w:rsid w:val="45612018"/>
    <w:rsid w:val="457479A6"/>
    <w:rsid w:val="45764916"/>
    <w:rsid w:val="4586784B"/>
    <w:rsid w:val="458946E9"/>
    <w:rsid w:val="458C4D3B"/>
    <w:rsid w:val="4595205C"/>
    <w:rsid w:val="45982BBB"/>
    <w:rsid w:val="459B2317"/>
    <w:rsid w:val="459B7711"/>
    <w:rsid w:val="45A317CF"/>
    <w:rsid w:val="45A45CA6"/>
    <w:rsid w:val="45A47C0E"/>
    <w:rsid w:val="45A87B57"/>
    <w:rsid w:val="45A95176"/>
    <w:rsid w:val="45AD7F09"/>
    <w:rsid w:val="45BC270C"/>
    <w:rsid w:val="45C66FC2"/>
    <w:rsid w:val="45CF4C28"/>
    <w:rsid w:val="45D03BB6"/>
    <w:rsid w:val="45D20A9C"/>
    <w:rsid w:val="45ED3A71"/>
    <w:rsid w:val="45EE1600"/>
    <w:rsid w:val="45F54925"/>
    <w:rsid w:val="45F66658"/>
    <w:rsid w:val="45F80515"/>
    <w:rsid w:val="45F93022"/>
    <w:rsid w:val="45FE618C"/>
    <w:rsid w:val="4605713A"/>
    <w:rsid w:val="460768CC"/>
    <w:rsid w:val="46086E6D"/>
    <w:rsid w:val="46090A55"/>
    <w:rsid w:val="460D2BA8"/>
    <w:rsid w:val="46152600"/>
    <w:rsid w:val="46160458"/>
    <w:rsid w:val="46160AA8"/>
    <w:rsid w:val="461737F4"/>
    <w:rsid w:val="46180292"/>
    <w:rsid w:val="46207231"/>
    <w:rsid w:val="4621401C"/>
    <w:rsid w:val="46222452"/>
    <w:rsid w:val="462B1AEF"/>
    <w:rsid w:val="46330D6B"/>
    <w:rsid w:val="46364AA2"/>
    <w:rsid w:val="463949C5"/>
    <w:rsid w:val="46411E2D"/>
    <w:rsid w:val="4644085C"/>
    <w:rsid w:val="46452284"/>
    <w:rsid w:val="4645480E"/>
    <w:rsid w:val="464768F6"/>
    <w:rsid w:val="464949DA"/>
    <w:rsid w:val="464961EC"/>
    <w:rsid w:val="464A6846"/>
    <w:rsid w:val="464E0D79"/>
    <w:rsid w:val="464E2BA8"/>
    <w:rsid w:val="464F7B16"/>
    <w:rsid w:val="46507E7A"/>
    <w:rsid w:val="465261F4"/>
    <w:rsid w:val="465367C2"/>
    <w:rsid w:val="465518B5"/>
    <w:rsid w:val="46577FD6"/>
    <w:rsid w:val="46590580"/>
    <w:rsid w:val="46607A58"/>
    <w:rsid w:val="4667698D"/>
    <w:rsid w:val="46680E43"/>
    <w:rsid w:val="466E0E0D"/>
    <w:rsid w:val="467758EC"/>
    <w:rsid w:val="46787EE8"/>
    <w:rsid w:val="46794B93"/>
    <w:rsid w:val="46797EAC"/>
    <w:rsid w:val="467D1AF8"/>
    <w:rsid w:val="467E32F3"/>
    <w:rsid w:val="467E3ED1"/>
    <w:rsid w:val="4681230D"/>
    <w:rsid w:val="468302A4"/>
    <w:rsid w:val="46914607"/>
    <w:rsid w:val="46922533"/>
    <w:rsid w:val="46A1122E"/>
    <w:rsid w:val="46A20C3F"/>
    <w:rsid w:val="46A41C10"/>
    <w:rsid w:val="46A7622B"/>
    <w:rsid w:val="46A80CAB"/>
    <w:rsid w:val="46AC5A9D"/>
    <w:rsid w:val="46AD0904"/>
    <w:rsid w:val="46B02CAB"/>
    <w:rsid w:val="46BC10A8"/>
    <w:rsid w:val="46BD1C81"/>
    <w:rsid w:val="46BD6BD8"/>
    <w:rsid w:val="46C11ECA"/>
    <w:rsid w:val="46CD2651"/>
    <w:rsid w:val="46CF747A"/>
    <w:rsid w:val="46D0054F"/>
    <w:rsid w:val="46D11748"/>
    <w:rsid w:val="46D879D5"/>
    <w:rsid w:val="46D955A7"/>
    <w:rsid w:val="46E0513E"/>
    <w:rsid w:val="46E839E5"/>
    <w:rsid w:val="46EC1A77"/>
    <w:rsid w:val="46ED5A1C"/>
    <w:rsid w:val="46EF56AF"/>
    <w:rsid w:val="46F26964"/>
    <w:rsid w:val="46FA13DE"/>
    <w:rsid w:val="46FC1A4C"/>
    <w:rsid w:val="46FE3D19"/>
    <w:rsid w:val="46FE4D33"/>
    <w:rsid w:val="47060B1D"/>
    <w:rsid w:val="4706480A"/>
    <w:rsid w:val="470C65B9"/>
    <w:rsid w:val="47133957"/>
    <w:rsid w:val="471B7A9D"/>
    <w:rsid w:val="471F03B3"/>
    <w:rsid w:val="47354183"/>
    <w:rsid w:val="473C32A8"/>
    <w:rsid w:val="473F3DA2"/>
    <w:rsid w:val="47431B6E"/>
    <w:rsid w:val="47431B7D"/>
    <w:rsid w:val="47476B81"/>
    <w:rsid w:val="474E0BBF"/>
    <w:rsid w:val="474E0CD4"/>
    <w:rsid w:val="47533C96"/>
    <w:rsid w:val="475511B0"/>
    <w:rsid w:val="475F02B5"/>
    <w:rsid w:val="476C6F1C"/>
    <w:rsid w:val="476D770E"/>
    <w:rsid w:val="4770255B"/>
    <w:rsid w:val="47723ABC"/>
    <w:rsid w:val="477701A9"/>
    <w:rsid w:val="47771D37"/>
    <w:rsid w:val="477E3358"/>
    <w:rsid w:val="477F680B"/>
    <w:rsid w:val="47814935"/>
    <w:rsid w:val="478E35F1"/>
    <w:rsid w:val="478E72B9"/>
    <w:rsid w:val="47915059"/>
    <w:rsid w:val="4792407F"/>
    <w:rsid w:val="47950996"/>
    <w:rsid w:val="47976E87"/>
    <w:rsid w:val="47984A8A"/>
    <w:rsid w:val="479E6318"/>
    <w:rsid w:val="47A07E0C"/>
    <w:rsid w:val="47A34C31"/>
    <w:rsid w:val="47A62A5D"/>
    <w:rsid w:val="47AA1392"/>
    <w:rsid w:val="47AB73BB"/>
    <w:rsid w:val="47AC63EE"/>
    <w:rsid w:val="47B265AF"/>
    <w:rsid w:val="47B87371"/>
    <w:rsid w:val="47BE3144"/>
    <w:rsid w:val="47C05F4D"/>
    <w:rsid w:val="47C16173"/>
    <w:rsid w:val="47C24AFC"/>
    <w:rsid w:val="47C50090"/>
    <w:rsid w:val="47C65E4E"/>
    <w:rsid w:val="47CF0F0F"/>
    <w:rsid w:val="47CF29E6"/>
    <w:rsid w:val="47D97FD6"/>
    <w:rsid w:val="47E25031"/>
    <w:rsid w:val="47E50B5D"/>
    <w:rsid w:val="47E80D45"/>
    <w:rsid w:val="47E84EC4"/>
    <w:rsid w:val="47F02AC6"/>
    <w:rsid w:val="47F55EF3"/>
    <w:rsid w:val="47F85484"/>
    <w:rsid w:val="47FD068F"/>
    <w:rsid w:val="480A6B7A"/>
    <w:rsid w:val="480D779A"/>
    <w:rsid w:val="480E5490"/>
    <w:rsid w:val="480E62FB"/>
    <w:rsid w:val="48103B40"/>
    <w:rsid w:val="4818105C"/>
    <w:rsid w:val="48192959"/>
    <w:rsid w:val="481A7E3A"/>
    <w:rsid w:val="481F19FB"/>
    <w:rsid w:val="482244DC"/>
    <w:rsid w:val="482B6CCE"/>
    <w:rsid w:val="48311BC9"/>
    <w:rsid w:val="483425CE"/>
    <w:rsid w:val="48353277"/>
    <w:rsid w:val="483575CC"/>
    <w:rsid w:val="4836255B"/>
    <w:rsid w:val="48366A3F"/>
    <w:rsid w:val="4837606B"/>
    <w:rsid w:val="48381CD9"/>
    <w:rsid w:val="483872C5"/>
    <w:rsid w:val="483D40CA"/>
    <w:rsid w:val="483F2019"/>
    <w:rsid w:val="483F331D"/>
    <w:rsid w:val="484838F3"/>
    <w:rsid w:val="48496F13"/>
    <w:rsid w:val="484D77DB"/>
    <w:rsid w:val="4850658B"/>
    <w:rsid w:val="48580E9D"/>
    <w:rsid w:val="485A0681"/>
    <w:rsid w:val="485F0EEE"/>
    <w:rsid w:val="48667F99"/>
    <w:rsid w:val="48673E8E"/>
    <w:rsid w:val="486B315D"/>
    <w:rsid w:val="486E662B"/>
    <w:rsid w:val="486F6530"/>
    <w:rsid w:val="4870272E"/>
    <w:rsid w:val="489431D5"/>
    <w:rsid w:val="489546E8"/>
    <w:rsid w:val="489951DC"/>
    <w:rsid w:val="48A17A02"/>
    <w:rsid w:val="48A501F5"/>
    <w:rsid w:val="48AF18EA"/>
    <w:rsid w:val="48B02826"/>
    <w:rsid w:val="48B25F42"/>
    <w:rsid w:val="48B72175"/>
    <w:rsid w:val="48B8695B"/>
    <w:rsid w:val="48BD0639"/>
    <w:rsid w:val="48BD1B09"/>
    <w:rsid w:val="48BE0572"/>
    <w:rsid w:val="48C16CA0"/>
    <w:rsid w:val="48C532E9"/>
    <w:rsid w:val="48C70316"/>
    <w:rsid w:val="48C77E38"/>
    <w:rsid w:val="48C9454D"/>
    <w:rsid w:val="48CD522C"/>
    <w:rsid w:val="48D02C33"/>
    <w:rsid w:val="48D34521"/>
    <w:rsid w:val="48E024F5"/>
    <w:rsid w:val="48E11A19"/>
    <w:rsid w:val="48E33E25"/>
    <w:rsid w:val="48EE30EB"/>
    <w:rsid w:val="48EE55C2"/>
    <w:rsid w:val="48EF188D"/>
    <w:rsid w:val="48F47443"/>
    <w:rsid w:val="48F54724"/>
    <w:rsid w:val="49012E7D"/>
    <w:rsid w:val="490266AD"/>
    <w:rsid w:val="49034C2E"/>
    <w:rsid w:val="490434A1"/>
    <w:rsid w:val="490604BA"/>
    <w:rsid w:val="490D6365"/>
    <w:rsid w:val="491C70B7"/>
    <w:rsid w:val="491F5EC6"/>
    <w:rsid w:val="49206FD5"/>
    <w:rsid w:val="49291655"/>
    <w:rsid w:val="492A4733"/>
    <w:rsid w:val="49303D58"/>
    <w:rsid w:val="4932572A"/>
    <w:rsid w:val="49426E11"/>
    <w:rsid w:val="49430FCD"/>
    <w:rsid w:val="494617DF"/>
    <w:rsid w:val="494E19E0"/>
    <w:rsid w:val="49575660"/>
    <w:rsid w:val="495C329E"/>
    <w:rsid w:val="49675C45"/>
    <w:rsid w:val="496764E1"/>
    <w:rsid w:val="49680512"/>
    <w:rsid w:val="496E747D"/>
    <w:rsid w:val="49716334"/>
    <w:rsid w:val="49783F4F"/>
    <w:rsid w:val="497853F1"/>
    <w:rsid w:val="497B0C92"/>
    <w:rsid w:val="497C2339"/>
    <w:rsid w:val="497D6DF6"/>
    <w:rsid w:val="497E2BE8"/>
    <w:rsid w:val="49830203"/>
    <w:rsid w:val="49894CEA"/>
    <w:rsid w:val="498F0DD8"/>
    <w:rsid w:val="4993092B"/>
    <w:rsid w:val="49960B42"/>
    <w:rsid w:val="499A7923"/>
    <w:rsid w:val="499F7FE6"/>
    <w:rsid w:val="49B322DE"/>
    <w:rsid w:val="49B54BA8"/>
    <w:rsid w:val="49B652A4"/>
    <w:rsid w:val="49B82B8A"/>
    <w:rsid w:val="49BA1429"/>
    <w:rsid w:val="49BB3406"/>
    <w:rsid w:val="49BE123B"/>
    <w:rsid w:val="49C26A0C"/>
    <w:rsid w:val="49C63CB5"/>
    <w:rsid w:val="49C704F8"/>
    <w:rsid w:val="49C84469"/>
    <w:rsid w:val="49C918A3"/>
    <w:rsid w:val="49C92E93"/>
    <w:rsid w:val="49C94EFC"/>
    <w:rsid w:val="49D4280C"/>
    <w:rsid w:val="49D611E2"/>
    <w:rsid w:val="49D64F66"/>
    <w:rsid w:val="49DC3C35"/>
    <w:rsid w:val="49DC7715"/>
    <w:rsid w:val="49DD71DE"/>
    <w:rsid w:val="49DE3019"/>
    <w:rsid w:val="49DF5521"/>
    <w:rsid w:val="49E91E93"/>
    <w:rsid w:val="49EA1F09"/>
    <w:rsid w:val="49EA5BBF"/>
    <w:rsid w:val="49EC173D"/>
    <w:rsid w:val="49F11AA3"/>
    <w:rsid w:val="49F92F6F"/>
    <w:rsid w:val="49FA0C27"/>
    <w:rsid w:val="4A001853"/>
    <w:rsid w:val="4A023139"/>
    <w:rsid w:val="4A052F31"/>
    <w:rsid w:val="4A0D3B33"/>
    <w:rsid w:val="4A1031E0"/>
    <w:rsid w:val="4A113656"/>
    <w:rsid w:val="4A1616BD"/>
    <w:rsid w:val="4A164F90"/>
    <w:rsid w:val="4A220E48"/>
    <w:rsid w:val="4A2A792E"/>
    <w:rsid w:val="4A361719"/>
    <w:rsid w:val="4A38692C"/>
    <w:rsid w:val="4A4B3C81"/>
    <w:rsid w:val="4A552C62"/>
    <w:rsid w:val="4A563EBE"/>
    <w:rsid w:val="4A5773DB"/>
    <w:rsid w:val="4A6563CF"/>
    <w:rsid w:val="4A711605"/>
    <w:rsid w:val="4A7665E3"/>
    <w:rsid w:val="4A771DA6"/>
    <w:rsid w:val="4A776791"/>
    <w:rsid w:val="4A782276"/>
    <w:rsid w:val="4A7A523E"/>
    <w:rsid w:val="4A7B1BDE"/>
    <w:rsid w:val="4A7B38F2"/>
    <w:rsid w:val="4A7B576F"/>
    <w:rsid w:val="4A802AF0"/>
    <w:rsid w:val="4A807E02"/>
    <w:rsid w:val="4A8F3C7F"/>
    <w:rsid w:val="4A92074F"/>
    <w:rsid w:val="4A9679B7"/>
    <w:rsid w:val="4A986C7A"/>
    <w:rsid w:val="4A9C4DB8"/>
    <w:rsid w:val="4A9F3BE2"/>
    <w:rsid w:val="4AA511E4"/>
    <w:rsid w:val="4AA54826"/>
    <w:rsid w:val="4ABB1980"/>
    <w:rsid w:val="4AC30030"/>
    <w:rsid w:val="4AC47CAC"/>
    <w:rsid w:val="4AC54EC0"/>
    <w:rsid w:val="4AC57DFA"/>
    <w:rsid w:val="4AC72371"/>
    <w:rsid w:val="4AC75741"/>
    <w:rsid w:val="4ACA3E7C"/>
    <w:rsid w:val="4AD35A45"/>
    <w:rsid w:val="4AD40F16"/>
    <w:rsid w:val="4AD53D6E"/>
    <w:rsid w:val="4AD93E52"/>
    <w:rsid w:val="4AE249F4"/>
    <w:rsid w:val="4AE52E00"/>
    <w:rsid w:val="4AEE6FC7"/>
    <w:rsid w:val="4AF561A9"/>
    <w:rsid w:val="4AF64347"/>
    <w:rsid w:val="4B0502D6"/>
    <w:rsid w:val="4B0A1403"/>
    <w:rsid w:val="4B0E61F2"/>
    <w:rsid w:val="4B1443F0"/>
    <w:rsid w:val="4B1550A5"/>
    <w:rsid w:val="4B156BBC"/>
    <w:rsid w:val="4B191A7F"/>
    <w:rsid w:val="4B1C7E5B"/>
    <w:rsid w:val="4B22217C"/>
    <w:rsid w:val="4B257098"/>
    <w:rsid w:val="4B26049D"/>
    <w:rsid w:val="4B270039"/>
    <w:rsid w:val="4B2C5BC9"/>
    <w:rsid w:val="4B3068E9"/>
    <w:rsid w:val="4B335C59"/>
    <w:rsid w:val="4B356F89"/>
    <w:rsid w:val="4B382A7C"/>
    <w:rsid w:val="4B3A68A2"/>
    <w:rsid w:val="4B3F0F1B"/>
    <w:rsid w:val="4B3F5624"/>
    <w:rsid w:val="4B431B29"/>
    <w:rsid w:val="4B4677DC"/>
    <w:rsid w:val="4B482FDC"/>
    <w:rsid w:val="4B4E3DF6"/>
    <w:rsid w:val="4B5300A9"/>
    <w:rsid w:val="4B55380C"/>
    <w:rsid w:val="4B5959B3"/>
    <w:rsid w:val="4B5959D0"/>
    <w:rsid w:val="4B5A4F93"/>
    <w:rsid w:val="4B5E09E3"/>
    <w:rsid w:val="4B7207D4"/>
    <w:rsid w:val="4B761D31"/>
    <w:rsid w:val="4B836260"/>
    <w:rsid w:val="4B837E91"/>
    <w:rsid w:val="4B8D01BF"/>
    <w:rsid w:val="4B8F4771"/>
    <w:rsid w:val="4B905513"/>
    <w:rsid w:val="4B9206C9"/>
    <w:rsid w:val="4B92700D"/>
    <w:rsid w:val="4B936CFD"/>
    <w:rsid w:val="4B944ADB"/>
    <w:rsid w:val="4B9947E0"/>
    <w:rsid w:val="4BAD04AD"/>
    <w:rsid w:val="4BAD0EAF"/>
    <w:rsid w:val="4BAD6936"/>
    <w:rsid w:val="4BB01C9B"/>
    <w:rsid w:val="4BB646AB"/>
    <w:rsid w:val="4BB714F3"/>
    <w:rsid w:val="4BBA62CD"/>
    <w:rsid w:val="4BBF584D"/>
    <w:rsid w:val="4BC45E7C"/>
    <w:rsid w:val="4BC65C1F"/>
    <w:rsid w:val="4BC83CB8"/>
    <w:rsid w:val="4BC92119"/>
    <w:rsid w:val="4BDF51F8"/>
    <w:rsid w:val="4BDF5691"/>
    <w:rsid w:val="4BE041C3"/>
    <w:rsid w:val="4BE959A6"/>
    <w:rsid w:val="4BEA27BB"/>
    <w:rsid w:val="4BEC3D01"/>
    <w:rsid w:val="4BF71265"/>
    <w:rsid w:val="4BF721BE"/>
    <w:rsid w:val="4BFB31F7"/>
    <w:rsid w:val="4BFD6579"/>
    <w:rsid w:val="4BFE7671"/>
    <w:rsid w:val="4BFF581C"/>
    <w:rsid w:val="4C061800"/>
    <w:rsid w:val="4C065710"/>
    <w:rsid w:val="4C0E3588"/>
    <w:rsid w:val="4C106C3B"/>
    <w:rsid w:val="4C2C5422"/>
    <w:rsid w:val="4C2C67C4"/>
    <w:rsid w:val="4C3C4BDF"/>
    <w:rsid w:val="4C4261D4"/>
    <w:rsid w:val="4C4A0649"/>
    <w:rsid w:val="4C4B29F9"/>
    <w:rsid w:val="4C4F6CF0"/>
    <w:rsid w:val="4C5B5467"/>
    <w:rsid w:val="4C5B6CB9"/>
    <w:rsid w:val="4C61141F"/>
    <w:rsid w:val="4C6B7184"/>
    <w:rsid w:val="4C6C0DCC"/>
    <w:rsid w:val="4C764B42"/>
    <w:rsid w:val="4C797593"/>
    <w:rsid w:val="4C7E5ECA"/>
    <w:rsid w:val="4C876AA5"/>
    <w:rsid w:val="4C8B0496"/>
    <w:rsid w:val="4C910CFE"/>
    <w:rsid w:val="4C9D13B6"/>
    <w:rsid w:val="4CA26CC1"/>
    <w:rsid w:val="4CA34D48"/>
    <w:rsid w:val="4CA40102"/>
    <w:rsid w:val="4CAB5D66"/>
    <w:rsid w:val="4CAD0054"/>
    <w:rsid w:val="4CB86415"/>
    <w:rsid w:val="4CB968D1"/>
    <w:rsid w:val="4CBA03DF"/>
    <w:rsid w:val="4CBD74B7"/>
    <w:rsid w:val="4CD10E18"/>
    <w:rsid w:val="4CD466FE"/>
    <w:rsid w:val="4CD60F91"/>
    <w:rsid w:val="4CD8042C"/>
    <w:rsid w:val="4CDD4567"/>
    <w:rsid w:val="4CE0545A"/>
    <w:rsid w:val="4CEB3321"/>
    <w:rsid w:val="4CED3C0E"/>
    <w:rsid w:val="4CF221A1"/>
    <w:rsid w:val="4CF2559A"/>
    <w:rsid w:val="4CF64A76"/>
    <w:rsid w:val="4CF87B1C"/>
    <w:rsid w:val="4CF94237"/>
    <w:rsid w:val="4CFB09F8"/>
    <w:rsid w:val="4CFB2B88"/>
    <w:rsid w:val="4CFC2960"/>
    <w:rsid w:val="4CFC6CBF"/>
    <w:rsid w:val="4CFD0B53"/>
    <w:rsid w:val="4D0769C1"/>
    <w:rsid w:val="4D0D6132"/>
    <w:rsid w:val="4D0E00FB"/>
    <w:rsid w:val="4D106DBA"/>
    <w:rsid w:val="4D1473C4"/>
    <w:rsid w:val="4D176606"/>
    <w:rsid w:val="4D1B26CA"/>
    <w:rsid w:val="4D1C1C01"/>
    <w:rsid w:val="4D230C15"/>
    <w:rsid w:val="4D2412F2"/>
    <w:rsid w:val="4D286FE0"/>
    <w:rsid w:val="4D2956E6"/>
    <w:rsid w:val="4D2C303F"/>
    <w:rsid w:val="4D2F0C94"/>
    <w:rsid w:val="4D330689"/>
    <w:rsid w:val="4D3467AB"/>
    <w:rsid w:val="4D3A0517"/>
    <w:rsid w:val="4D3F2693"/>
    <w:rsid w:val="4D405B62"/>
    <w:rsid w:val="4D4A6978"/>
    <w:rsid w:val="4D4A6F7D"/>
    <w:rsid w:val="4D4B1038"/>
    <w:rsid w:val="4D5073AC"/>
    <w:rsid w:val="4D543701"/>
    <w:rsid w:val="4D5465B6"/>
    <w:rsid w:val="4D565D1C"/>
    <w:rsid w:val="4D567E93"/>
    <w:rsid w:val="4D5828F7"/>
    <w:rsid w:val="4D582F1A"/>
    <w:rsid w:val="4D5A39E1"/>
    <w:rsid w:val="4D5E580B"/>
    <w:rsid w:val="4D5F3011"/>
    <w:rsid w:val="4D625ABD"/>
    <w:rsid w:val="4D6C0776"/>
    <w:rsid w:val="4D6D4256"/>
    <w:rsid w:val="4D6F424F"/>
    <w:rsid w:val="4D733C2D"/>
    <w:rsid w:val="4D7471F9"/>
    <w:rsid w:val="4D75097E"/>
    <w:rsid w:val="4D7C7519"/>
    <w:rsid w:val="4D820A92"/>
    <w:rsid w:val="4D856693"/>
    <w:rsid w:val="4D881010"/>
    <w:rsid w:val="4D892B11"/>
    <w:rsid w:val="4D8F1B6B"/>
    <w:rsid w:val="4D9536CC"/>
    <w:rsid w:val="4D9C4BDE"/>
    <w:rsid w:val="4D9E1EFD"/>
    <w:rsid w:val="4DA5551D"/>
    <w:rsid w:val="4DAA338D"/>
    <w:rsid w:val="4DAE7818"/>
    <w:rsid w:val="4DB40EE0"/>
    <w:rsid w:val="4DB645C4"/>
    <w:rsid w:val="4DB64F2F"/>
    <w:rsid w:val="4DBC1F35"/>
    <w:rsid w:val="4DC05945"/>
    <w:rsid w:val="4DC31516"/>
    <w:rsid w:val="4DCA44FA"/>
    <w:rsid w:val="4DCE1E2F"/>
    <w:rsid w:val="4DD265C0"/>
    <w:rsid w:val="4DD361FF"/>
    <w:rsid w:val="4DDC0AA8"/>
    <w:rsid w:val="4DDD0ED4"/>
    <w:rsid w:val="4DDD3FA9"/>
    <w:rsid w:val="4DDE6A9C"/>
    <w:rsid w:val="4DE44AE0"/>
    <w:rsid w:val="4DEC4FB0"/>
    <w:rsid w:val="4DF93DAC"/>
    <w:rsid w:val="4DFA2E8F"/>
    <w:rsid w:val="4DFC7F1C"/>
    <w:rsid w:val="4DFD3271"/>
    <w:rsid w:val="4E014AFA"/>
    <w:rsid w:val="4E036A76"/>
    <w:rsid w:val="4E075D8A"/>
    <w:rsid w:val="4E0B31CA"/>
    <w:rsid w:val="4E0B736E"/>
    <w:rsid w:val="4E0D250D"/>
    <w:rsid w:val="4E0F2496"/>
    <w:rsid w:val="4E296D81"/>
    <w:rsid w:val="4E2B7B5E"/>
    <w:rsid w:val="4E2C0F1C"/>
    <w:rsid w:val="4E30070B"/>
    <w:rsid w:val="4E35547E"/>
    <w:rsid w:val="4E3851B9"/>
    <w:rsid w:val="4E3B0A3A"/>
    <w:rsid w:val="4E4826B3"/>
    <w:rsid w:val="4E4E388A"/>
    <w:rsid w:val="4E5673BD"/>
    <w:rsid w:val="4E5F0DDA"/>
    <w:rsid w:val="4E5F5372"/>
    <w:rsid w:val="4E604FB7"/>
    <w:rsid w:val="4E605485"/>
    <w:rsid w:val="4E610C85"/>
    <w:rsid w:val="4E617C55"/>
    <w:rsid w:val="4E662D16"/>
    <w:rsid w:val="4E681B8C"/>
    <w:rsid w:val="4E6A412A"/>
    <w:rsid w:val="4E6B66B8"/>
    <w:rsid w:val="4E6C77F3"/>
    <w:rsid w:val="4E724CEA"/>
    <w:rsid w:val="4E727159"/>
    <w:rsid w:val="4E77033A"/>
    <w:rsid w:val="4E7A439B"/>
    <w:rsid w:val="4E86699F"/>
    <w:rsid w:val="4EA54AF9"/>
    <w:rsid w:val="4EAB5F00"/>
    <w:rsid w:val="4EB3368C"/>
    <w:rsid w:val="4EBB3930"/>
    <w:rsid w:val="4EBE7704"/>
    <w:rsid w:val="4EC00FAD"/>
    <w:rsid w:val="4EC90485"/>
    <w:rsid w:val="4ECC61A8"/>
    <w:rsid w:val="4ECE7BCB"/>
    <w:rsid w:val="4ED157B7"/>
    <w:rsid w:val="4ED57278"/>
    <w:rsid w:val="4ED72D2C"/>
    <w:rsid w:val="4ED80BEB"/>
    <w:rsid w:val="4EE26A86"/>
    <w:rsid w:val="4EF018F4"/>
    <w:rsid w:val="4EF075B3"/>
    <w:rsid w:val="4EF43D78"/>
    <w:rsid w:val="4EFB1CA6"/>
    <w:rsid w:val="4EFF41D8"/>
    <w:rsid w:val="4F050CD4"/>
    <w:rsid w:val="4F0A2534"/>
    <w:rsid w:val="4F0E6D5D"/>
    <w:rsid w:val="4F0E6F58"/>
    <w:rsid w:val="4F1418FD"/>
    <w:rsid w:val="4F17689D"/>
    <w:rsid w:val="4F223476"/>
    <w:rsid w:val="4F2C6C47"/>
    <w:rsid w:val="4F2F1C34"/>
    <w:rsid w:val="4F3212B2"/>
    <w:rsid w:val="4F333490"/>
    <w:rsid w:val="4F355D9B"/>
    <w:rsid w:val="4F36667F"/>
    <w:rsid w:val="4F407E7D"/>
    <w:rsid w:val="4F413F0E"/>
    <w:rsid w:val="4F4370F2"/>
    <w:rsid w:val="4F453FDE"/>
    <w:rsid w:val="4F461112"/>
    <w:rsid w:val="4F4915A7"/>
    <w:rsid w:val="4F4A2B94"/>
    <w:rsid w:val="4F502BC0"/>
    <w:rsid w:val="4F557141"/>
    <w:rsid w:val="4F5E5B74"/>
    <w:rsid w:val="4F5F526E"/>
    <w:rsid w:val="4F5F5C3F"/>
    <w:rsid w:val="4F6C15BC"/>
    <w:rsid w:val="4F6C4681"/>
    <w:rsid w:val="4F6F213E"/>
    <w:rsid w:val="4F730D1A"/>
    <w:rsid w:val="4F763D90"/>
    <w:rsid w:val="4F773B59"/>
    <w:rsid w:val="4F803237"/>
    <w:rsid w:val="4F80799B"/>
    <w:rsid w:val="4F841386"/>
    <w:rsid w:val="4F8D442A"/>
    <w:rsid w:val="4F9843DC"/>
    <w:rsid w:val="4F9B2DE3"/>
    <w:rsid w:val="4F9D2544"/>
    <w:rsid w:val="4FA05EC4"/>
    <w:rsid w:val="4FA11B42"/>
    <w:rsid w:val="4FAA2859"/>
    <w:rsid w:val="4FAA681D"/>
    <w:rsid w:val="4FAC76F3"/>
    <w:rsid w:val="4FB214EC"/>
    <w:rsid w:val="4FB21777"/>
    <w:rsid w:val="4FB437DA"/>
    <w:rsid w:val="4FBF737C"/>
    <w:rsid w:val="4FC00B88"/>
    <w:rsid w:val="4FC13933"/>
    <w:rsid w:val="4FC17E5B"/>
    <w:rsid w:val="4FC62A8C"/>
    <w:rsid w:val="4FC76DD2"/>
    <w:rsid w:val="4FCB2D35"/>
    <w:rsid w:val="4FCF3616"/>
    <w:rsid w:val="4FCF7423"/>
    <w:rsid w:val="4FD219ED"/>
    <w:rsid w:val="4FD70824"/>
    <w:rsid w:val="4FE20B1E"/>
    <w:rsid w:val="4FE20F0D"/>
    <w:rsid w:val="4FE267DC"/>
    <w:rsid w:val="4FE51552"/>
    <w:rsid w:val="4FE53250"/>
    <w:rsid w:val="4FEB2917"/>
    <w:rsid w:val="4FEC4AED"/>
    <w:rsid w:val="4FED3E0C"/>
    <w:rsid w:val="4FF14C70"/>
    <w:rsid w:val="4FF939CB"/>
    <w:rsid w:val="4FFC10FA"/>
    <w:rsid w:val="4FFC7854"/>
    <w:rsid w:val="4FFF419C"/>
    <w:rsid w:val="50010F5D"/>
    <w:rsid w:val="50024C18"/>
    <w:rsid w:val="50033F66"/>
    <w:rsid w:val="500656EA"/>
    <w:rsid w:val="500707B0"/>
    <w:rsid w:val="5008178E"/>
    <w:rsid w:val="500A7922"/>
    <w:rsid w:val="500B5179"/>
    <w:rsid w:val="501025C1"/>
    <w:rsid w:val="501145E2"/>
    <w:rsid w:val="50194C80"/>
    <w:rsid w:val="501A0C23"/>
    <w:rsid w:val="501F4A58"/>
    <w:rsid w:val="501F4D26"/>
    <w:rsid w:val="5020642F"/>
    <w:rsid w:val="50241FFC"/>
    <w:rsid w:val="50255EC4"/>
    <w:rsid w:val="502C5B03"/>
    <w:rsid w:val="502D50C3"/>
    <w:rsid w:val="503B5746"/>
    <w:rsid w:val="503E1C5E"/>
    <w:rsid w:val="503E7BF6"/>
    <w:rsid w:val="503F6558"/>
    <w:rsid w:val="50401C5B"/>
    <w:rsid w:val="50435DEE"/>
    <w:rsid w:val="504418FE"/>
    <w:rsid w:val="50485D20"/>
    <w:rsid w:val="50504C4B"/>
    <w:rsid w:val="50506590"/>
    <w:rsid w:val="505717A2"/>
    <w:rsid w:val="50596351"/>
    <w:rsid w:val="505B568D"/>
    <w:rsid w:val="505C2B55"/>
    <w:rsid w:val="50607D66"/>
    <w:rsid w:val="506104D1"/>
    <w:rsid w:val="50634FEE"/>
    <w:rsid w:val="506626AE"/>
    <w:rsid w:val="5067562F"/>
    <w:rsid w:val="506E067B"/>
    <w:rsid w:val="506E0E57"/>
    <w:rsid w:val="50726A1D"/>
    <w:rsid w:val="507B25EC"/>
    <w:rsid w:val="50800FC2"/>
    <w:rsid w:val="508D4A1D"/>
    <w:rsid w:val="508F1D69"/>
    <w:rsid w:val="50927A15"/>
    <w:rsid w:val="509C6E7C"/>
    <w:rsid w:val="509D7E32"/>
    <w:rsid w:val="50A40336"/>
    <w:rsid w:val="50A54F03"/>
    <w:rsid w:val="50A7534E"/>
    <w:rsid w:val="50A76666"/>
    <w:rsid w:val="50A81AB3"/>
    <w:rsid w:val="50AF0E94"/>
    <w:rsid w:val="50B40F5E"/>
    <w:rsid w:val="50B76AE2"/>
    <w:rsid w:val="50BD32F7"/>
    <w:rsid w:val="50C01D3C"/>
    <w:rsid w:val="50C451F2"/>
    <w:rsid w:val="50C5683D"/>
    <w:rsid w:val="50D36D0D"/>
    <w:rsid w:val="50D95BEB"/>
    <w:rsid w:val="50DA0CCD"/>
    <w:rsid w:val="50E63A81"/>
    <w:rsid w:val="50E7376D"/>
    <w:rsid w:val="50E757DC"/>
    <w:rsid w:val="50EC3FE1"/>
    <w:rsid w:val="50FD287F"/>
    <w:rsid w:val="50FE48D0"/>
    <w:rsid w:val="510548FC"/>
    <w:rsid w:val="51123482"/>
    <w:rsid w:val="51145F88"/>
    <w:rsid w:val="51187A9F"/>
    <w:rsid w:val="511A5FBB"/>
    <w:rsid w:val="511B69AD"/>
    <w:rsid w:val="512177E8"/>
    <w:rsid w:val="51234C7A"/>
    <w:rsid w:val="512E6647"/>
    <w:rsid w:val="512F0C70"/>
    <w:rsid w:val="512F3BA8"/>
    <w:rsid w:val="51327738"/>
    <w:rsid w:val="51360D60"/>
    <w:rsid w:val="51382D71"/>
    <w:rsid w:val="513865F2"/>
    <w:rsid w:val="51390F94"/>
    <w:rsid w:val="51426D40"/>
    <w:rsid w:val="514C212E"/>
    <w:rsid w:val="51501EBB"/>
    <w:rsid w:val="51505975"/>
    <w:rsid w:val="51510223"/>
    <w:rsid w:val="515110B9"/>
    <w:rsid w:val="515F0B5F"/>
    <w:rsid w:val="5162104E"/>
    <w:rsid w:val="51672559"/>
    <w:rsid w:val="5167266E"/>
    <w:rsid w:val="51680A29"/>
    <w:rsid w:val="51680F94"/>
    <w:rsid w:val="51687A3E"/>
    <w:rsid w:val="51744399"/>
    <w:rsid w:val="51824187"/>
    <w:rsid w:val="51827CF0"/>
    <w:rsid w:val="518D1BA5"/>
    <w:rsid w:val="518D2DA3"/>
    <w:rsid w:val="51910060"/>
    <w:rsid w:val="51933719"/>
    <w:rsid w:val="5196564A"/>
    <w:rsid w:val="51981E3E"/>
    <w:rsid w:val="519D4E63"/>
    <w:rsid w:val="51A139B6"/>
    <w:rsid w:val="51A27E07"/>
    <w:rsid w:val="51A57EC9"/>
    <w:rsid w:val="51A9018B"/>
    <w:rsid w:val="51AB0B68"/>
    <w:rsid w:val="51AC0A25"/>
    <w:rsid w:val="51AC6698"/>
    <w:rsid w:val="51AF590F"/>
    <w:rsid w:val="51B045EC"/>
    <w:rsid w:val="51B53355"/>
    <w:rsid w:val="51B9412D"/>
    <w:rsid w:val="51BB01F4"/>
    <w:rsid w:val="51C15D6C"/>
    <w:rsid w:val="51C4760A"/>
    <w:rsid w:val="51CF3BB1"/>
    <w:rsid w:val="51CF6F53"/>
    <w:rsid w:val="51D04201"/>
    <w:rsid w:val="51D671BA"/>
    <w:rsid w:val="51DE62A5"/>
    <w:rsid w:val="51E40087"/>
    <w:rsid w:val="51E85046"/>
    <w:rsid w:val="51EA65FC"/>
    <w:rsid w:val="51EB3610"/>
    <w:rsid w:val="51EC2F25"/>
    <w:rsid w:val="51F84358"/>
    <w:rsid w:val="51F96C81"/>
    <w:rsid w:val="51FB330B"/>
    <w:rsid w:val="52022BC8"/>
    <w:rsid w:val="52096BA4"/>
    <w:rsid w:val="520D609C"/>
    <w:rsid w:val="521C7446"/>
    <w:rsid w:val="521E59C9"/>
    <w:rsid w:val="52202768"/>
    <w:rsid w:val="52202F33"/>
    <w:rsid w:val="5222272C"/>
    <w:rsid w:val="52291CD0"/>
    <w:rsid w:val="522A5E34"/>
    <w:rsid w:val="522D4A3C"/>
    <w:rsid w:val="52342EAD"/>
    <w:rsid w:val="52345AFE"/>
    <w:rsid w:val="52347A55"/>
    <w:rsid w:val="523672BC"/>
    <w:rsid w:val="523A73EE"/>
    <w:rsid w:val="5240450F"/>
    <w:rsid w:val="52461405"/>
    <w:rsid w:val="524B3200"/>
    <w:rsid w:val="52525504"/>
    <w:rsid w:val="52554706"/>
    <w:rsid w:val="52583C45"/>
    <w:rsid w:val="525C3750"/>
    <w:rsid w:val="52654DCD"/>
    <w:rsid w:val="526651E2"/>
    <w:rsid w:val="52671CEB"/>
    <w:rsid w:val="526E683E"/>
    <w:rsid w:val="5277467D"/>
    <w:rsid w:val="5278510F"/>
    <w:rsid w:val="527F195C"/>
    <w:rsid w:val="52804C8C"/>
    <w:rsid w:val="52837DC1"/>
    <w:rsid w:val="52884ADC"/>
    <w:rsid w:val="528D4AEB"/>
    <w:rsid w:val="528F1D7E"/>
    <w:rsid w:val="528F5E6A"/>
    <w:rsid w:val="529A511D"/>
    <w:rsid w:val="52A06358"/>
    <w:rsid w:val="52A82B36"/>
    <w:rsid w:val="52A9284C"/>
    <w:rsid w:val="52B23ED4"/>
    <w:rsid w:val="52B54761"/>
    <w:rsid w:val="52BA17E6"/>
    <w:rsid w:val="52BE405A"/>
    <w:rsid w:val="52C050DB"/>
    <w:rsid w:val="52C1071F"/>
    <w:rsid w:val="52C41D13"/>
    <w:rsid w:val="52C67E3B"/>
    <w:rsid w:val="52CC02AC"/>
    <w:rsid w:val="52CF691F"/>
    <w:rsid w:val="52D03FC9"/>
    <w:rsid w:val="52D234C7"/>
    <w:rsid w:val="52D64BD6"/>
    <w:rsid w:val="52D67B87"/>
    <w:rsid w:val="52DD3B1C"/>
    <w:rsid w:val="52E25DDA"/>
    <w:rsid w:val="52E3616F"/>
    <w:rsid w:val="52E37B9B"/>
    <w:rsid w:val="52E64E44"/>
    <w:rsid w:val="52EE79CB"/>
    <w:rsid w:val="52F04794"/>
    <w:rsid w:val="52F84176"/>
    <w:rsid w:val="52FA0771"/>
    <w:rsid w:val="52FD3574"/>
    <w:rsid w:val="53010E60"/>
    <w:rsid w:val="53041D24"/>
    <w:rsid w:val="53075102"/>
    <w:rsid w:val="53101AD7"/>
    <w:rsid w:val="53153DA9"/>
    <w:rsid w:val="531D1C70"/>
    <w:rsid w:val="53232554"/>
    <w:rsid w:val="53351A42"/>
    <w:rsid w:val="53384CC6"/>
    <w:rsid w:val="534775A6"/>
    <w:rsid w:val="534C3341"/>
    <w:rsid w:val="535008A4"/>
    <w:rsid w:val="53551437"/>
    <w:rsid w:val="536269E4"/>
    <w:rsid w:val="53640FAE"/>
    <w:rsid w:val="5366499C"/>
    <w:rsid w:val="536C0779"/>
    <w:rsid w:val="53733A60"/>
    <w:rsid w:val="537430FC"/>
    <w:rsid w:val="53763849"/>
    <w:rsid w:val="53790D5A"/>
    <w:rsid w:val="537B30C5"/>
    <w:rsid w:val="53804D80"/>
    <w:rsid w:val="538B3C91"/>
    <w:rsid w:val="538B65FB"/>
    <w:rsid w:val="538C05FC"/>
    <w:rsid w:val="538C23AA"/>
    <w:rsid w:val="538D23F9"/>
    <w:rsid w:val="53987A3F"/>
    <w:rsid w:val="53990A5B"/>
    <w:rsid w:val="539D0EA6"/>
    <w:rsid w:val="53A039CC"/>
    <w:rsid w:val="53A1505A"/>
    <w:rsid w:val="53A16DA2"/>
    <w:rsid w:val="53AE6D85"/>
    <w:rsid w:val="53AF4F3D"/>
    <w:rsid w:val="53B32E6D"/>
    <w:rsid w:val="53B76944"/>
    <w:rsid w:val="53BD265E"/>
    <w:rsid w:val="53C410B1"/>
    <w:rsid w:val="53C80D3D"/>
    <w:rsid w:val="53C9226F"/>
    <w:rsid w:val="53CB540E"/>
    <w:rsid w:val="53CD6ECD"/>
    <w:rsid w:val="53D022CD"/>
    <w:rsid w:val="53D20E50"/>
    <w:rsid w:val="53D42DFD"/>
    <w:rsid w:val="53D907F3"/>
    <w:rsid w:val="53DA73B2"/>
    <w:rsid w:val="53DB2D36"/>
    <w:rsid w:val="53DC0686"/>
    <w:rsid w:val="53E122B0"/>
    <w:rsid w:val="53E166FA"/>
    <w:rsid w:val="53E47AF0"/>
    <w:rsid w:val="53E67E4A"/>
    <w:rsid w:val="53E81E61"/>
    <w:rsid w:val="53E86C2E"/>
    <w:rsid w:val="53EA58DE"/>
    <w:rsid w:val="53EA6915"/>
    <w:rsid w:val="53EA7C72"/>
    <w:rsid w:val="53ED2F5B"/>
    <w:rsid w:val="53F02939"/>
    <w:rsid w:val="53F1045F"/>
    <w:rsid w:val="53F25C32"/>
    <w:rsid w:val="53F27492"/>
    <w:rsid w:val="53F67529"/>
    <w:rsid w:val="53FA2FFA"/>
    <w:rsid w:val="54063E08"/>
    <w:rsid w:val="54096E90"/>
    <w:rsid w:val="540C0463"/>
    <w:rsid w:val="541128AF"/>
    <w:rsid w:val="54152207"/>
    <w:rsid w:val="54186376"/>
    <w:rsid w:val="5419695A"/>
    <w:rsid w:val="54213CF9"/>
    <w:rsid w:val="5425746C"/>
    <w:rsid w:val="542D76A7"/>
    <w:rsid w:val="54321BDA"/>
    <w:rsid w:val="543437E8"/>
    <w:rsid w:val="5436187F"/>
    <w:rsid w:val="54367EA6"/>
    <w:rsid w:val="54397925"/>
    <w:rsid w:val="543D4E68"/>
    <w:rsid w:val="543F7066"/>
    <w:rsid w:val="544669FD"/>
    <w:rsid w:val="54467DD5"/>
    <w:rsid w:val="544754E5"/>
    <w:rsid w:val="5448414B"/>
    <w:rsid w:val="544A5D7F"/>
    <w:rsid w:val="544A5F16"/>
    <w:rsid w:val="544D0ED2"/>
    <w:rsid w:val="54540909"/>
    <w:rsid w:val="545446F5"/>
    <w:rsid w:val="545F207B"/>
    <w:rsid w:val="54640282"/>
    <w:rsid w:val="54645031"/>
    <w:rsid w:val="54697D0B"/>
    <w:rsid w:val="546D2293"/>
    <w:rsid w:val="5472334E"/>
    <w:rsid w:val="54735771"/>
    <w:rsid w:val="54741390"/>
    <w:rsid w:val="547933C8"/>
    <w:rsid w:val="54795557"/>
    <w:rsid w:val="547B61ED"/>
    <w:rsid w:val="547F154C"/>
    <w:rsid w:val="547F3CBD"/>
    <w:rsid w:val="547F69AD"/>
    <w:rsid w:val="54816B16"/>
    <w:rsid w:val="54841AB9"/>
    <w:rsid w:val="54865AE3"/>
    <w:rsid w:val="548E1454"/>
    <w:rsid w:val="54913094"/>
    <w:rsid w:val="54915817"/>
    <w:rsid w:val="5495703C"/>
    <w:rsid w:val="549877F2"/>
    <w:rsid w:val="54994D7E"/>
    <w:rsid w:val="549E4143"/>
    <w:rsid w:val="54A37699"/>
    <w:rsid w:val="54A80D6E"/>
    <w:rsid w:val="54A9457C"/>
    <w:rsid w:val="54AC2EAE"/>
    <w:rsid w:val="54B24092"/>
    <w:rsid w:val="54B50EE8"/>
    <w:rsid w:val="54B81538"/>
    <w:rsid w:val="54B85C39"/>
    <w:rsid w:val="54BC4864"/>
    <w:rsid w:val="54BE52AB"/>
    <w:rsid w:val="54C91AAA"/>
    <w:rsid w:val="54CE71A5"/>
    <w:rsid w:val="54CF0197"/>
    <w:rsid w:val="54D720E4"/>
    <w:rsid w:val="54D77047"/>
    <w:rsid w:val="54DA697C"/>
    <w:rsid w:val="54E51602"/>
    <w:rsid w:val="54E644F5"/>
    <w:rsid w:val="54E762B6"/>
    <w:rsid w:val="54EB5A5F"/>
    <w:rsid w:val="54EC65BD"/>
    <w:rsid w:val="54ED547D"/>
    <w:rsid w:val="54F105A7"/>
    <w:rsid w:val="54F41181"/>
    <w:rsid w:val="54F55D2D"/>
    <w:rsid w:val="54F73313"/>
    <w:rsid w:val="54F80955"/>
    <w:rsid w:val="54FA5FC7"/>
    <w:rsid w:val="54FD7CE4"/>
    <w:rsid w:val="55014BD2"/>
    <w:rsid w:val="55051D73"/>
    <w:rsid w:val="550A5C7C"/>
    <w:rsid w:val="551162CB"/>
    <w:rsid w:val="551438F0"/>
    <w:rsid w:val="55170C0C"/>
    <w:rsid w:val="55185D30"/>
    <w:rsid w:val="55195537"/>
    <w:rsid w:val="551C775D"/>
    <w:rsid w:val="551D7E6A"/>
    <w:rsid w:val="5522575F"/>
    <w:rsid w:val="55227E41"/>
    <w:rsid w:val="5526250E"/>
    <w:rsid w:val="552E69F5"/>
    <w:rsid w:val="55301478"/>
    <w:rsid w:val="553944F2"/>
    <w:rsid w:val="55404195"/>
    <w:rsid w:val="5545059E"/>
    <w:rsid w:val="55473FE1"/>
    <w:rsid w:val="554D679D"/>
    <w:rsid w:val="555076EA"/>
    <w:rsid w:val="555170A7"/>
    <w:rsid w:val="55582504"/>
    <w:rsid w:val="555E1B24"/>
    <w:rsid w:val="5560515D"/>
    <w:rsid w:val="55611AFF"/>
    <w:rsid w:val="556F2D08"/>
    <w:rsid w:val="557652E9"/>
    <w:rsid w:val="55765B9D"/>
    <w:rsid w:val="557923A6"/>
    <w:rsid w:val="557A6A9C"/>
    <w:rsid w:val="557B3326"/>
    <w:rsid w:val="557C2B5D"/>
    <w:rsid w:val="557D644E"/>
    <w:rsid w:val="55870235"/>
    <w:rsid w:val="558704E6"/>
    <w:rsid w:val="5587536D"/>
    <w:rsid w:val="558F48DE"/>
    <w:rsid w:val="5595220B"/>
    <w:rsid w:val="559A4B07"/>
    <w:rsid w:val="559B174B"/>
    <w:rsid w:val="559E48FE"/>
    <w:rsid w:val="559F4616"/>
    <w:rsid w:val="55A53678"/>
    <w:rsid w:val="55AB468D"/>
    <w:rsid w:val="55B41769"/>
    <w:rsid w:val="55C902CA"/>
    <w:rsid w:val="55CA2BB6"/>
    <w:rsid w:val="55CE0CF4"/>
    <w:rsid w:val="55D64525"/>
    <w:rsid w:val="55D65DA2"/>
    <w:rsid w:val="55D701E3"/>
    <w:rsid w:val="55D87B28"/>
    <w:rsid w:val="55E76964"/>
    <w:rsid w:val="55EB0D1D"/>
    <w:rsid w:val="55EE3A17"/>
    <w:rsid w:val="55F01DFF"/>
    <w:rsid w:val="55F52488"/>
    <w:rsid w:val="55FE7136"/>
    <w:rsid w:val="56035AAB"/>
    <w:rsid w:val="560B6B3E"/>
    <w:rsid w:val="56127AD6"/>
    <w:rsid w:val="56196032"/>
    <w:rsid w:val="561A3CEB"/>
    <w:rsid w:val="561B78F2"/>
    <w:rsid w:val="56213F76"/>
    <w:rsid w:val="56235CF2"/>
    <w:rsid w:val="562C5A33"/>
    <w:rsid w:val="562F6E1A"/>
    <w:rsid w:val="56301C52"/>
    <w:rsid w:val="56303848"/>
    <w:rsid w:val="56313417"/>
    <w:rsid w:val="563235BE"/>
    <w:rsid w:val="5637484F"/>
    <w:rsid w:val="56377F3C"/>
    <w:rsid w:val="563B1485"/>
    <w:rsid w:val="563E326B"/>
    <w:rsid w:val="563F302A"/>
    <w:rsid w:val="56405D0B"/>
    <w:rsid w:val="56441488"/>
    <w:rsid w:val="56455C13"/>
    <w:rsid w:val="5655120F"/>
    <w:rsid w:val="565C5EA3"/>
    <w:rsid w:val="56602C14"/>
    <w:rsid w:val="5665073C"/>
    <w:rsid w:val="56672B12"/>
    <w:rsid w:val="566964A9"/>
    <w:rsid w:val="567173BB"/>
    <w:rsid w:val="567431FA"/>
    <w:rsid w:val="56743367"/>
    <w:rsid w:val="567627B6"/>
    <w:rsid w:val="56785089"/>
    <w:rsid w:val="56854998"/>
    <w:rsid w:val="568629D9"/>
    <w:rsid w:val="568C0F67"/>
    <w:rsid w:val="568D2030"/>
    <w:rsid w:val="568D44A9"/>
    <w:rsid w:val="568E6439"/>
    <w:rsid w:val="56923493"/>
    <w:rsid w:val="56996C42"/>
    <w:rsid w:val="569C25C6"/>
    <w:rsid w:val="569D0344"/>
    <w:rsid w:val="569F2107"/>
    <w:rsid w:val="56A13A3D"/>
    <w:rsid w:val="56A17838"/>
    <w:rsid w:val="56A63FEE"/>
    <w:rsid w:val="56A8723E"/>
    <w:rsid w:val="56AA2994"/>
    <w:rsid w:val="56AB7BE9"/>
    <w:rsid w:val="56B22A9C"/>
    <w:rsid w:val="56BD513F"/>
    <w:rsid w:val="56BE0DEA"/>
    <w:rsid w:val="56C124B0"/>
    <w:rsid w:val="56C22E09"/>
    <w:rsid w:val="56C33571"/>
    <w:rsid w:val="56C61406"/>
    <w:rsid w:val="56C64865"/>
    <w:rsid w:val="56CA0CA2"/>
    <w:rsid w:val="56D253FE"/>
    <w:rsid w:val="56D4713A"/>
    <w:rsid w:val="56D829C1"/>
    <w:rsid w:val="56DD05D4"/>
    <w:rsid w:val="56DF0373"/>
    <w:rsid w:val="56E17DEA"/>
    <w:rsid w:val="56E26BE2"/>
    <w:rsid w:val="56E27958"/>
    <w:rsid w:val="56FB1D20"/>
    <w:rsid w:val="56FD5E9D"/>
    <w:rsid w:val="56FE1FA1"/>
    <w:rsid w:val="5708227F"/>
    <w:rsid w:val="570E40E1"/>
    <w:rsid w:val="571674D0"/>
    <w:rsid w:val="571702AF"/>
    <w:rsid w:val="57176010"/>
    <w:rsid w:val="57195FDB"/>
    <w:rsid w:val="571C5F7A"/>
    <w:rsid w:val="57210F25"/>
    <w:rsid w:val="57250B4B"/>
    <w:rsid w:val="57256567"/>
    <w:rsid w:val="57263D4C"/>
    <w:rsid w:val="5728775A"/>
    <w:rsid w:val="57293973"/>
    <w:rsid w:val="572E6AA7"/>
    <w:rsid w:val="573101D5"/>
    <w:rsid w:val="57327A88"/>
    <w:rsid w:val="57334825"/>
    <w:rsid w:val="57342B6C"/>
    <w:rsid w:val="573D5524"/>
    <w:rsid w:val="57412C7C"/>
    <w:rsid w:val="5742124D"/>
    <w:rsid w:val="57441E9D"/>
    <w:rsid w:val="57460354"/>
    <w:rsid w:val="574A4090"/>
    <w:rsid w:val="574C4989"/>
    <w:rsid w:val="574E4C89"/>
    <w:rsid w:val="574F3E1A"/>
    <w:rsid w:val="57505B6F"/>
    <w:rsid w:val="575136EE"/>
    <w:rsid w:val="57521020"/>
    <w:rsid w:val="575A48A4"/>
    <w:rsid w:val="576377F2"/>
    <w:rsid w:val="576B029A"/>
    <w:rsid w:val="576D66C9"/>
    <w:rsid w:val="5773211C"/>
    <w:rsid w:val="57764869"/>
    <w:rsid w:val="57764A00"/>
    <w:rsid w:val="577C0C09"/>
    <w:rsid w:val="577F499D"/>
    <w:rsid w:val="57805257"/>
    <w:rsid w:val="57813C86"/>
    <w:rsid w:val="578406A3"/>
    <w:rsid w:val="579730CB"/>
    <w:rsid w:val="57983E27"/>
    <w:rsid w:val="57A471DA"/>
    <w:rsid w:val="57A634AD"/>
    <w:rsid w:val="57A6382B"/>
    <w:rsid w:val="57AE71BA"/>
    <w:rsid w:val="57B00080"/>
    <w:rsid w:val="57B1010C"/>
    <w:rsid w:val="57B72A76"/>
    <w:rsid w:val="57BB2040"/>
    <w:rsid w:val="57C27419"/>
    <w:rsid w:val="57C3426C"/>
    <w:rsid w:val="57C926DA"/>
    <w:rsid w:val="57CA16D3"/>
    <w:rsid w:val="57CA33F0"/>
    <w:rsid w:val="57CE1F93"/>
    <w:rsid w:val="57CE250B"/>
    <w:rsid w:val="57D17ECD"/>
    <w:rsid w:val="57D946F2"/>
    <w:rsid w:val="57DA1635"/>
    <w:rsid w:val="57DB688D"/>
    <w:rsid w:val="57DC0B62"/>
    <w:rsid w:val="57DD0791"/>
    <w:rsid w:val="57EA37ED"/>
    <w:rsid w:val="57EC7B92"/>
    <w:rsid w:val="57EE19F4"/>
    <w:rsid w:val="57F42AD2"/>
    <w:rsid w:val="57F80F06"/>
    <w:rsid w:val="57FA28F8"/>
    <w:rsid w:val="57FF463D"/>
    <w:rsid w:val="57FF4976"/>
    <w:rsid w:val="58020E42"/>
    <w:rsid w:val="58132A00"/>
    <w:rsid w:val="58194836"/>
    <w:rsid w:val="581978C0"/>
    <w:rsid w:val="581D04B1"/>
    <w:rsid w:val="581F55CF"/>
    <w:rsid w:val="5824364D"/>
    <w:rsid w:val="5827460F"/>
    <w:rsid w:val="582D27E4"/>
    <w:rsid w:val="582F7B9F"/>
    <w:rsid w:val="5835523D"/>
    <w:rsid w:val="583B5BE4"/>
    <w:rsid w:val="583C5D85"/>
    <w:rsid w:val="583E182B"/>
    <w:rsid w:val="584040AF"/>
    <w:rsid w:val="58473FD6"/>
    <w:rsid w:val="58481D0A"/>
    <w:rsid w:val="584B71DD"/>
    <w:rsid w:val="584C56D9"/>
    <w:rsid w:val="58512972"/>
    <w:rsid w:val="58523757"/>
    <w:rsid w:val="58592FFE"/>
    <w:rsid w:val="585A4825"/>
    <w:rsid w:val="586048F0"/>
    <w:rsid w:val="58632099"/>
    <w:rsid w:val="586334B4"/>
    <w:rsid w:val="5864245B"/>
    <w:rsid w:val="58656344"/>
    <w:rsid w:val="58667A1E"/>
    <w:rsid w:val="58680DD6"/>
    <w:rsid w:val="586D4BB3"/>
    <w:rsid w:val="586F049E"/>
    <w:rsid w:val="58725243"/>
    <w:rsid w:val="58765E6E"/>
    <w:rsid w:val="588234CD"/>
    <w:rsid w:val="58847993"/>
    <w:rsid w:val="588743D1"/>
    <w:rsid w:val="5887701A"/>
    <w:rsid w:val="588919AC"/>
    <w:rsid w:val="58892C4B"/>
    <w:rsid w:val="588A295E"/>
    <w:rsid w:val="58912438"/>
    <w:rsid w:val="589244E8"/>
    <w:rsid w:val="58927581"/>
    <w:rsid w:val="5894035F"/>
    <w:rsid w:val="589B257A"/>
    <w:rsid w:val="589C0ED5"/>
    <w:rsid w:val="58A53BD7"/>
    <w:rsid w:val="58AD5E19"/>
    <w:rsid w:val="58B4522B"/>
    <w:rsid w:val="58BA6412"/>
    <w:rsid w:val="58C21459"/>
    <w:rsid w:val="58C46213"/>
    <w:rsid w:val="58C82C7D"/>
    <w:rsid w:val="58CA0E96"/>
    <w:rsid w:val="58CB707B"/>
    <w:rsid w:val="58CC659C"/>
    <w:rsid w:val="58D36420"/>
    <w:rsid w:val="58D515C5"/>
    <w:rsid w:val="58DB2E7F"/>
    <w:rsid w:val="58DD3532"/>
    <w:rsid w:val="58EC758A"/>
    <w:rsid w:val="58EE5667"/>
    <w:rsid w:val="58F4743C"/>
    <w:rsid w:val="58F47765"/>
    <w:rsid w:val="58F92E7A"/>
    <w:rsid w:val="58FD59B1"/>
    <w:rsid w:val="59002C95"/>
    <w:rsid w:val="5904775A"/>
    <w:rsid w:val="59051AF1"/>
    <w:rsid w:val="590E2C86"/>
    <w:rsid w:val="59101E40"/>
    <w:rsid w:val="591075D9"/>
    <w:rsid w:val="591255E3"/>
    <w:rsid w:val="59132227"/>
    <w:rsid w:val="59156A63"/>
    <w:rsid w:val="59194DB3"/>
    <w:rsid w:val="59372DB8"/>
    <w:rsid w:val="59374B66"/>
    <w:rsid w:val="593754EA"/>
    <w:rsid w:val="5943175D"/>
    <w:rsid w:val="5944364E"/>
    <w:rsid w:val="594512A3"/>
    <w:rsid w:val="594730BB"/>
    <w:rsid w:val="59493A2B"/>
    <w:rsid w:val="594A5EFA"/>
    <w:rsid w:val="594F4306"/>
    <w:rsid w:val="595B0223"/>
    <w:rsid w:val="595E350A"/>
    <w:rsid w:val="595E3945"/>
    <w:rsid w:val="59683ED0"/>
    <w:rsid w:val="596E06BD"/>
    <w:rsid w:val="596F0FE1"/>
    <w:rsid w:val="5970160E"/>
    <w:rsid w:val="59776C57"/>
    <w:rsid w:val="59796F2C"/>
    <w:rsid w:val="597A3BB4"/>
    <w:rsid w:val="59802754"/>
    <w:rsid w:val="5980662B"/>
    <w:rsid w:val="59883CEE"/>
    <w:rsid w:val="598A2EE8"/>
    <w:rsid w:val="598B0876"/>
    <w:rsid w:val="598F37F6"/>
    <w:rsid w:val="59915F0C"/>
    <w:rsid w:val="599268CD"/>
    <w:rsid w:val="59926C60"/>
    <w:rsid w:val="59972730"/>
    <w:rsid w:val="599D3151"/>
    <w:rsid w:val="599F6A6C"/>
    <w:rsid w:val="59A0205B"/>
    <w:rsid w:val="59A655DB"/>
    <w:rsid w:val="59AA71BC"/>
    <w:rsid w:val="59AB2B24"/>
    <w:rsid w:val="59AF016D"/>
    <w:rsid w:val="59B13DE7"/>
    <w:rsid w:val="59B24C30"/>
    <w:rsid w:val="59B33A6A"/>
    <w:rsid w:val="59B53C83"/>
    <w:rsid w:val="59BC4E19"/>
    <w:rsid w:val="59BF5131"/>
    <w:rsid w:val="59C0439F"/>
    <w:rsid w:val="59C3260B"/>
    <w:rsid w:val="59CB2876"/>
    <w:rsid w:val="59CF7FFA"/>
    <w:rsid w:val="59D06B63"/>
    <w:rsid w:val="59D138D0"/>
    <w:rsid w:val="59D46E4D"/>
    <w:rsid w:val="59D70DF6"/>
    <w:rsid w:val="59D943F3"/>
    <w:rsid w:val="59DC43E2"/>
    <w:rsid w:val="59E01932"/>
    <w:rsid w:val="59E36ED5"/>
    <w:rsid w:val="59EB5A03"/>
    <w:rsid w:val="59F02A98"/>
    <w:rsid w:val="59F43943"/>
    <w:rsid w:val="59F43DAD"/>
    <w:rsid w:val="59F741B9"/>
    <w:rsid w:val="59FD3342"/>
    <w:rsid w:val="59FE5EAD"/>
    <w:rsid w:val="5A002D33"/>
    <w:rsid w:val="5A0228D6"/>
    <w:rsid w:val="5A031253"/>
    <w:rsid w:val="5A0A227A"/>
    <w:rsid w:val="5A0B768D"/>
    <w:rsid w:val="5A1035F7"/>
    <w:rsid w:val="5A106122"/>
    <w:rsid w:val="5A120F96"/>
    <w:rsid w:val="5A154B35"/>
    <w:rsid w:val="5A1C721B"/>
    <w:rsid w:val="5A20210E"/>
    <w:rsid w:val="5A227E3C"/>
    <w:rsid w:val="5A232DB6"/>
    <w:rsid w:val="5A250CD3"/>
    <w:rsid w:val="5A2A0FF2"/>
    <w:rsid w:val="5A344B88"/>
    <w:rsid w:val="5A3A4BFC"/>
    <w:rsid w:val="5A3F1CE6"/>
    <w:rsid w:val="5A413A7D"/>
    <w:rsid w:val="5A464C59"/>
    <w:rsid w:val="5A4C1844"/>
    <w:rsid w:val="5A4C271C"/>
    <w:rsid w:val="5A4D0E26"/>
    <w:rsid w:val="5A4E391C"/>
    <w:rsid w:val="5A523F67"/>
    <w:rsid w:val="5A5A3C99"/>
    <w:rsid w:val="5A62514A"/>
    <w:rsid w:val="5A66077E"/>
    <w:rsid w:val="5A68338C"/>
    <w:rsid w:val="5A6C1661"/>
    <w:rsid w:val="5A6C2C5F"/>
    <w:rsid w:val="5A6C37F8"/>
    <w:rsid w:val="5A6E1621"/>
    <w:rsid w:val="5A7E662A"/>
    <w:rsid w:val="5A824F61"/>
    <w:rsid w:val="5A8F414A"/>
    <w:rsid w:val="5A943EAC"/>
    <w:rsid w:val="5A97319F"/>
    <w:rsid w:val="5A9931A8"/>
    <w:rsid w:val="5A997FFD"/>
    <w:rsid w:val="5A9D33A2"/>
    <w:rsid w:val="5A9F45F1"/>
    <w:rsid w:val="5AA86FE3"/>
    <w:rsid w:val="5AAB441A"/>
    <w:rsid w:val="5AAC2F64"/>
    <w:rsid w:val="5AB45E21"/>
    <w:rsid w:val="5AB57ADB"/>
    <w:rsid w:val="5ABE2233"/>
    <w:rsid w:val="5ABE28B2"/>
    <w:rsid w:val="5AC02935"/>
    <w:rsid w:val="5AC71CC4"/>
    <w:rsid w:val="5ACC4AFB"/>
    <w:rsid w:val="5ACF104A"/>
    <w:rsid w:val="5AD20076"/>
    <w:rsid w:val="5AD958C4"/>
    <w:rsid w:val="5ADA1F2D"/>
    <w:rsid w:val="5ADC2FE2"/>
    <w:rsid w:val="5ADC5C1A"/>
    <w:rsid w:val="5AE66844"/>
    <w:rsid w:val="5AF014DE"/>
    <w:rsid w:val="5AFA22EF"/>
    <w:rsid w:val="5AFA571E"/>
    <w:rsid w:val="5AFB2AC3"/>
    <w:rsid w:val="5B014AC2"/>
    <w:rsid w:val="5B0952EE"/>
    <w:rsid w:val="5B0A1252"/>
    <w:rsid w:val="5B11379C"/>
    <w:rsid w:val="5B1342C9"/>
    <w:rsid w:val="5B15253F"/>
    <w:rsid w:val="5B1672C9"/>
    <w:rsid w:val="5B184C2F"/>
    <w:rsid w:val="5B1C2265"/>
    <w:rsid w:val="5B215A30"/>
    <w:rsid w:val="5B247238"/>
    <w:rsid w:val="5B24736C"/>
    <w:rsid w:val="5B3F056B"/>
    <w:rsid w:val="5B43273B"/>
    <w:rsid w:val="5B436494"/>
    <w:rsid w:val="5B4659C7"/>
    <w:rsid w:val="5B483E15"/>
    <w:rsid w:val="5B487CCC"/>
    <w:rsid w:val="5B491F57"/>
    <w:rsid w:val="5B4930DF"/>
    <w:rsid w:val="5B4C228D"/>
    <w:rsid w:val="5B513991"/>
    <w:rsid w:val="5B5223A2"/>
    <w:rsid w:val="5B55485C"/>
    <w:rsid w:val="5B580594"/>
    <w:rsid w:val="5B5C66B0"/>
    <w:rsid w:val="5B5C70B7"/>
    <w:rsid w:val="5B601692"/>
    <w:rsid w:val="5B652646"/>
    <w:rsid w:val="5B691D69"/>
    <w:rsid w:val="5B6A5BF7"/>
    <w:rsid w:val="5B6F2E7B"/>
    <w:rsid w:val="5B747107"/>
    <w:rsid w:val="5B7B0219"/>
    <w:rsid w:val="5B7C6694"/>
    <w:rsid w:val="5B7D607A"/>
    <w:rsid w:val="5B7E049F"/>
    <w:rsid w:val="5B817E36"/>
    <w:rsid w:val="5B8B3B5F"/>
    <w:rsid w:val="5B8B66D5"/>
    <w:rsid w:val="5B8C6DAF"/>
    <w:rsid w:val="5B9074C2"/>
    <w:rsid w:val="5B98787F"/>
    <w:rsid w:val="5B990DAB"/>
    <w:rsid w:val="5B992B08"/>
    <w:rsid w:val="5BA466F0"/>
    <w:rsid w:val="5BA67D81"/>
    <w:rsid w:val="5BB6535D"/>
    <w:rsid w:val="5BB76F0A"/>
    <w:rsid w:val="5BBE0842"/>
    <w:rsid w:val="5BC51FAE"/>
    <w:rsid w:val="5BC621D1"/>
    <w:rsid w:val="5BCE0283"/>
    <w:rsid w:val="5BCE7A03"/>
    <w:rsid w:val="5BD1291B"/>
    <w:rsid w:val="5BD57A5E"/>
    <w:rsid w:val="5BD74FE6"/>
    <w:rsid w:val="5BDF5D95"/>
    <w:rsid w:val="5BE106D2"/>
    <w:rsid w:val="5BE12500"/>
    <w:rsid w:val="5BE25087"/>
    <w:rsid w:val="5BF768E4"/>
    <w:rsid w:val="5BFE5E95"/>
    <w:rsid w:val="5BFE7528"/>
    <w:rsid w:val="5C0056E3"/>
    <w:rsid w:val="5C025183"/>
    <w:rsid w:val="5C0452BD"/>
    <w:rsid w:val="5C0E6052"/>
    <w:rsid w:val="5C1359A7"/>
    <w:rsid w:val="5C174D63"/>
    <w:rsid w:val="5C1C0C01"/>
    <w:rsid w:val="5C1E0615"/>
    <w:rsid w:val="5C215491"/>
    <w:rsid w:val="5C2652F5"/>
    <w:rsid w:val="5C2825D7"/>
    <w:rsid w:val="5C2A1CB0"/>
    <w:rsid w:val="5C2A71C8"/>
    <w:rsid w:val="5C304070"/>
    <w:rsid w:val="5C336E40"/>
    <w:rsid w:val="5C3633D5"/>
    <w:rsid w:val="5C3F5307"/>
    <w:rsid w:val="5C416902"/>
    <w:rsid w:val="5C4318FB"/>
    <w:rsid w:val="5C4B2C37"/>
    <w:rsid w:val="5C4C07C1"/>
    <w:rsid w:val="5C4C1F2A"/>
    <w:rsid w:val="5C525C25"/>
    <w:rsid w:val="5C5372B0"/>
    <w:rsid w:val="5C575841"/>
    <w:rsid w:val="5C6376F3"/>
    <w:rsid w:val="5C6475FD"/>
    <w:rsid w:val="5C692E7B"/>
    <w:rsid w:val="5C6B0B9F"/>
    <w:rsid w:val="5C6D273E"/>
    <w:rsid w:val="5C6F5C5F"/>
    <w:rsid w:val="5C6F6C51"/>
    <w:rsid w:val="5C754419"/>
    <w:rsid w:val="5C77094F"/>
    <w:rsid w:val="5C7B26BD"/>
    <w:rsid w:val="5C81140E"/>
    <w:rsid w:val="5C82129A"/>
    <w:rsid w:val="5C86672A"/>
    <w:rsid w:val="5C8A1451"/>
    <w:rsid w:val="5C90777E"/>
    <w:rsid w:val="5C961BA3"/>
    <w:rsid w:val="5C9A13DB"/>
    <w:rsid w:val="5CA006E4"/>
    <w:rsid w:val="5CAA2883"/>
    <w:rsid w:val="5CAB249C"/>
    <w:rsid w:val="5CAB60F4"/>
    <w:rsid w:val="5CB3602E"/>
    <w:rsid w:val="5CB846DA"/>
    <w:rsid w:val="5CC170D3"/>
    <w:rsid w:val="5CC510E3"/>
    <w:rsid w:val="5CCA2E88"/>
    <w:rsid w:val="5CCB3CAF"/>
    <w:rsid w:val="5CCE6B90"/>
    <w:rsid w:val="5CD33B36"/>
    <w:rsid w:val="5CD67D5B"/>
    <w:rsid w:val="5CD836C0"/>
    <w:rsid w:val="5CDE00F9"/>
    <w:rsid w:val="5CDF51BF"/>
    <w:rsid w:val="5CE06428"/>
    <w:rsid w:val="5CE47D66"/>
    <w:rsid w:val="5CEB0D51"/>
    <w:rsid w:val="5CEF6E08"/>
    <w:rsid w:val="5CF3173B"/>
    <w:rsid w:val="5CF721CC"/>
    <w:rsid w:val="5CF934ED"/>
    <w:rsid w:val="5CFB705F"/>
    <w:rsid w:val="5D0107C7"/>
    <w:rsid w:val="5D015C98"/>
    <w:rsid w:val="5D02548B"/>
    <w:rsid w:val="5D056E4B"/>
    <w:rsid w:val="5D071674"/>
    <w:rsid w:val="5D081668"/>
    <w:rsid w:val="5D0823A0"/>
    <w:rsid w:val="5D13360D"/>
    <w:rsid w:val="5D141171"/>
    <w:rsid w:val="5D187E77"/>
    <w:rsid w:val="5D1914A8"/>
    <w:rsid w:val="5D297484"/>
    <w:rsid w:val="5D2D08EC"/>
    <w:rsid w:val="5D2D2213"/>
    <w:rsid w:val="5D2E60F1"/>
    <w:rsid w:val="5D30308C"/>
    <w:rsid w:val="5D3700CC"/>
    <w:rsid w:val="5D3A780F"/>
    <w:rsid w:val="5D3F5111"/>
    <w:rsid w:val="5D40057A"/>
    <w:rsid w:val="5D4036EE"/>
    <w:rsid w:val="5D444D5E"/>
    <w:rsid w:val="5D483969"/>
    <w:rsid w:val="5D4E77DC"/>
    <w:rsid w:val="5D536CDE"/>
    <w:rsid w:val="5D580F91"/>
    <w:rsid w:val="5D583AD8"/>
    <w:rsid w:val="5D5F4C02"/>
    <w:rsid w:val="5D680A7D"/>
    <w:rsid w:val="5D6C5EAB"/>
    <w:rsid w:val="5D7E2060"/>
    <w:rsid w:val="5D7E2788"/>
    <w:rsid w:val="5D845FAC"/>
    <w:rsid w:val="5D856D46"/>
    <w:rsid w:val="5D895C88"/>
    <w:rsid w:val="5D9044AD"/>
    <w:rsid w:val="5D9A77CD"/>
    <w:rsid w:val="5D9E6370"/>
    <w:rsid w:val="5DA36667"/>
    <w:rsid w:val="5DA84AAB"/>
    <w:rsid w:val="5DAA5D87"/>
    <w:rsid w:val="5DAC3980"/>
    <w:rsid w:val="5DB117E6"/>
    <w:rsid w:val="5DBA4F6E"/>
    <w:rsid w:val="5DBC61BF"/>
    <w:rsid w:val="5DBE5BA0"/>
    <w:rsid w:val="5DC00614"/>
    <w:rsid w:val="5DCD14F0"/>
    <w:rsid w:val="5DD04152"/>
    <w:rsid w:val="5DD67F36"/>
    <w:rsid w:val="5DD72186"/>
    <w:rsid w:val="5DD93266"/>
    <w:rsid w:val="5DE66B5A"/>
    <w:rsid w:val="5DE67DA9"/>
    <w:rsid w:val="5DE942B2"/>
    <w:rsid w:val="5DF96AFE"/>
    <w:rsid w:val="5DFF3E94"/>
    <w:rsid w:val="5E0059F8"/>
    <w:rsid w:val="5E077567"/>
    <w:rsid w:val="5E10499C"/>
    <w:rsid w:val="5E1100D9"/>
    <w:rsid w:val="5E136A72"/>
    <w:rsid w:val="5E185240"/>
    <w:rsid w:val="5E193D09"/>
    <w:rsid w:val="5E1E3D82"/>
    <w:rsid w:val="5E2217DA"/>
    <w:rsid w:val="5E2467F1"/>
    <w:rsid w:val="5E273D40"/>
    <w:rsid w:val="5E2D659B"/>
    <w:rsid w:val="5E3609F0"/>
    <w:rsid w:val="5E370C99"/>
    <w:rsid w:val="5E383829"/>
    <w:rsid w:val="5E427570"/>
    <w:rsid w:val="5E4460C5"/>
    <w:rsid w:val="5E484322"/>
    <w:rsid w:val="5E4A7E6C"/>
    <w:rsid w:val="5E503BBD"/>
    <w:rsid w:val="5E512226"/>
    <w:rsid w:val="5E5503B8"/>
    <w:rsid w:val="5E562455"/>
    <w:rsid w:val="5E5B7FD7"/>
    <w:rsid w:val="5E620763"/>
    <w:rsid w:val="5E65538B"/>
    <w:rsid w:val="5E6829AE"/>
    <w:rsid w:val="5E6A1B8A"/>
    <w:rsid w:val="5E6F4DA2"/>
    <w:rsid w:val="5E734626"/>
    <w:rsid w:val="5E754CE8"/>
    <w:rsid w:val="5E780356"/>
    <w:rsid w:val="5E8259E8"/>
    <w:rsid w:val="5E826883"/>
    <w:rsid w:val="5E8C10D0"/>
    <w:rsid w:val="5E9B2A8C"/>
    <w:rsid w:val="5E9D190F"/>
    <w:rsid w:val="5E9E25E8"/>
    <w:rsid w:val="5EA178E6"/>
    <w:rsid w:val="5EA549C5"/>
    <w:rsid w:val="5EA720D3"/>
    <w:rsid w:val="5EAB3F5B"/>
    <w:rsid w:val="5EAC1B52"/>
    <w:rsid w:val="5EB01642"/>
    <w:rsid w:val="5EB34F14"/>
    <w:rsid w:val="5EB66937"/>
    <w:rsid w:val="5EB86334"/>
    <w:rsid w:val="5EBA354D"/>
    <w:rsid w:val="5ECB0CE9"/>
    <w:rsid w:val="5ECE3876"/>
    <w:rsid w:val="5EE2501D"/>
    <w:rsid w:val="5EE70FEF"/>
    <w:rsid w:val="5EE72758"/>
    <w:rsid w:val="5EE75843"/>
    <w:rsid w:val="5EEA7191"/>
    <w:rsid w:val="5EF507BD"/>
    <w:rsid w:val="5EF84A67"/>
    <w:rsid w:val="5EFB71CC"/>
    <w:rsid w:val="5EFC5CCE"/>
    <w:rsid w:val="5F05090D"/>
    <w:rsid w:val="5F0A1402"/>
    <w:rsid w:val="5F1140B0"/>
    <w:rsid w:val="5F146A90"/>
    <w:rsid w:val="5F176AEE"/>
    <w:rsid w:val="5F1A2B43"/>
    <w:rsid w:val="5F2009DE"/>
    <w:rsid w:val="5F202164"/>
    <w:rsid w:val="5F263465"/>
    <w:rsid w:val="5F296CFF"/>
    <w:rsid w:val="5F2B3554"/>
    <w:rsid w:val="5F303500"/>
    <w:rsid w:val="5F367D2E"/>
    <w:rsid w:val="5F437C5A"/>
    <w:rsid w:val="5F4A33E1"/>
    <w:rsid w:val="5F505147"/>
    <w:rsid w:val="5F545CA3"/>
    <w:rsid w:val="5F557AF4"/>
    <w:rsid w:val="5F5A1AA7"/>
    <w:rsid w:val="5F5D4949"/>
    <w:rsid w:val="5F681A34"/>
    <w:rsid w:val="5F6A1DF3"/>
    <w:rsid w:val="5F6E00D1"/>
    <w:rsid w:val="5F6F3F55"/>
    <w:rsid w:val="5F731642"/>
    <w:rsid w:val="5F7717D3"/>
    <w:rsid w:val="5F7C1F08"/>
    <w:rsid w:val="5F7D2B94"/>
    <w:rsid w:val="5F7D4176"/>
    <w:rsid w:val="5F7E529D"/>
    <w:rsid w:val="5F8A03AC"/>
    <w:rsid w:val="5F8C21D5"/>
    <w:rsid w:val="5F900A1E"/>
    <w:rsid w:val="5F990172"/>
    <w:rsid w:val="5F9A6C30"/>
    <w:rsid w:val="5FA17C32"/>
    <w:rsid w:val="5FAF4BC3"/>
    <w:rsid w:val="5FB837BB"/>
    <w:rsid w:val="5FB964C9"/>
    <w:rsid w:val="5FBC6DF6"/>
    <w:rsid w:val="5FBF131C"/>
    <w:rsid w:val="5FC058B5"/>
    <w:rsid w:val="5FC60A12"/>
    <w:rsid w:val="5FCF5AF8"/>
    <w:rsid w:val="5FD255E8"/>
    <w:rsid w:val="5FD8487C"/>
    <w:rsid w:val="5FDF26F0"/>
    <w:rsid w:val="5FE64BF0"/>
    <w:rsid w:val="5FE87A96"/>
    <w:rsid w:val="5FE93B43"/>
    <w:rsid w:val="5FEA5EC9"/>
    <w:rsid w:val="5FEB5E68"/>
    <w:rsid w:val="5FEC2DE5"/>
    <w:rsid w:val="5FED3F20"/>
    <w:rsid w:val="5FF05484"/>
    <w:rsid w:val="5FF41B2A"/>
    <w:rsid w:val="5FF845D5"/>
    <w:rsid w:val="60025ECE"/>
    <w:rsid w:val="60031A37"/>
    <w:rsid w:val="600471FE"/>
    <w:rsid w:val="60077357"/>
    <w:rsid w:val="601262CE"/>
    <w:rsid w:val="60143F9F"/>
    <w:rsid w:val="60150303"/>
    <w:rsid w:val="601856F1"/>
    <w:rsid w:val="601C7DEF"/>
    <w:rsid w:val="601D05BE"/>
    <w:rsid w:val="601F27EA"/>
    <w:rsid w:val="60211801"/>
    <w:rsid w:val="602539BE"/>
    <w:rsid w:val="602C2322"/>
    <w:rsid w:val="602F6BBF"/>
    <w:rsid w:val="6031428B"/>
    <w:rsid w:val="603B64FF"/>
    <w:rsid w:val="603C5102"/>
    <w:rsid w:val="603E4050"/>
    <w:rsid w:val="603F44D9"/>
    <w:rsid w:val="604052E7"/>
    <w:rsid w:val="60455753"/>
    <w:rsid w:val="604B15EA"/>
    <w:rsid w:val="604F6C39"/>
    <w:rsid w:val="6057789C"/>
    <w:rsid w:val="605955D5"/>
    <w:rsid w:val="605E50FF"/>
    <w:rsid w:val="605F7E99"/>
    <w:rsid w:val="60624596"/>
    <w:rsid w:val="606E2817"/>
    <w:rsid w:val="606E5EE1"/>
    <w:rsid w:val="6076066E"/>
    <w:rsid w:val="60765719"/>
    <w:rsid w:val="6078542D"/>
    <w:rsid w:val="607A0521"/>
    <w:rsid w:val="607E2E3B"/>
    <w:rsid w:val="608375E3"/>
    <w:rsid w:val="60894B47"/>
    <w:rsid w:val="608C4214"/>
    <w:rsid w:val="608D20F4"/>
    <w:rsid w:val="608F7035"/>
    <w:rsid w:val="6093020D"/>
    <w:rsid w:val="60965EEA"/>
    <w:rsid w:val="609D6BAA"/>
    <w:rsid w:val="60A06B19"/>
    <w:rsid w:val="60A502A2"/>
    <w:rsid w:val="60AB34A2"/>
    <w:rsid w:val="60AB7052"/>
    <w:rsid w:val="60AD640B"/>
    <w:rsid w:val="60B056B8"/>
    <w:rsid w:val="60BF3776"/>
    <w:rsid w:val="60C16521"/>
    <w:rsid w:val="60C41699"/>
    <w:rsid w:val="60C50080"/>
    <w:rsid w:val="60CA2279"/>
    <w:rsid w:val="60CC405A"/>
    <w:rsid w:val="60D1764E"/>
    <w:rsid w:val="60D5057C"/>
    <w:rsid w:val="60E342A1"/>
    <w:rsid w:val="60F23C69"/>
    <w:rsid w:val="60F4129E"/>
    <w:rsid w:val="60FD5078"/>
    <w:rsid w:val="610A00D9"/>
    <w:rsid w:val="61104968"/>
    <w:rsid w:val="61125E73"/>
    <w:rsid w:val="611447FE"/>
    <w:rsid w:val="611B2EF7"/>
    <w:rsid w:val="611B52C6"/>
    <w:rsid w:val="6120280E"/>
    <w:rsid w:val="6121784B"/>
    <w:rsid w:val="61241E74"/>
    <w:rsid w:val="61254203"/>
    <w:rsid w:val="61266A2B"/>
    <w:rsid w:val="6127128F"/>
    <w:rsid w:val="612956DC"/>
    <w:rsid w:val="6129748A"/>
    <w:rsid w:val="612A283D"/>
    <w:rsid w:val="612C5F0B"/>
    <w:rsid w:val="612E2CF2"/>
    <w:rsid w:val="61300387"/>
    <w:rsid w:val="613021D0"/>
    <w:rsid w:val="613D0827"/>
    <w:rsid w:val="613E24C6"/>
    <w:rsid w:val="613E6B83"/>
    <w:rsid w:val="6146003C"/>
    <w:rsid w:val="614638DD"/>
    <w:rsid w:val="614F59AC"/>
    <w:rsid w:val="615D19B1"/>
    <w:rsid w:val="615D524A"/>
    <w:rsid w:val="615E5FF0"/>
    <w:rsid w:val="61607851"/>
    <w:rsid w:val="61663131"/>
    <w:rsid w:val="61666EDC"/>
    <w:rsid w:val="61695FBC"/>
    <w:rsid w:val="616C4A77"/>
    <w:rsid w:val="6170549C"/>
    <w:rsid w:val="61752617"/>
    <w:rsid w:val="617B4212"/>
    <w:rsid w:val="617C3A5E"/>
    <w:rsid w:val="617D251D"/>
    <w:rsid w:val="61864038"/>
    <w:rsid w:val="61881750"/>
    <w:rsid w:val="618938D7"/>
    <w:rsid w:val="61932B55"/>
    <w:rsid w:val="61964706"/>
    <w:rsid w:val="61973C7F"/>
    <w:rsid w:val="61994676"/>
    <w:rsid w:val="61A01CC3"/>
    <w:rsid w:val="61A70640"/>
    <w:rsid w:val="61B46D40"/>
    <w:rsid w:val="61B46FAA"/>
    <w:rsid w:val="61B644FC"/>
    <w:rsid w:val="61B91D17"/>
    <w:rsid w:val="61C13105"/>
    <w:rsid w:val="61C67266"/>
    <w:rsid w:val="61CA04D4"/>
    <w:rsid w:val="61CB5D20"/>
    <w:rsid w:val="61CD0D50"/>
    <w:rsid w:val="61CE3507"/>
    <w:rsid w:val="61CE5398"/>
    <w:rsid w:val="61CF0829"/>
    <w:rsid w:val="61D5750C"/>
    <w:rsid w:val="61D75138"/>
    <w:rsid w:val="61D919F4"/>
    <w:rsid w:val="61DF5064"/>
    <w:rsid w:val="61E15F33"/>
    <w:rsid w:val="61E215D8"/>
    <w:rsid w:val="61E54F24"/>
    <w:rsid w:val="61EB0BE3"/>
    <w:rsid w:val="61F039E9"/>
    <w:rsid w:val="61F156B7"/>
    <w:rsid w:val="61F173FA"/>
    <w:rsid w:val="61F406A3"/>
    <w:rsid w:val="61F51F86"/>
    <w:rsid w:val="61F606F2"/>
    <w:rsid w:val="61F77DBE"/>
    <w:rsid w:val="61FC7609"/>
    <w:rsid w:val="62005C7D"/>
    <w:rsid w:val="62011935"/>
    <w:rsid w:val="620528C7"/>
    <w:rsid w:val="62074918"/>
    <w:rsid w:val="620E1EE3"/>
    <w:rsid w:val="62112F1B"/>
    <w:rsid w:val="62130658"/>
    <w:rsid w:val="62141E43"/>
    <w:rsid w:val="621534E7"/>
    <w:rsid w:val="62161F00"/>
    <w:rsid w:val="621A72D1"/>
    <w:rsid w:val="621B3775"/>
    <w:rsid w:val="6220088D"/>
    <w:rsid w:val="62217B46"/>
    <w:rsid w:val="622208E7"/>
    <w:rsid w:val="62274D59"/>
    <w:rsid w:val="622A2130"/>
    <w:rsid w:val="622C10B8"/>
    <w:rsid w:val="622E079E"/>
    <w:rsid w:val="623120E1"/>
    <w:rsid w:val="62364782"/>
    <w:rsid w:val="623F217D"/>
    <w:rsid w:val="62414943"/>
    <w:rsid w:val="62497244"/>
    <w:rsid w:val="624D6461"/>
    <w:rsid w:val="62596DD7"/>
    <w:rsid w:val="625A2390"/>
    <w:rsid w:val="625D7075"/>
    <w:rsid w:val="62634C22"/>
    <w:rsid w:val="6268271F"/>
    <w:rsid w:val="626D7B35"/>
    <w:rsid w:val="626D7C0B"/>
    <w:rsid w:val="626E766F"/>
    <w:rsid w:val="6271541F"/>
    <w:rsid w:val="62723ADF"/>
    <w:rsid w:val="627367B8"/>
    <w:rsid w:val="62745232"/>
    <w:rsid w:val="62772B04"/>
    <w:rsid w:val="62782955"/>
    <w:rsid w:val="6279204E"/>
    <w:rsid w:val="627A68BF"/>
    <w:rsid w:val="627F2C16"/>
    <w:rsid w:val="627F33D4"/>
    <w:rsid w:val="62826ED5"/>
    <w:rsid w:val="628F1EBD"/>
    <w:rsid w:val="62915393"/>
    <w:rsid w:val="62A00C11"/>
    <w:rsid w:val="62A1489C"/>
    <w:rsid w:val="62AA45FB"/>
    <w:rsid w:val="62AC142F"/>
    <w:rsid w:val="62AC75F7"/>
    <w:rsid w:val="62AE7EC3"/>
    <w:rsid w:val="62B049F1"/>
    <w:rsid w:val="62B54DAC"/>
    <w:rsid w:val="62B70B1D"/>
    <w:rsid w:val="62B87945"/>
    <w:rsid w:val="62BC12F3"/>
    <w:rsid w:val="62BD035F"/>
    <w:rsid w:val="62CF3178"/>
    <w:rsid w:val="62D3026A"/>
    <w:rsid w:val="62D61F3E"/>
    <w:rsid w:val="62D95C02"/>
    <w:rsid w:val="62E26BD5"/>
    <w:rsid w:val="62E32773"/>
    <w:rsid w:val="62E461A2"/>
    <w:rsid w:val="62E845DE"/>
    <w:rsid w:val="62ED570E"/>
    <w:rsid w:val="62F0419A"/>
    <w:rsid w:val="62F779CE"/>
    <w:rsid w:val="630423B9"/>
    <w:rsid w:val="630D0D3B"/>
    <w:rsid w:val="630D5419"/>
    <w:rsid w:val="63104FD9"/>
    <w:rsid w:val="6311135E"/>
    <w:rsid w:val="6313060F"/>
    <w:rsid w:val="631448DA"/>
    <w:rsid w:val="63171166"/>
    <w:rsid w:val="63182FBF"/>
    <w:rsid w:val="63186964"/>
    <w:rsid w:val="631D78A2"/>
    <w:rsid w:val="631E4A40"/>
    <w:rsid w:val="632135FE"/>
    <w:rsid w:val="632223E3"/>
    <w:rsid w:val="63224BCE"/>
    <w:rsid w:val="63252140"/>
    <w:rsid w:val="632F219A"/>
    <w:rsid w:val="633457FC"/>
    <w:rsid w:val="63346D0C"/>
    <w:rsid w:val="633B2C2F"/>
    <w:rsid w:val="63404387"/>
    <w:rsid w:val="63495C85"/>
    <w:rsid w:val="63536D4E"/>
    <w:rsid w:val="6356673F"/>
    <w:rsid w:val="635B7642"/>
    <w:rsid w:val="635C2D67"/>
    <w:rsid w:val="63664114"/>
    <w:rsid w:val="63690012"/>
    <w:rsid w:val="63691349"/>
    <w:rsid w:val="636D0055"/>
    <w:rsid w:val="636D4018"/>
    <w:rsid w:val="63732569"/>
    <w:rsid w:val="63793211"/>
    <w:rsid w:val="637A3FCD"/>
    <w:rsid w:val="637D42A9"/>
    <w:rsid w:val="63884B03"/>
    <w:rsid w:val="638A40CA"/>
    <w:rsid w:val="638A6E63"/>
    <w:rsid w:val="638E1F59"/>
    <w:rsid w:val="638E585D"/>
    <w:rsid w:val="63931953"/>
    <w:rsid w:val="63937962"/>
    <w:rsid w:val="6394356A"/>
    <w:rsid w:val="639442D5"/>
    <w:rsid w:val="6398060C"/>
    <w:rsid w:val="639A17D5"/>
    <w:rsid w:val="639E27DA"/>
    <w:rsid w:val="63AC1B64"/>
    <w:rsid w:val="63AE176B"/>
    <w:rsid w:val="63AE7238"/>
    <w:rsid w:val="63B07155"/>
    <w:rsid w:val="63BD5C8A"/>
    <w:rsid w:val="63C0216B"/>
    <w:rsid w:val="63C61B2C"/>
    <w:rsid w:val="63D40BE9"/>
    <w:rsid w:val="63D92F85"/>
    <w:rsid w:val="63DC308A"/>
    <w:rsid w:val="63DF0435"/>
    <w:rsid w:val="63E35DE8"/>
    <w:rsid w:val="63E6701B"/>
    <w:rsid w:val="63ED767A"/>
    <w:rsid w:val="63F70BF1"/>
    <w:rsid w:val="63FE485F"/>
    <w:rsid w:val="63FF691D"/>
    <w:rsid w:val="64052FDF"/>
    <w:rsid w:val="64063C18"/>
    <w:rsid w:val="64095B60"/>
    <w:rsid w:val="640E764B"/>
    <w:rsid w:val="64102431"/>
    <w:rsid w:val="641250FD"/>
    <w:rsid w:val="64126D36"/>
    <w:rsid w:val="641649D9"/>
    <w:rsid w:val="641D56B9"/>
    <w:rsid w:val="641E52F5"/>
    <w:rsid w:val="641F52B0"/>
    <w:rsid w:val="642006C8"/>
    <w:rsid w:val="64224F24"/>
    <w:rsid w:val="64260594"/>
    <w:rsid w:val="6428110A"/>
    <w:rsid w:val="64291282"/>
    <w:rsid w:val="642A6D8A"/>
    <w:rsid w:val="642A73AB"/>
    <w:rsid w:val="642F256A"/>
    <w:rsid w:val="643259E2"/>
    <w:rsid w:val="643651D9"/>
    <w:rsid w:val="64405857"/>
    <w:rsid w:val="64480E21"/>
    <w:rsid w:val="64495385"/>
    <w:rsid w:val="645A6D51"/>
    <w:rsid w:val="64650059"/>
    <w:rsid w:val="646934F0"/>
    <w:rsid w:val="646E3CD1"/>
    <w:rsid w:val="6473643E"/>
    <w:rsid w:val="64744EC0"/>
    <w:rsid w:val="64745C70"/>
    <w:rsid w:val="64777BF2"/>
    <w:rsid w:val="647942F9"/>
    <w:rsid w:val="647C7B30"/>
    <w:rsid w:val="647E081D"/>
    <w:rsid w:val="64825C48"/>
    <w:rsid w:val="64884E9A"/>
    <w:rsid w:val="64892023"/>
    <w:rsid w:val="6489612D"/>
    <w:rsid w:val="64906759"/>
    <w:rsid w:val="64911D88"/>
    <w:rsid w:val="64923DD6"/>
    <w:rsid w:val="649317EA"/>
    <w:rsid w:val="649D0C2F"/>
    <w:rsid w:val="649F69D2"/>
    <w:rsid w:val="64A03D9E"/>
    <w:rsid w:val="64A12D7F"/>
    <w:rsid w:val="64A5243A"/>
    <w:rsid w:val="64A538AF"/>
    <w:rsid w:val="64AC19CE"/>
    <w:rsid w:val="64AC4F46"/>
    <w:rsid w:val="64B24D21"/>
    <w:rsid w:val="64B32A88"/>
    <w:rsid w:val="64B60388"/>
    <w:rsid w:val="64C17A46"/>
    <w:rsid w:val="64C24BE7"/>
    <w:rsid w:val="64C75FEF"/>
    <w:rsid w:val="64C94EC5"/>
    <w:rsid w:val="64CD357D"/>
    <w:rsid w:val="64D911C7"/>
    <w:rsid w:val="64DA0DFC"/>
    <w:rsid w:val="64DC0849"/>
    <w:rsid w:val="64DD1873"/>
    <w:rsid w:val="64E1679C"/>
    <w:rsid w:val="64E339D3"/>
    <w:rsid w:val="64E40ABC"/>
    <w:rsid w:val="64E94CA1"/>
    <w:rsid w:val="64EB2547"/>
    <w:rsid w:val="64F34037"/>
    <w:rsid w:val="64F531DE"/>
    <w:rsid w:val="64F73553"/>
    <w:rsid w:val="64F9429C"/>
    <w:rsid w:val="64FA4EBC"/>
    <w:rsid w:val="650C22A7"/>
    <w:rsid w:val="650C3A16"/>
    <w:rsid w:val="6516191D"/>
    <w:rsid w:val="65172D10"/>
    <w:rsid w:val="65183B18"/>
    <w:rsid w:val="651D6666"/>
    <w:rsid w:val="65316B4E"/>
    <w:rsid w:val="65366283"/>
    <w:rsid w:val="65373578"/>
    <w:rsid w:val="65381C0D"/>
    <w:rsid w:val="65382034"/>
    <w:rsid w:val="65382D6E"/>
    <w:rsid w:val="65396733"/>
    <w:rsid w:val="65491B84"/>
    <w:rsid w:val="65496571"/>
    <w:rsid w:val="65516FAF"/>
    <w:rsid w:val="65612989"/>
    <w:rsid w:val="656147AA"/>
    <w:rsid w:val="656236AE"/>
    <w:rsid w:val="656342BD"/>
    <w:rsid w:val="6573174F"/>
    <w:rsid w:val="657421EF"/>
    <w:rsid w:val="657643F5"/>
    <w:rsid w:val="657874A5"/>
    <w:rsid w:val="65787D56"/>
    <w:rsid w:val="657C2032"/>
    <w:rsid w:val="657D4903"/>
    <w:rsid w:val="65835215"/>
    <w:rsid w:val="6583674F"/>
    <w:rsid w:val="6588385C"/>
    <w:rsid w:val="65895552"/>
    <w:rsid w:val="658B6791"/>
    <w:rsid w:val="65933EFA"/>
    <w:rsid w:val="659E122A"/>
    <w:rsid w:val="659F422A"/>
    <w:rsid w:val="65A11C77"/>
    <w:rsid w:val="65A64F80"/>
    <w:rsid w:val="65A739F2"/>
    <w:rsid w:val="65B234F7"/>
    <w:rsid w:val="65B36835"/>
    <w:rsid w:val="65B57FB4"/>
    <w:rsid w:val="65BA00B2"/>
    <w:rsid w:val="65C00D56"/>
    <w:rsid w:val="65C10014"/>
    <w:rsid w:val="65C438BA"/>
    <w:rsid w:val="65C67185"/>
    <w:rsid w:val="65CB765F"/>
    <w:rsid w:val="65D21D70"/>
    <w:rsid w:val="65D335CC"/>
    <w:rsid w:val="65D45294"/>
    <w:rsid w:val="65D71677"/>
    <w:rsid w:val="65DE7EF3"/>
    <w:rsid w:val="65F22540"/>
    <w:rsid w:val="65F6064E"/>
    <w:rsid w:val="65FB1716"/>
    <w:rsid w:val="65FC3145"/>
    <w:rsid w:val="65FD0DB9"/>
    <w:rsid w:val="65FE0571"/>
    <w:rsid w:val="65FF042C"/>
    <w:rsid w:val="6601303D"/>
    <w:rsid w:val="6606565F"/>
    <w:rsid w:val="66092FFA"/>
    <w:rsid w:val="660E4AD2"/>
    <w:rsid w:val="660F7DE3"/>
    <w:rsid w:val="6613042B"/>
    <w:rsid w:val="66152DBF"/>
    <w:rsid w:val="6615782E"/>
    <w:rsid w:val="661968D7"/>
    <w:rsid w:val="66207BF6"/>
    <w:rsid w:val="66226D54"/>
    <w:rsid w:val="66250E86"/>
    <w:rsid w:val="6628274C"/>
    <w:rsid w:val="66354BFB"/>
    <w:rsid w:val="66357FD5"/>
    <w:rsid w:val="66372649"/>
    <w:rsid w:val="66386D38"/>
    <w:rsid w:val="663B5F74"/>
    <w:rsid w:val="66483EFC"/>
    <w:rsid w:val="6650370B"/>
    <w:rsid w:val="66507BD9"/>
    <w:rsid w:val="66540E53"/>
    <w:rsid w:val="66545AF2"/>
    <w:rsid w:val="66575A45"/>
    <w:rsid w:val="665C4848"/>
    <w:rsid w:val="665E66D2"/>
    <w:rsid w:val="666337A8"/>
    <w:rsid w:val="666429C0"/>
    <w:rsid w:val="66667D15"/>
    <w:rsid w:val="666B4423"/>
    <w:rsid w:val="666C6DE0"/>
    <w:rsid w:val="666D1E22"/>
    <w:rsid w:val="66731C80"/>
    <w:rsid w:val="667A4455"/>
    <w:rsid w:val="66805D9E"/>
    <w:rsid w:val="6682435E"/>
    <w:rsid w:val="668246C4"/>
    <w:rsid w:val="6685501D"/>
    <w:rsid w:val="66910267"/>
    <w:rsid w:val="66935B55"/>
    <w:rsid w:val="669360F2"/>
    <w:rsid w:val="66982C0E"/>
    <w:rsid w:val="669866AB"/>
    <w:rsid w:val="66992BCB"/>
    <w:rsid w:val="669B6734"/>
    <w:rsid w:val="669C022F"/>
    <w:rsid w:val="669E3F34"/>
    <w:rsid w:val="669E4476"/>
    <w:rsid w:val="66AB2385"/>
    <w:rsid w:val="66AD781D"/>
    <w:rsid w:val="66B17D41"/>
    <w:rsid w:val="66B419D0"/>
    <w:rsid w:val="66BB285B"/>
    <w:rsid w:val="66CC1E98"/>
    <w:rsid w:val="66D205F4"/>
    <w:rsid w:val="66DB0F05"/>
    <w:rsid w:val="66E257E5"/>
    <w:rsid w:val="66E3233B"/>
    <w:rsid w:val="66E37F35"/>
    <w:rsid w:val="66EA07C5"/>
    <w:rsid w:val="66EA1965"/>
    <w:rsid w:val="66EC2894"/>
    <w:rsid w:val="66EE0E18"/>
    <w:rsid w:val="66EE624B"/>
    <w:rsid w:val="66F02012"/>
    <w:rsid w:val="66F3389B"/>
    <w:rsid w:val="66F916AD"/>
    <w:rsid w:val="66FA2E8C"/>
    <w:rsid w:val="66FC4ED3"/>
    <w:rsid w:val="67000CC4"/>
    <w:rsid w:val="670921D6"/>
    <w:rsid w:val="67183AA8"/>
    <w:rsid w:val="671956AB"/>
    <w:rsid w:val="671F124A"/>
    <w:rsid w:val="672056DD"/>
    <w:rsid w:val="672F4561"/>
    <w:rsid w:val="67344F6D"/>
    <w:rsid w:val="6736645D"/>
    <w:rsid w:val="673B3590"/>
    <w:rsid w:val="67423054"/>
    <w:rsid w:val="6747410F"/>
    <w:rsid w:val="67517FE2"/>
    <w:rsid w:val="675328A7"/>
    <w:rsid w:val="675A49FC"/>
    <w:rsid w:val="675D398A"/>
    <w:rsid w:val="675E5E59"/>
    <w:rsid w:val="67627219"/>
    <w:rsid w:val="67627598"/>
    <w:rsid w:val="676319F9"/>
    <w:rsid w:val="6765558E"/>
    <w:rsid w:val="67662879"/>
    <w:rsid w:val="676D2607"/>
    <w:rsid w:val="676D505A"/>
    <w:rsid w:val="677456EB"/>
    <w:rsid w:val="67775565"/>
    <w:rsid w:val="677A33C6"/>
    <w:rsid w:val="677C1EC2"/>
    <w:rsid w:val="677F3E08"/>
    <w:rsid w:val="678741FE"/>
    <w:rsid w:val="67891163"/>
    <w:rsid w:val="678A7E76"/>
    <w:rsid w:val="678E6859"/>
    <w:rsid w:val="679006CE"/>
    <w:rsid w:val="67913A70"/>
    <w:rsid w:val="67920F63"/>
    <w:rsid w:val="67981588"/>
    <w:rsid w:val="679B03F3"/>
    <w:rsid w:val="679B7CAD"/>
    <w:rsid w:val="679D64DC"/>
    <w:rsid w:val="67A17EBF"/>
    <w:rsid w:val="67A94BFF"/>
    <w:rsid w:val="67AA0F73"/>
    <w:rsid w:val="67B2516C"/>
    <w:rsid w:val="67B324D1"/>
    <w:rsid w:val="67B546EE"/>
    <w:rsid w:val="67B90875"/>
    <w:rsid w:val="67B9399B"/>
    <w:rsid w:val="67BC1058"/>
    <w:rsid w:val="67BC5624"/>
    <w:rsid w:val="67C74A66"/>
    <w:rsid w:val="67C972D1"/>
    <w:rsid w:val="67CC35BD"/>
    <w:rsid w:val="67CD2071"/>
    <w:rsid w:val="67D104AD"/>
    <w:rsid w:val="67D5772E"/>
    <w:rsid w:val="67DC1888"/>
    <w:rsid w:val="67DC552B"/>
    <w:rsid w:val="67DC59BE"/>
    <w:rsid w:val="67E61BC6"/>
    <w:rsid w:val="67F25499"/>
    <w:rsid w:val="67FC1A91"/>
    <w:rsid w:val="68047D68"/>
    <w:rsid w:val="68051ECA"/>
    <w:rsid w:val="68083606"/>
    <w:rsid w:val="680C3022"/>
    <w:rsid w:val="6812406C"/>
    <w:rsid w:val="68172DB8"/>
    <w:rsid w:val="681F032B"/>
    <w:rsid w:val="681F6961"/>
    <w:rsid w:val="68221EE4"/>
    <w:rsid w:val="68231C2E"/>
    <w:rsid w:val="68264029"/>
    <w:rsid w:val="68273C50"/>
    <w:rsid w:val="682A6A1B"/>
    <w:rsid w:val="682B1F4E"/>
    <w:rsid w:val="682E590A"/>
    <w:rsid w:val="683918F5"/>
    <w:rsid w:val="68405A7E"/>
    <w:rsid w:val="68421C10"/>
    <w:rsid w:val="68440332"/>
    <w:rsid w:val="6844387B"/>
    <w:rsid w:val="684466BA"/>
    <w:rsid w:val="684A17F2"/>
    <w:rsid w:val="684B1784"/>
    <w:rsid w:val="684E21F8"/>
    <w:rsid w:val="68544672"/>
    <w:rsid w:val="68550B65"/>
    <w:rsid w:val="6855699D"/>
    <w:rsid w:val="685A1B20"/>
    <w:rsid w:val="685E7B92"/>
    <w:rsid w:val="68610A2F"/>
    <w:rsid w:val="6865327C"/>
    <w:rsid w:val="68670CD8"/>
    <w:rsid w:val="686A0A4C"/>
    <w:rsid w:val="686D7D24"/>
    <w:rsid w:val="68731F37"/>
    <w:rsid w:val="68776B0D"/>
    <w:rsid w:val="6879653C"/>
    <w:rsid w:val="68805514"/>
    <w:rsid w:val="688178E9"/>
    <w:rsid w:val="68894D83"/>
    <w:rsid w:val="688F7F64"/>
    <w:rsid w:val="6898644F"/>
    <w:rsid w:val="689E52AF"/>
    <w:rsid w:val="68A86CAA"/>
    <w:rsid w:val="68AB50FA"/>
    <w:rsid w:val="68AC2F33"/>
    <w:rsid w:val="68BD7F87"/>
    <w:rsid w:val="68C2679D"/>
    <w:rsid w:val="68C268B7"/>
    <w:rsid w:val="68C46547"/>
    <w:rsid w:val="68C5197E"/>
    <w:rsid w:val="68CC5AD0"/>
    <w:rsid w:val="68CE70DE"/>
    <w:rsid w:val="68CF28D2"/>
    <w:rsid w:val="68D15DF1"/>
    <w:rsid w:val="68D3359C"/>
    <w:rsid w:val="68E77E10"/>
    <w:rsid w:val="68E8530D"/>
    <w:rsid w:val="68EB4613"/>
    <w:rsid w:val="68F204F6"/>
    <w:rsid w:val="68F2764D"/>
    <w:rsid w:val="68F67459"/>
    <w:rsid w:val="68FA663F"/>
    <w:rsid w:val="68FF5B5B"/>
    <w:rsid w:val="69086117"/>
    <w:rsid w:val="690C269F"/>
    <w:rsid w:val="690F6D99"/>
    <w:rsid w:val="69110F2F"/>
    <w:rsid w:val="691813E2"/>
    <w:rsid w:val="6919560A"/>
    <w:rsid w:val="691B6008"/>
    <w:rsid w:val="691F7E49"/>
    <w:rsid w:val="69252C2D"/>
    <w:rsid w:val="69295B08"/>
    <w:rsid w:val="69316E2F"/>
    <w:rsid w:val="6935090A"/>
    <w:rsid w:val="69362F6A"/>
    <w:rsid w:val="693B0F3B"/>
    <w:rsid w:val="693C476F"/>
    <w:rsid w:val="694503FD"/>
    <w:rsid w:val="694E2071"/>
    <w:rsid w:val="694E3138"/>
    <w:rsid w:val="694E40DA"/>
    <w:rsid w:val="69521FF4"/>
    <w:rsid w:val="69522BA5"/>
    <w:rsid w:val="69603C11"/>
    <w:rsid w:val="69612F5A"/>
    <w:rsid w:val="6963086B"/>
    <w:rsid w:val="69641721"/>
    <w:rsid w:val="69646187"/>
    <w:rsid w:val="69647A0C"/>
    <w:rsid w:val="69694379"/>
    <w:rsid w:val="69694AF2"/>
    <w:rsid w:val="696B2596"/>
    <w:rsid w:val="696E0FB2"/>
    <w:rsid w:val="69766163"/>
    <w:rsid w:val="697A3B33"/>
    <w:rsid w:val="697E42E8"/>
    <w:rsid w:val="698B12F7"/>
    <w:rsid w:val="698E2D66"/>
    <w:rsid w:val="699240E4"/>
    <w:rsid w:val="699516BE"/>
    <w:rsid w:val="699D4E6C"/>
    <w:rsid w:val="69A1084D"/>
    <w:rsid w:val="69AE5259"/>
    <w:rsid w:val="69B01C7E"/>
    <w:rsid w:val="69B1626F"/>
    <w:rsid w:val="69B97EB5"/>
    <w:rsid w:val="69C45336"/>
    <w:rsid w:val="69C47475"/>
    <w:rsid w:val="69C922D2"/>
    <w:rsid w:val="69D07516"/>
    <w:rsid w:val="69D44760"/>
    <w:rsid w:val="69D65CD5"/>
    <w:rsid w:val="69D81A4D"/>
    <w:rsid w:val="69D9262A"/>
    <w:rsid w:val="69EC619F"/>
    <w:rsid w:val="69EC7D0A"/>
    <w:rsid w:val="69EE2BB5"/>
    <w:rsid w:val="69F35FA3"/>
    <w:rsid w:val="69F56628"/>
    <w:rsid w:val="69F872BC"/>
    <w:rsid w:val="6A077541"/>
    <w:rsid w:val="6A0942FC"/>
    <w:rsid w:val="6A0960AB"/>
    <w:rsid w:val="6A15302D"/>
    <w:rsid w:val="6A167974"/>
    <w:rsid w:val="6A1C3E82"/>
    <w:rsid w:val="6A1E3383"/>
    <w:rsid w:val="6A1F59CD"/>
    <w:rsid w:val="6A241FFF"/>
    <w:rsid w:val="6A24635D"/>
    <w:rsid w:val="6A256806"/>
    <w:rsid w:val="6A280CDE"/>
    <w:rsid w:val="6A29045C"/>
    <w:rsid w:val="6A2904FB"/>
    <w:rsid w:val="6A2B3F9F"/>
    <w:rsid w:val="6A2C4203"/>
    <w:rsid w:val="6A2D7EBB"/>
    <w:rsid w:val="6A3121D7"/>
    <w:rsid w:val="6A39211B"/>
    <w:rsid w:val="6A3959CD"/>
    <w:rsid w:val="6A3F4582"/>
    <w:rsid w:val="6A4701D4"/>
    <w:rsid w:val="6A4910C8"/>
    <w:rsid w:val="6A4A2B7A"/>
    <w:rsid w:val="6A4A5387"/>
    <w:rsid w:val="6A4B11CB"/>
    <w:rsid w:val="6A520EC7"/>
    <w:rsid w:val="6A5B390B"/>
    <w:rsid w:val="6A6339D0"/>
    <w:rsid w:val="6A6521D7"/>
    <w:rsid w:val="6A670A86"/>
    <w:rsid w:val="6A6726A3"/>
    <w:rsid w:val="6A672C87"/>
    <w:rsid w:val="6A67310F"/>
    <w:rsid w:val="6A690E64"/>
    <w:rsid w:val="6A6C5CA9"/>
    <w:rsid w:val="6A6C6306"/>
    <w:rsid w:val="6A6E5F0E"/>
    <w:rsid w:val="6A70612A"/>
    <w:rsid w:val="6A793230"/>
    <w:rsid w:val="6A7A6FA8"/>
    <w:rsid w:val="6A813F17"/>
    <w:rsid w:val="6A8435A7"/>
    <w:rsid w:val="6A897582"/>
    <w:rsid w:val="6A9204D5"/>
    <w:rsid w:val="6A927E4E"/>
    <w:rsid w:val="6A950B6E"/>
    <w:rsid w:val="6A994FF4"/>
    <w:rsid w:val="6AA211A5"/>
    <w:rsid w:val="6AA3061E"/>
    <w:rsid w:val="6AA57A35"/>
    <w:rsid w:val="6AAF3C72"/>
    <w:rsid w:val="6AB16E9A"/>
    <w:rsid w:val="6AB31849"/>
    <w:rsid w:val="6AB66BCB"/>
    <w:rsid w:val="6AB931E5"/>
    <w:rsid w:val="6ABD4868"/>
    <w:rsid w:val="6AC455FE"/>
    <w:rsid w:val="6ACC48D6"/>
    <w:rsid w:val="6ACF676C"/>
    <w:rsid w:val="6AD50B4B"/>
    <w:rsid w:val="6AD8558E"/>
    <w:rsid w:val="6AD85CAE"/>
    <w:rsid w:val="6AD93CCF"/>
    <w:rsid w:val="6AE67C77"/>
    <w:rsid w:val="6AEB7C93"/>
    <w:rsid w:val="6AF44F46"/>
    <w:rsid w:val="6AF87E20"/>
    <w:rsid w:val="6B021350"/>
    <w:rsid w:val="6B062357"/>
    <w:rsid w:val="6B0D141C"/>
    <w:rsid w:val="6B15059E"/>
    <w:rsid w:val="6B153DE0"/>
    <w:rsid w:val="6B183069"/>
    <w:rsid w:val="6B1B2A36"/>
    <w:rsid w:val="6B1C4200"/>
    <w:rsid w:val="6B255DF0"/>
    <w:rsid w:val="6B2C1854"/>
    <w:rsid w:val="6B322639"/>
    <w:rsid w:val="6B342C7A"/>
    <w:rsid w:val="6B3549A1"/>
    <w:rsid w:val="6B3C0F7B"/>
    <w:rsid w:val="6B411121"/>
    <w:rsid w:val="6B432856"/>
    <w:rsid w:val="6B44754B"/>
    <w:rsid w:val="6B477EDB"/>
    <w:rsid w:val="6B493FDF"/>
    <w:rsid w:val="6B4A3F66"/>
    <w:rsid w:val="6B4B1AC3"/>
    <w:rsid w:val="6B4B6091"/>
    <w:rsid w:val="6B4D11EB"/>
    <w:rsid w:val="6B4F1C7B"/>
    <w:rsid w:val="6B4F2206"/>
    <w:rsid w:val="6B53157D"/>
    <w:rsid w:val="6B536809"/>
    <w:rsid w:val="6B554DD5"/>
    <w:rsid w:val="6B5852D9"/>
    <w:rsid w:val="6B5F6A56"/>
    <w:rsid w:val="6B610E4F"/>
    <w:rsid w:val="6B6214E3"/>
    <w:rsid w:val="6B643D37"/>
    <w:rsid w:val="6B706BB7"/>
    <w:rsid w:val="6B74561D"/>
    <w:rsid w:val="6B797260"/>
    <w:rsid w:val="6B7B23E1"/>
    <w:rsid w:val="6B8135C5"/>
    <w:rsid w:val="6B823C62"/>
    <w:rsid w:val="6B82622F"/>
    <w:rsid w:val="6B850A8A"/>
    <w:rsid w:val="6B9142E9"/>
    <w:rsid w:val="6B93558B"/>
    <w:rsid w:val="6B945502"/>
    <w:rsid w:val="6B970619"/>
    <w:rsid w:val="6B987881"/>
    <w:rsid w:val="6B9A16B0"/>
    <w:rsid w:val="6B9E5CFE"/>
    <w:rsid w:val="6B9F56CA"/>
    <w:rsid w:val="6BA31C16"/>
    <w:rsid w:val="6BA32859"/>
    <w:rsid w:val="6BB23B28"/>
    <w:rsid w:val="6BB71C8A"/>
    <w:rsid w:val="6BBC603F"/>
    <w:rsid w:val="6BBE7862"/>
    <w:rsid w:val="6BC23B8F"/>
    <w:rsid w:val="6BC26769"/>
    <w:rsid w:val="6BC30971"/>
    <w:rsid w:val="6BC753D6"/>
    <w:rsid w:val="6BC83708"/>
    <w:rsid w:val="6BD72FF6"/>
    <w:rsid w:val="6BD85253"/>
    <w:rsid w:val="6BDA1473"/>
    <w:rsid w:val="6BE62B8E"/>
    <w:rsid w:val="6BEA2BA5"/>
    <w:rsid w:val="6BEC638D"/>
    <w:rsid w:val="6BED164E"/>
    <w:rsid w:val="6BED4E39"/>
    <w:rsid w:val="6BED67A1"/>
    <w:rsid w:val="6BF06487"/>
    <w:rsid w:val="6BF40D40"/>
    <w:rsid w:val="6BF453B7"/>
    <w:rsid w:val="6BF55C4E"/>
    <w:rsid w:val="6BF7127E"/>
    <w:rsid w:val="6BFA466A"/>
    <w:rsid w:val="6C0142C3"/>
    <w:rsid w:val="6C026228"/>
    <w:rsid w:val="6C047E31"/>
    <w:rsid w:val="6C0709AB"/>
    <w:rsid w:val="6C0A2142"/>
    <w:rsid w:val="6C157FAA"/>
    <w:rsid w:val="6C161698"/>
    <w:rsid w:val="6C192FC4"/>
    <w:rsid w:val="6C196C3E"/>
    <w:rsid w:val="6C1B4333"/>
    <w:rsid w:val="6C216E7D"/>
    <w:rsid w:val="6C333CE4"/>
    <w:rsid w:val="6C35101D"/>
    <w:rsid w:val="6C363043"/>
    <w:rsid w:val="6C382279"/>
    <w:rsid w:val="6C3A75B5"/>
    <w:rsid w:val="6C3C5723"/>
    <w:rsid w:val="6C3E5EFE"/>
    <w:rsid w:val="6C4D6A96"/>
    <w:rsid w:val="6C5A3F16"/>
    <w:rsid w:val="6C5D623A"/>
    <w:rsid w:val="6C5D7990"/>
    <w:rsid w:val="6C600F1B"/>
    <w:rsid w:val="6C62044F"/>
    <w:rsid w:val="6C635F46"/>
    <w:rsid w:val="6C636C38"/>
    <w:rsid w:val="6C657EEA"/>
    <w:rsid w:val="6C690B85"/>
    <w:rsid w:val="6C697063"/>
    <w:rsid w:val="6C6A6643"/>
    <w:rsid w:val="6C70566B"/>
    <w:rsid w:val="6C7078EB"/>
    <w:rsid w:val="6C715622"/>
    <w:rsid w:val="6C74185B"/>
    <w:rsid w:val="6C7A47AA"/>
    <w:rsid w:val="6C7B148A"/>
    <w:rsid w:val="6C7C1F6E"/>
    <w:rsid w:val="6C7E39B7"/>
    <w:rsid w:val="6C855049"/>
    <w:rsid w:val="6C8D4D71"/>
    <w:rsid w:val="6C8D5408"/>
    <w:rsid w:val="6C913EB6"/>
    <w:rsid w:val="6C920F20"/>
    <w:rsid w:val="6C9514D1"/>
    <w:rsid w:val="6C962E8E"/>
    <w:rsid w:val="6CA13971"/>
    <w:rsid w:val="6CA15133"/>
    <w:rsid w:val="6CA2380D"/>
    <w:rsid w:val="6CA257D7"/>
    <w:rsid w:val="6CA461AF"/>
    <w:rsid w:val="6CA61005"/>
    <w:rsid w:val="6CAA7CB1"/>
    <w:rsid w:val="6CAE61ED"/>
    <w:rsid w:val="6CB717C4"/>
    <w:rsid w:val="6CC43C36"/>
    <w:rsid w:val="6CC82F32"/>
    <w:rsid w:val="6CCC72A9"/>
    <w:rsid w:val="6CCF33F5"/>
    <w:rsid w:val="6CD12194"/>
    <w:rsid w:val="6CD4504E"/>
    <w:rsid w:val="6CDC1652"/>
    <w:rsid w:val="6CDF7511"/>
    <w:rsid w:val="6CEC361C"/>
    <w:rsid w:val="6CED4A95"/>
    <w:rsid w:val="6CEE293C"/>
    <w:rsid w:val="6CF72805"/>
    <w:rsid w:val="6CFA09F3"/>
    <w:rsid w:val="6CFC7FBF"/>
    <w:rsid w:val="6CFD0BC3"/>
    <w:rsid w:val="6CFD0E30"/>
    <w:rsid w:val="6D047526"/>
    <w:rsid w:val="6D0C5F3E"/>
    <w:rsid w:val="6D0E52E2"/>
    <w:rsid w:val="6D1014FE"/>
    <w:rsid w:val="6D127BAB"/>
    <w:rsid w:val="6D1362A4"/>
    <w:rsid w:val="6D187EC8"/>
    <w:rsid w:val="6D1A6758"/>
    <w:rsid w:val="6D1C6A92"/>
    <w:rsid w:val="6D1F7993"/>
    <w:rsid w:val="6D233F3F"/>
    <w:rsid w:val="6D2A509E"/>
    <w:rsid w:val="6D2B2B4B"/>
    <w:rsid w:val="6D2C6215"/>
    <w:rsid w:val="6D2D03CD"/>
    <w:rsid w:val="6D3142CF"/>
    <w:rsid w:val="6D354FD3"/>
    <w:rsid w:val="6D39415A"/>
    <w:rsid w:val="6D3A2128"/>
    <w:rsid w:val="6D3C6B2D"/>
    <w:rsid w:val="6D447E3F"/>
    <w:rsid w:val="6D4A5F0F"/>
    <w:rsid w:val="6D530ACD"/>
    <w:rsid w:val="6D5726BE"/>
    <w:rsid w:val="6D593871"/>
    <w:rsid w:val="6D5A0320"/>
    <w:rsid w:val="6D5C243E"/>
    <w:rsid w:val="6D5E19DE"/>
    <w:rsid w:val="6D650C8F"/>
    <w:rsid w:val="6D6B3B40"/>
    <w:rsid w:val="6D6D676F"/>
    <w:rsid w:val="6D6D6796"/>
    <w:rsid w:val="6D714071"/>
    <w:rsid w:val="6D735A7B"/>
    <w:rsid w:val="6D737D4A"/>
    <w:rsid w:val="6D792961"/>
    <w:rsid w:val="6D7E6392"/>
    <w:rsid w:val="6D7F7D4C"/>
    <w:rsid w:val="6D814FE3"/>
    <w:rsid w:val="6D863776"/>
    <w:rsid w:val="6D873E5A"/>
    <w:rsid w:val="6D8846AC"/>
    <w:rsid w:val="6D8C23B6"/>
    <w:rsid w:val="6D8C438F"/>
    <w:rsid w:val="6D8F0E1B"/>
    <w:rsid w:val="6D8F28BE"/>
    <w:rsid w:val="6D900C7B"/>
    <w:rsid w:val="6D9059AA"/>
    <w:rsid w:val="6D937139"/>
    <w:rsid w:val="6D943FA8"/>
    <w:rsid w:val="6D955CC1"/>
    <w:rsid w:val="6D9B3E2A"/>
    <w:rsid w:val="6D9B40D4"/>
    <w:rsid w:val="6DA14EE3"/>
    <w:rsid w:val="6DA212D4"/>
    <w:rsid w:val="6DA64519"/>
    <w:rsid w:val="6DAC0273"/>
    <w:rsid w:val="6DB03809"/>
    <w:rsid w:val="6DB30F34"/>
    <w:rsid w:val="6DB34098"/>
    <w:rsid w:val="6DB340C8"/>
    <w:rsid w:val="6DB545B6"/>
    <w:rsid w:val="6DB6750B"/>
    <w:rsid w:val="6DBA14B3"/>
    <w:rsid w:val="6DBB52AC"/>
    <w:rsid w:val="6DBF11FD"/>
    <w:rsid w:val="6DC11871"/>
    <w:rsid w:val="6DC9488A"/>
    <w:rsid w:val="6DCA3549"/>
    <w:rsid w:val="6DCD6D0C"/>
    <w:rsid w:val="6DCF306E"/>
    <w:rsid w:val="6DD47089"/>
    <w:rsid w:val="6DD95A7F"/>
    <w:rsid w:val="6DDF1FB8"/>
    <w:rsid w:val="6DE02FB4"/>
    <w:rsid w:val="6DE27FE2"/>
    <w:rsid w:val="6DF21700"/>
    <w:rsid w:val="6DF33BB1"/>
    <w:rsid w:val="6DF40B4F"/>
    <w:rsid w:val="6DF9409C"/>
    <w:rsid w:val="6DFF3DFF"/>
    <w:rsid w:val="6E1B70B8"/>
    <w:rsid w:val="6E1D04BA"/>
    <w:rsid w:val="6E26745E"/>
    <w:rsid w:val="6E292E16"/>
    <w:rsid w:val="6E320B4B"/>
    <w:rsid w:val="6E333E26"/>
    <w:rsid w:val="6E381D3A"/>
    <w:rsid w:val="6E3D2D5B"/>
    <w:rsid w:val="6E461CB0"/>
    <w:rsid w:val="6E470827"/>
    <w:rsid w:val="6E4E0E29"/>
    <w:rsid w:val="6E4E22DE"/>
    <w:rsid w:val="6E4E6782"/>
    <w:rsid w:val="6E514CED"/>
    <w:rsid w:val="6E516D21"/>
    <w:rsid w:val="6E537D05"/>
    <w:rsid w:val="6E566352"/>
    <w:rsid w:val="6E5E5859"/>
    <w:rsid w:val="6E617D2A"/>
    <w:rsid w:val="6E633944"/>
    <w:rsid w:val="6E685F5E"/>
    <w:rsid w:val="6E6B35C1"/>
    <w:rsid w:val="6E7631F1"/>
    <w:rsid w:val="6E815867"/>
    <w:rsid w:val="6E8303F2"/>
    <w:rsid w:val="6E875010"/>
    <w:rsid w:val="6E89616B"/>
    <w:rsid w:val="6E8B26DD"/>
    <w:rsid w:val="6E8F7A40"/>
    <w:rsid w:val="6E940445"/>
    <w:rsid w:val="6E970964"/>
    <w:rsid w:val="6E994BD4"/>
    <w:rsid w:val="6E9D1B01"/>
    <w:rsid w:val="6EA14AF4"/>
    <w:rsid w:val="6EA4236F"/>
    <w:rsid w:val="6EA90865"/>
    <w:rsid w:val="6EAA0417"/>
    <w:rsid w:val="6EAE0FCF"/>
    <w:rsid w:val="6EAE45DE"/>
    <w:rsid w:val="6EB02E64"/>
    <w:rsid w:val="6EB137CF"/>
    <w:rsid w:val="6EB563D5"/>
    <w:rsid w:val="6EBC72B2"/>
    <w:rsid w:val="6EC4778E"/>
    <w:rsid w:val="6EC6314D"/>
    <w:rsid w:val="6EC70F3F"/>
    <w:rsid w:val="6EC96A9E"/>
    <w:rsid w:val="6ECA0A53"/>
    <w:rsid w:val="6ED87E38"/>
    <w:rsid w:val="6ED92677"/>
    <w:rsid w:val="6ED9429F"/>
    <w:rsid w:val="6EDE34FD"/>
    <w:rsid w:val="6EE73233"/>
    <w:rsid w:val="6EED1237"/>
    <w:rsid w:val="6EEF2AFF"/>
    <w:rsid w:val="6EF4344A"/>
    <w:rsid w:val="6EF6752E"/>
    <w:rsid w:val="6EF74328"/>
    <w:rsid w:val="6EF966EE"/>
    <w:rsid w:val="6EFE2DC7"/>
    <w:rsid w:val="6F0309D7"/>
    <w:rsid w:val="6F051440"/>
    <w:rsid w:val="6F0C3260"/>
    <w:rsid w:val="6F0C6A0E"/>
    <w:rsid w:val="6F155151"/>
    <w:rsid w:val="6F1C00B2"/>
    <w:rsid w:val="6F1F1ECC"/>
    <w:rsid w:val="6F225983"/>
    <w:rsid w:val="6F2C2D7E"/>
    <w:rsid w:val="6F324609"/>
    <w:rsid w:val="6F3B6197"/>
    <w:rsid w:val="6F3C0238"/>
    <w:rsid w:val="6F3C107A"/>
    <w:rsid w:val="6F407630"/>
    <w:rsid w:val="6F417E5B"/>
    <w:rsid w:val="6F466824"/>
    <w:rsid w:val="6F4F163D"/>
    <w:rsid w:val="6F554BD0"/>
    <w:rsid w:val="6F5A3019"/>
    <w:rsid w:val="6F742C31"/>
    <w:rsid w:val="6F753AF9"/>
    <w:rsid w:val="6F793AD0"/>
    <w:rsid w:val="6F803663"/>
    <w:rsid w:val="6F81252E"/>
    <w:rsid w:val="6F814935"/>
    <w:rsid w:val="6F816B55"/>
    <w:rsid w:val="6F857F81"/>
    <w:rsid w:val="6F860447"/>
    <w:rsid w:val="6F8B154D"/>
    <w:rsid w:val="6F8B3282"/>
    <w:rsid w:val="6F914A16"/>
    <w:rsid w:val="6F9812E0"/>
    <w:rsid w:val="6F9C7671"/>
    <w:rsid w:val="6F9F7E09"/>
    <w:rsid w:val="6FA13CFE"/>
    <w:rsid w:val="6FA611A8"/>
    <w:rsid w:val="6FA916FD"/>
    <w:rsid w:val="6FAB40C6"/>
    <w:rsid w:val="6FAC70B4"/>
    <w:rsid w:val="6FAF5E00"/>
    <w:rsid w:val="6FB17B00"/>
    <w:rsid w:val="6FB92D17"/>
    <w:rsid w:val="6FBA436E"/>
    <w:rsid w:val="6FBE5CE9"/>
    <w:rsid w:val="6FC116C7"/>
    <w:rsid w:val="6FC369E0"/>
    <w:rsid w:val="6FC552E5"/>
    <w:rsid w:val="6FC56BB6"/>
    <w:rsid w:val="6FC936F7"/>
    <w:rsid w:val="6FCC3594"/>
    <w:rsid w:val="6FD06288"/>
    <w:rsid w:val="6FD2326F"/>
    <w:rsid w:val="6FD7202F"/>
    <w:rsid w:val="6FD730CA"/>
    <w:rsid w:val="6FDD1BC1"/>
    <w:rsid w:val="6FDF684F"/>
    <w:rsid w:val="6FE1688E"/>
    <w:rsid w:val="6FE1724C"/>
    <w:rsid w:val="6FE55332"/>
    <w:rsid w:val="6FEC6B83"/>
    <w:rsid w:val="6FF2313D"/>
    <w:rsid w:val="6FFC5590"/>
    <w:rsid w:val="6FFD3EA9"/>
    <w:rsid w:val="700B0BA4"/>
    <w:rsid w:val="700D1C68"/>
    <w:rsid w:val="700E4F04"/>
    <w:rsid w:val="700F396B"/>
    <w:rsid w:val="701051AB"/>
    <w:rsid w:val="70131AA6"/>
    <w:rsid w:val="7019217D"/>
    <w:rsid w:val="701E2184"/>
    <w:rsid w:val="70225A3E"/>
    <w:rsid w:val="702754D1"/>
    <w:rsid w:val="702754DC"/>
    <w:rsid w:val="702B7703"/>
    <w:rsid w:val="702C7058"/>
    <w:rsid w:val="702D33B8"/>
    <w:rsid w:val="703836F4"/>
    <w:rsid w:val="70383A54"/>
    <w:rsid w:val="703A66DC"/>
    <w:rsid w:val="703B0AE2"/>
    <w:rsid w:val="703C471B"/>
    <w:rsid w:val="703E6557"/>
    <w:rsid w:val="70415189"/>
    <w:rsid w:val="70421197"/>
    <w:rsid w:val="70454283"/>
    <w:rsid w:val="7046087A"/>
    <w:rsid w:val="704946B6"/>
    <w:rsid w:val="704E5E11"/>
    <w:rsid w:val="70596D82"/>
    <w:rsid w:val="706308B4"/>
    <w:rsid w:val="706A3786"/>
    <w:rsid w:val="706D1DD0"/>
    <w:rsid w:val="706F3D99"/>
    <w:rsid w:val="706F5850"/>
    <w:rsid w:val="70763C15"/>
    <w:rsid w:val="7076780D"/>
    <w:rsid w:val="707D2C45"/>
    <w:rsid w:val="707D334E"/>
    <w:rsid w:val="707F7743"/>
    <w:rsid w:val="70856B87"/>
    <w:rsid w:val="70870D1E"/>
    <w:rsid w:val="70A00DEB"/>
    <w:rsid w:val="70A06582"/>
    <w:rsid w:val="70A21524"/>
    <w:rsid w:val="70A77A6C"/>
    <w:rsid w:val="70A80003"/>
    <w:rsid w:val="70A909FB"/>
    <w:rsid w:val="70AB2D5B"/>
    <w:rsid w:val="70B14239"/>
    <w:rsid w:val="70B35BA8"/>
    <w:rsid w:val="70B36AD8"/>
    <w:rsid w:val="70BD5CE9"/>
    <w:rsid w:val="70BF7CCC"/>
    <w:rsid w:val="70C554D3"/>
    <w:rsid w:val="70C60582"/>
    <w:rsid w:val="70C60F06"/>
    <w:rsid w:val="70CC0771"/>
    <w:rsid w:val="70D527EE"/>
    <w:rsid w:val="70D7164F"/>
    <w:rsid w:val="70DB1B83"/>
    <w:rsid w:val="70DB52A8"/>
    <w:rsid w:val="70DE13C7"/>
    <w:rsid w:val="70E046E5"/>
    <w:rsid w:val="70E15B9A"/>
    <w:rsid w:val="70E220E0"/>
    <w:rsid w:val="70ED18BA"/>
    <w:rsid w:val="70F40CE3"/>
    <w:rsid w:val="70F4281E"/>
    <w:rsid w:val="71054508"/>
    <w:rsid w:val="71071DDF"/>
    <w:rsid w:val="710A6126"/>
    <w:rsid w:val="710A687B"/>
    <w:rsid w:val="710F044A"/>
    <w:rsid w:val="71107D1F"/>
    <w:rsid w:val="711462F5"/>
    <w:rsid w:val="711474BB"/>
    <w:rsid w:val="711A422A"/>
    <w:rsid w:val="711B27D9"/>
    <w:rsid w:val="711B3C7F"/>
    <w:rsid w:val="711C2318"/>
    <w:rsid w:val="711E055D"/>
    <w:rsid w:val="71246473"/>
    <w:rsid w:val="712667E0"/>
    <w:rsid w:val="71273F8B"/>
    <w:rsid w:val="712A2467"/>
    <w:rsid w:val="71300761"/>
    <w:rsid w:val="71312F51"/>
    <w:rsid w:val="71345A97"/>
    <w:rsid w:val="71364A93"/>
    <w:rsid w:val="713B4AAE"/>
    <w:rsid w:val="71457D9D"/>
    <w:rsid w:val="715402A2"/>
    <w:rsid w:val="715B5300"/>
    <w:rsid w:val="715E0F62"/>
    <w:rsid w:val="715F7CF8"/>
    <w:rsid w:val="716650F8"/>
    <w:rsid w:val="71685FB8"/>
    <w:rsid w:val="71694DE1"/>
    <w:rsid w:val="716A2140"/>
    <w:rsid w:val="716D04D5"/>
    <w:rsid w:val="716D3E25"/>
    <w:rsid w:val="71755E4D"/>
    <w:rsid w:val="71833A54"/>
    <w:rsid w:val="71883D59"/>
    <w:rsid w:val="718860C8"/>
    <w:rsid w:val="718F02A0"/>
    <w:rsid w:val="718F3339"/>
    <w:rsid w:val="719167AD"/>
    <w:rsid w:val="71983564"/>
    <w:rsid w:val="719856D5"/>
    <w:rsid w:val="719B5F46"/>
    <w:rsid w:val="71A66D8E"/>
    <w:rsid w:val="71AB0BFD"/>
    <w:rsid w:val="71AB5C99"/>
    <w:rsid w:val="71AC76C5"/>
    <w:rsid w:val="71B21437"/>
    <w:rsid w:val="71B24BC4"/>
    <w:rsid w:val="71B51BE1"/>
    <w:rsid w:val="71B87ED7"/>
    <w:rsid w:val="71BB38BA"/>
    <w:rsid w:val="71C42E6F"/>
    <w:rsid w:val="71C710A4"/>
    <w:rsid w:val="71CD74B3"/>
    <w:rsid w:val="71D07DB4"/>
    <w:rsid w:val="71D27F8A"/>
    <w:rsid w:val="71D71106"/>
    <w:rsid w:val="71DB032D"/>
    <w:rsid w:val="71E002A1"/>
    <w:rsid w:val="71E14A24"/>
    <w:rsid w:val="71F118FE"/>
    <w:rsid w:val="71F34AC8"/>
    <w:rsid w:val="71F4202B"/>
    <w:rsid w:val="71F4374E"/>
    <w:rsid w:val="71F522FE"/>
    <w:rsid w:val="71F73A84"/>
    <w:rsid w:val="71FA24BB"/>
    <w:rsid w:val="71FD1E88"/>
    <w:rsid w:val="72052146"/>
    <w:rsid w:val="72074916"/>
    <w:rsid w:val="720A7322"/>
    <w:rsid w:val="720E398F"/>
    <w:rsid w:val="72112199"/>
    <w:rsid w:val="72121CDF"/>
    <w:rsid w:val="72136F42"/>
    <w:rsid w:val="721A6769"/>
    <w:rsid w:val="721B21C9"/>
    <w:rsid w:val="721D52B1"/>
    <w:rsid w:val="72210E9F"/>
    <w:rsid w:val="722577FA"/>
    <w:rsid w:val="72294047"/>
    <w:rsid w:val="723700F2"/>
    <w:rsid w:val="723A68BB"/>
    <w:rsid w:val="723D4E8C"/>
    <w:rsid w:val="724934C4"/>
    <w:rsid w:val="724F1DB1"/>
    <w:rsid w:val="72507B87"/>
    <w:rsid w:val="725527EB"/>
    <w:rsid w:val="72553024"/>
    <w:rsid w:val="725679D7"/>
    <w:rsid w:val="7258530E"/>
    <w:rsid w:val="725B146D"/>
    <w:rsid w:val="72607C72"/>
    <w:rsid w:val="72686C2D"/>
    <w:rsid w:val="726A6CC2"/>
    <w:rsid w:val="7271435B"/>
    <w:rsid w:val="72717DCC"/>
    <w:rsid w:val="72733860"/>
    <w:rsid w:val="7279604F"/>
    <w:rsid w:val="727B142A"/>
    <w:rsid w:val="72826AE4"/>
    <w:rsid w:val="728346D7"/>
    <w:rsid w:val="72876AB2"/>
    <w:rsid w:val="72880811"/>
    <w:rsid w:val="728A58AF"/>
    <w:rsid w:val="728C0074"/>
    <w:rsid w:val="72964C53"/>
    <w:rsid w:val="72A6019D"/>
    <w:rsid w:val="72A746B3"/>
    <w:rsid w:val="72AF5330"/>
    <w:rsid w:val="72B3302F"/>
    <w:rsid w:val="72B65C98"/>
    <w:rsid w:val="72B73252"/>
    <w:rsid w:val="72BB698A"/>
    <w:rsid w:val="72C13D54"/>
    <w:rsid w:val="72C214EC"/>
    <w:rsid w:val="72C6029D"/>
    <w:rsid w:val="72CA281D"/>
    <w:rsid w:val="72CB51FC"/>
    <w:rsid w:val="72D24E63"/>
    <w:rsid w:val="72D428F7"/>
    <w:rsid w:val="72D9404A"/>
    <w:rsid w:val="72DA2EC3"/>
    <w:rsid w:val="72E2066A"/>
    <w:rsid w:val="72EF453E"/>
    <w:rsid w:val="72F12558"/>
    <w:rsid w:val="72F41839"/>
    <w:rsid w:val="72F545DB"/>
    <w:rsid w:val="72F631F8"/>
    <w:rsid w:val="72F73585"/>
    <w:rsid w:val="72F820CC"/>
    <w:rsid w:val="72F97EA2"/>
    <w:rsid w:val="72FD154A"/>
    <w:rsid w:val="72FF7CF5"/>
    <w:rsid w:val="73036C20"/>
    <w:rsid w:val="73040DC7"/>
    <w:rsid w:val="730C09AF"/>
    <w:rsid w:val="7310215D"/>
    <w:rsid w:val="73114287"/>
    <w:rsid w:val="73122968"/>
    <w:rsid w:val="73132E6C"/>
    <w:rsid w:val="73155E7E"/>
    <w:rsid w:val="731955B0"/>
    <w:rsid w:val="731A3DF3"/>
    <w:rsid w:val="731B7F6C"/>
    <w:rsid w:val="731C29AB"/>
    <w:rsid w:val="731D589B"/>
    <w:rsid w:val="731F5D5E"/>
    <w:rsid w:val="732213E3"/>
    <w:rsid w:val="73265251"/>
    <w:rsid w:val="732D59FF"/>
    <w:rsid w:val="73311D53"/>
    <w:rsid w:val="73326672"/>
    <w:rsid w:val="73353069"/>
    <w:rsid w:val="73365408"/>
    <w:rsid w:val="73382BAD"/>
    <w:rsid w:val="733D0DD5"/>
    <w:rsid w:val="733F3A50"/>
    <w:rsid w:val="73433A9B"/>
    <w:rsid w:val="734639CE"/>
    <w:rsid w:val="734C5B69"/>
    <w:rsid w:val="734E152B"/>
    <w:rsid w:val="734E2D80"/>
    <w:rsid w:val="735073B5"/>
    <w:rsid w:val="73517D90"/>
    <w:rsid w:val="7353373B"/>
    <w:rsid w:val="7354206C"/>
    <w:rsid w:val="73564E58"/>
    <w:rsid w:val="735832C2"/>
    <w:rsid w:val="735A2074"/>
    <w:rsid w:val="73615058"/>
    <w:rsid w:val="73676D32"/>
    <w:rsid w:val="73691C9F"/>
    <w:rsid w:val="736A21E1"/>
    <w:rsid w:val="736B2874"/>
    <w:rsid w:val="736D5AFD"/>
    <w:rsid w:val="736F5A0A"/>
    <w:rsid w:val="73761B69"/>
    <w:rsid w:val="73784153"/>
    <w:rsid w:val="737921F0"/>
    <w:rsid w:val="737B2226"/>
    <w:rsid w:val="737B5808"/>
    <w:rsid w:val="737C43AF"/>
    <w:rsid w:val="737F3D9B"/>
    <w:rsid w:val="738347AF"/>
    <w:rsid w:val="73842AE9"/>
    <w:rsid w:val="73952A84"/>
    <w:rsid w:val="739C5B56"/>
    <w:rsid w:val="73A461ED"/>
    <w:rsid w:val="73A56035"/>
    <w:rsid w:val="73A67A5C"/>
    <w:rsid w:val="73AA2CDD"/>
    <w:rsid w:val="73AE0554"/>
    <w:rsid w:val="73AF7CC3"/>
    <w:rsid w:val="73C24C98"/>
    <w:rsid w:val="73C33DBB"/>
    <w:rsid w:val="73C51AD5"/>
    <w:rsid w:val="73C60F07"/>
    <w:rsid w:val="73CB021D"/>
    <w:rsid w:val="73CE2458"/>
    <w:rsid w:val="73CF2DDF"/>
    <w:rsid w:val="73D20000"/>
    <w:rsid w:val="73DD0976"/>
    <w:rsid w:val="73DF1F43"/>
    <w:rsid w:val="73EA4452"/>
    <w:rsid w:val="73EF2358"/>
    <w:rsid w:val="73F22EB8"/>
    <w:rsid w:val="73FD3D19"/>
    <w:rsid w:val="73FF68A9"/>
    <w:rsid w:val="740578E3"/>
    <w:rsid w:val="74065015"/>
    <w:rsid w:val="740712EA"/>
    <w:rsid w:val="740C1538"/>
    <w:rsid w:val="740C2DE4"/>
    <w:rsid w:val="74132CA1"/>
    <w:rsid w:val="74150645"/>
    <w:rsid w:val="741735C5"/>
    <w:rsid w:val="741C57B6"/>
    <w:rsid w:val="741E273F"/>
    <w:rsid w:val="741E2A08"/>
    <w:rsid w:val="741E793C"/>
    <w:rsid w:val="74214413"/>
    <w:rsid w:val="7423420D"/>
    <w:rsid w:val="742B6214"/>
    <w:rsid w:val="74320AC2"/>
    <w:rsid w:val="74321B1E"/>
    <w:rsid w:val="74326133"/>
    <w:rsid w:val="74373814"/>
    <w:rsid w:val="743B5608"/>
    <w:rsid w:val="743D1570"/>
    <w:rsid w:val="7442567A"/>
    <w:rsid w:val="74427DFE"/>
    <w:rsid w:val="7443496D"/>
    <w:rsid w:val="74456ECE"/>
    <w:rsid w:val="744A07AA"/>
    <w:rsid w:val="744D33EB"/>
    <w:rsid w:val="74503744"/>
    <w:rsid w:val="74524397"/>
    <w:rsid w:val="74570117"/>
    <w:rsid w:val="74585B4C"/>
    <w:rsid w:val="745909DC"/>
    <w:rsid w:val="745919DD"/>
    <w:rsid w:val="745A3932"/>
    <w:rsid w:val="745E3944"/>
    <w:rsid w:val="74617DC0"/>
    <w:rsid w:val="74776B23"/>
    <w:rsid w:val="747800B5"/>
    <w:rsid w:val="74783079"/>
    <w:rsid w:val="747B3474"/>
    <w:rsid w:val="747C0248"/>
    <w:rsid w:val="74841D59"/>
    <w:rsid w:val="74866357"/>
    <w:rsid w:val="749008E5"/>
    <w:rsid w:val="749063A1"/>
    <w:rsid w:val="749C4D8E"/>
    <w:rsid w:val="749D1593"/>
    <w:rsid w:val="74A33ECA"/>
    <w:rsid w:val="74A7099A"/>
    <w:rsid w:val="74AA45A1"/>
    <w:rsid w:val="74AD3C7D"/>
    <w:rsid w:val="74B30220"/>
    <w:rsid w:val="74B44E65"/>
    <w:rsid w:val="74B713CB"/>
    <w:rsid w:val="74C13FA6"/>
    <w:rsid w:val="74C41AE2"/>
    <w:rsid w:val="74C73F4D"/>
    <w:rsid w:val="74CC5A0C"/>
    <w:rsid w:val="74CF0EE4"/>
    <w:rsid w:val="74D37940"/>
    <w:rsid w:val="74D62D5E"/>
    <w:rsid w:val="74D73FE1"/>
    <w:rsid w:val="74DB3E3D"/>
    <w:rsid w:val="74E375C2"/>
    <w:rsid w:val="74E963CF"/>
    <w:rsid w:val="74EA0887"/>
    <w:rsid w:val="74EE2AA6"/>
    <w:rsid w:val="74EF147A"/>
    <w:rsid w:val="74EF45D0"/>
    <w:rsid w:val="74EF5B6E"/>
    <w:rsid w:val="74F1655B"/>
    <w:rsid w:val="74F17A2B"/>
    <w:rsid w:val="74F87553"/>
    <w:rsid w:val="74FF5C0D"/>
    <w:rsid w:val="75046088"/>
    <w:rsid w:val="7507481B"/>
    <w:rsid w:val="750C192E"/>
    <w:rsid w:val="750E015E"/>
    <w:rsid w:val="75151DA7"/>
    <w:rsid w:val="75204263"/>
    <w:rsid w:val="75234F1D"/>
    <w:rsid w:val="75285DAE"/>
    <w:rsid w:val="75344B51"/>
    <w:rsid w:val="753E0EDC"/>
    <w:rsid w:val="75426B76"/>
    <w:rsid w:val="75445D68"/>
    <w:rsid w:val="75463FCC"/>
    <w:rsid w:val="754F2C9A"/>
    <w:rsid w:val="754F6784"/>
    <w:rsid w:val="755268C8"/>
    <w:rsid w:val="755B6706"/>
    <w:rsid w:val="755D6D4C"/>
    <w:rsid w:val="75601DC3"/>
    <w:rsid w:val="75605670"/>
    <w:rsid w:val="756718C7"/>
    <w:rsid w:val="757743F9"/>
    <w:rsid w:val="7579236D"/>
    <w:rsid w:val="75796912"/>
    <w:rsid w:val="757F6D71"/>
    <w:rsid w:val="75810420"/>
    <w:rsid w:val="758306DE"/>
    <w:rsid w:val="758E5037"/>
    <w:rsid w:val="75907B95"/>
    <w:rsid w:val="759309BA"/>
    <w:rsid w:val="7593215C"/>
    <w:rsid w:val="7599294A"/>
    <w:rsid w:val="759A3CF7"/>
    <w:rsid w:val="75A23E53"/>
    <w:rsid w:val="75AD38C8"/>
    <w:rsid w:val="75AD6171"/>
    <w:rsid w:val="75AF3629"/>
    <w:rsid w:val="75B2635C"/>
    <w:rsid w:val="75B44C01"/>
    <w:rsid w:val="75B571C6"/>
    <w:rsid w:val="75B61EA0"/>
    <w:rsid w:val="75B6301C"/>
    <w:rsid w:val="75B72E5F"/>
    <w:rsid w:val="75B92C7F"/>
    <w:rsid w:val="75BA6E2C"/>
    <w:rsid w:val="75BB6755"/>
    <w:rsid w:val="75BC6E6B"/>
    <w:rsid w:val="75C1028F"/>
    <w:rsid w:val="75C6283A"/>
    <w:rsid w:val="75CE5E31"/>
    <w:rsid w:val="75D237F5"/>
    <w:rsid w:val="75D25EEA"/>
    <w:rsid w:val="75D4596E"/>
    <w:rsid w:val="75E023B5"/>
    <w:rsid w:val="75E80138"/>
    <w:rsid w:val="75E865AB"/>
    <w:rsid w:val="75E867EB"/>
    <w:rsid w:val="75ED4AD2"/>
    <w:rsid w:val="75EF43A6"/>
    <w:rsid w:val="760D76CA"/>
    <w:rsid w:val="76112296"/>
    <w:rsid w:val="76130AE5"/>
    <w:rsid w:val="761402B1"/>
    <w:rsid w:val="76286F0E"/>
    <w:rsid w:val="76322C84"/>
    <w:rsid w:val="7635099D"/>
    <w:rsid w:val="76367977"/>
    <w:rsid w:val="76394C81"/>
    <w:rsid w:val="763B4064"/>
    <w:rsid w:val="763C3774"/>
    <w:rsid w:val="76415D59"/>
    <w:rsid w:val="7644117B"/>
    <w:rsid w:val="76463801"/>
    <w:rsid w:val="76464DAE"/>
    <w:rsid w:val="764A782F"/>
    <w:rsid w:val="764F0376"/>
    <w:rsid w:val="765560E4"/>
    <w:rsid w:val="76590092"/>
    <w:rsid w:val="765902BA"/>
    <w:rsid w:val="765C6E0D"/>
    <w:rsid w:val="765C7A8B"/>
    <w:rsid w:val="765D6F23"/>
    <w:rsid w:val="766564D3"/>
    <w:rsid w:val="76663A7F"/>
    <w:rsid w:val="76673A61"/>
    <w:rsid w:val="76673E6F"/>
    <w:rsid w:val="766A30C6"/>
    <w:rsid w:val="766E26EE"/>
    <w:rsid w:val="76702432"/>
    <w:rsid w:val="767112AE"/>
    <w:rsid w:val="767338BE"/>
    <w:rsid w:val="767977C3"/>
    <w:rsid w:val="767A42D2"/>
    <w:rsid w:val="768419D1"/>
    <w:rsid w:val="7689303D"/>
    <w:rsid w:val="769779A1"/>
    <w:rsid w:val="769936E9"/>
    <w:rsid w:val="76A03E59"/>
    <w:rsid w:val="76A042C4"/>
    <w:rsid w:val="76A13979"/>
    <w:rsid w:val="76A3749B"/>
    <w:rsid w:val="76AC511E"/>
    <w:rsid w:val="76B037D3"/>
    <w:rsid w:val="76B25E7B"/>
    <w:rsid w:val="76B33469"/>
    <w:rsid w:val="76B53BB5"/>
    <w:rsid w:val="76B55386"/>
    <w:rsid w:val="76BF474E"/>
    <w:rsid w:val="76C74B3C"/>
    <w:rsid w:val="76C8042A"/>
    <w:rsid w:val="76CB05F1"/>
    <w:rsid w:val="76CD29EE"/>
    <w:rsid w:val="76D06AD8"/>
    <w:rsid w:val="76D23184"/>
    <w:rsid w:val="76D67314"/>
    <w:rsid w:val="76D87AD7"/>
    <w:rsid w:val="76DA3A78"/>
    <w:rsid w:val="76E25CB9"/>
    <w:rsid w:val="76E47BF1"/>
    <w:rsid w:val="76EE475E"/>
    <w:rsid w:val="76F83EA5"/>
    <w:rsid w:val="76F95FA6"/>
    <w:rsid w:val="76FB0CBE"/>
    <w:rsid w:val="76FC06D9"/>
    <w:rsid w:val="77020629"/>
    <w:rsid w:val="77076364"/>
    <w:rsid w:val="77084B42"/>
    <w:rsid w:val="770874F5"/>
    <w:rsid w:val="770B4786"/>
    <w:rsid w:val="771C1E27"/>
    <w:rsid w:val="772043DB"/>
    <w:rsid w:val="77242ABF"/>
    <w:rsid w:val="77291478"/>
    <w:rsid w:val="772B083F"/>
    <w:rsid w:val="7740169E"/>
    <w:rsid w:val="77414FCA"/>
    <w:rsid w:val="77443CA2"/>
    <w:rsid w:val="77487BCC"/>
    <w:rsid w:val="77541BC5"/>
    <w:rsid w:val="775D01B2"/>
    <w:rsid w:val="776A0D57"/>
    <w:rsid w:val="776A53DE"/>
    <w:rsid w:val="776B3121"/>
    <w:rsid w:val="776E2D99"/>
    <w:rsid w:val="77700146"/>
    <w:rsid w:val="777267A6"/>
    <w:rsid w:val="77754A71"/>
    <w:rsid w:val="77762421"/>
    <w:rsid w:val="7776575D"/>
    <w:rsid w:val="77784B01"/>
    <w:rsid w:val="777C0DD7"/>
    <w:rsid w:val="77832A58"/>
    <w:rsid w:val="77855AEA"/>
    <w:rsid w:val="77862AE9"/>
    <w:rsid w:val="778E11F4"/>
    <w:rsid w:val="77912B68"/>
    <w:rsid w:val="77996970"/>
    <w:rsid w:val="779A1C45"/>
    <w:rsid w:val="77A153A4"/>
    <w:rsid w:val="77A26F3D"/>
    <w:rsid w:val="77A46C0A"/>
    <w:rsid w:val="77A803BF"/>
    <w:rsid w:val="77B07B65"/>
    <w:rsid w:val="77B56B1F"/>
    <w:rsid w:val="77BC1F22"/>
    <w:rsid w:val="77BD2A5C"/>
    <w:rsid w:val="77C14814"/>
    <w:rsid w:val="77C42EAB"/>
    <w:rsid w:val="77C67628"/>
    <w:rsid w:val="77C72EC9"/>
    <w:rsid w:val="77CB724D"/>
    <w:rsid w:val="77D04AD5"/>
    <w:rsid w:val="77D04F01"/>
    <w:rsid w:val="77D870BC"/>
    <w:rsid w:val="77E41C53"/>
    <w:rsid w:val="77E872FF"/>
    <w:rsid w:val="77EC39F5"/>
    <w:rsid w:val="77F0617D"/>
    <w:rsid w:val="77F4061E"/>
    <w:rsid w:val="77F50ACB"/>
    <w:rsid w:val="77F515C2"/>
    <w:rsid w:val="77F602F8"/>
    <w:rsid w:val="77FC394B"/>
    <w:rsid w:val="77FD4907"/>
    <w:rsid w:val="77FF76BB"/>
    <w:rsid w:val="78034D77"/>
    <w:rsid w:val="780D7D41"/>
    <w:rsid w:val="780E0CF0"/>
    <w:rsid w:val="780F09F4"/>
    <w:rsid w:val="781035A4"/>
    <w:rsid w:val="78105187"/>
    <w:rsid w:val="781529CB"/>
    <w:rsid w:val="781A2B08"/>
    <w:rsid w:val="781C2EF4"/>
    <w:rsid w:val="781F6250"/>
    <w:rsid w:val="782055C7"/>
    <w:rsid w:val="78222BDF"/>
    <w:rsid w:val="782D7A23"/>
    <w:rsid w:val="782E5C0B"/>
    <w:rsid w:val="78304B6E"/>
    <w:rsid w:val="78306D66"/>
    <w:rsid w:val="78313BF4"/>
    <w:rsid w:val="78334C70"/>
    <w:rsid w:val="783B0019"/>
    <w:rsid w:val="783B52BE"/>
    <w:rsid w:val="78412C69"/>
    <w:rsid w:val="7843609F"/>
    <w:rsid w:val="784C662C"/>
    <w:rsid w:val="78530DF3"/>
    <w:rsid w:val="785536DC"/>
    <w:rsid w:val="78574485"/>
    <w:rsid w:val="78577851"/>
    <w:rsid w:val="78632E2A"/>
    <w:rsid w:val="78633CFA"/>
    <w:rsid w:val="786B1485"/>
    <w:rsid w:val="78702E52"/>
    <w:rsid w:val="78746C0C"/>
    <w:rsid w:val="78754678"/>
    <w:rsid w:val="787A2794"/>
    <w:rsid w:val="787F5F0E"/>
    <w:rsid w:val="78822C85"/>
    <w:rsid w:val="788259A6"/>
    <w:rsid w:val="788750F3"/>
    <w:rsid w:val="788A134B"/>
    <w:rsid w:val="788D0E9C"/>
    <w:rsid w:val="788D7EA7"/>
    <w:rsid w:val="78915B18"/>
    <w:rsid w:val="789728D6"/>
    <w:rsid w:val="78992CEF"/>
    <w:rsid w:val="78995542"/>
    <w:rsid w:val="789F3A7A"/>
    <w:rsid w:val="78A5039F"/>
    <w:rsid w:val="78A57767"/>
    <w:rsid w:val="78A90480"/>
    <w:rsid w:val="78AF53D8"/>
    <w:rsid w:val="78B15D17"/>
    <w:rsid w:val="78BA58D9"/>
    <w:rsid w:val="78BA7BB7"/>
    <w:rsid w:val="78BB38BE"/>
    <w:rsid w:val="78BB76AC"/>
    <w:rsid w:val="78C13233"/>
    <w:rsid w:val="78C23FF4"/>
    <w:rsid w:val="78C77403"/>
    <w:rsid w:val="78C77FF5"/>
    <w:rsid w:val="78D3725B"/>
    <w:rsid w:val="78D5418E"/>
    <w:rsid w:val="78D728E5"/>
    <w:rsid w:val="78DC4459"/>
    <w:rsid w:val="78E068EC"/>
    <w:rsid w:val="78E506D6"/>
    <w:rsid w:val="78E858F8"/>
    <w:rsid w:val="78E91F95"/>
    <w:rsid w:val="78F2570F"/>
    <w:rsid w:val="78F6215E"/>
    <w:rsid w:val="78F91E55"/>
    <w:rsid w:val="79017ADD"/>
    <w:rsid w:val="79025C82"/>
    <w:rsid w:val="790D5D89"/>
    <w:rsid w:val="790F485C"/>
    <w:rsid w:val="7913404B"/>
    <w:rsid w:val="791C748D"/>
    <w:rsid w:val="791D26D8"/>
    <w:rsid w:val="7925482D"/>
    <w:rsid w:val="792F4F85"/>
    <w:rsid w:val="79326EB3"/>
    <w:rsid w:val="793A699B"/>
    <w:rsid w:val="793B68DE"/>
    <w:rsid w:val="793D1CB4"/>
    <w:rsid w:val="793D20A3"/>
    <w:rsid w:val="793F138E"/>
    <w:rsid w:val="794A286C"/>
    <w:rsid w:val="794B2436"/>
    <w:rsid w:val="7957240F"/>
    <w:rsid w:val="79666D68"/>
    <w:rsid w:val="79734F3F"/>
    <w:rsid w:val="7974197D"/>
    <w:rsid w:val="79751067"/>
    <w:rsid w:val="797F0B5B"/>
    <w:rsid w:val="79891BE0"/>
    <w:rsid w:val="798C74A9"/>
    <w:rsid w:val="798D5D3F"/>
    <w:rsid w:val="799A5998"/>
    <w:rsid w:val="79A25BD4"/>
    <w:rsid w:val="79A279F4"/>
    <w:rsid w:val="79A33085"/>
    <w:rsid w:val="79A51C5F"/>
    <w:rsid w:val="79AB79B9"/>
    <w:rsid w:val="79AE3AD0"/>
    <w:rsid w:val="79B052F4"/>
    <w:rsid w:val="79B27967"/>
    <w:rsid w:val="79B67745"/>
    <w:rsid w:val="79B701C2"/>
    <w:rsid w:val="79C66DEF"/>
    <w:rsid w:val="79CA0A38"/>
    <w:rsid w:val="79CC60C9"/>
    <w:rsid w:val="79D02741"/>
    <w:rsid w:val="79D31C3E"/>
    <w:rsid w:val="79DE1E27"/>
    <w:rsid w:val="79E5265A"/>
    <w:rsid w:val="79E816F1"/>
    <w:rsid w:val="79E86164"/>
    <w:rsid w:val="79E92405"/>
    <w:rsid w:val="79F04277"/>
    <w:rsid w:val="79F15C13"/>
    <w:rsid w:val="79F44331"/>
    <w:rsid w:val="79FE49A5"/>
    <w:rsid w:val="7A020420"/>
    <w:rsid w:val="7A024D1C"/>
    <w:rsid w:val="7A084F16"/>
    <w:rsid w:val="7A0F3061"/>
    <w:rsid w:val="7A1E0956"/>
    <w:rsid w:val="7A22423F"/>
    <w:rsid w:val="7A224EEE"/>
    <w:rsid w:val="7A252A8D"/>
    <w:rsid w:val="7A3107D2"/>
    <w:rsid w:val="7A3347F5"/>
    <w:rsid w:val="7A341909"/>
    <w:rsid w:val="7A364017"/>
    <w:rsid w:val="7A366B4D"/>
    <w:rsid w:val="7A3727C0"/>
    <w:rsid w:val="7A37631C"/>
    <w:rsid w:val="7A393A6E"/>
    <w:rsid w:val="7A3E1718"/>
    <w:rsid w:val="7A410D6F"/>
    <w:rsid w:val="7A4775C4"/>
    <w:rsid w:val="7A4C5FE8"/>
    <w:rsid w:val="7A4F1DEB"/>
    <w:rsid w:val="7A540C7C"/>
    <w:rsid w:val="7A5B3CBD"/>
    <w:rsid w:val="7A623DB5"/>
    <w:rsid w:val="7A633852"/>
    <w:rsid w:val="7A682A32"/>
    <w:rsid w:val="7A7021BC"/>
    <w:rsid w:val="7A7118B5"/>
    <w:rsid w:val="7A760EF6"/>
    <w:rsid w:val="7A76395B"/>
    <w:rsid w:val="7A7B0FFC"/>
    <w:rsid w:val="7A7B627A"/>
    <w:rsid w:val="7A8265E1"/>
    <w:rsid w:val="7A8D10E2"/>
    <w:rsid w:val="7A8F5ED1"/>
    <w:rsid w:val="7A913F68"/>
    <w:rsid w:val="7A9E7238"/>
    <w:rsid w:val="7AA1145D"/>
    <w:rsid w:val="7AA377DF"/>
    <w:rsid w:val="7AA455E8"/>
    <w:rsid w:val="7AA55430"/>
    <w:rsid w:val="7AA61279"/>
    <w:rsid w:val="7AAF2AAB"/>
    <w:rsid w:val="7AAF5E76"/>
    <w:rsid w:val="7AB872CA"/>
    <w:rsid w:val="7ABB1438"/>
    <w:rsid w:val="7ABB757E"/>
    <w:rsid w:val="7ABE693B"/>
    <w:rsid w:val="7AC159F2"/>
    <w:rsid w:val="7AC970ED"/>
    <w:rsid w:val="7ACC34D4"/>
    <w:rsid w:val="7AD157FA"/>
    <w:rsid w:val="7AD5178A"/>
    <w:rsid w:val="7ADB2BE2"/>
    <w:rsid w:val="7AE31908"/>
    <w:rsid w:val="7AE67DFC"/>
    <w:rsid w:val="7AE70262"/>
    <w:rsid w:val="7AEA4EBC"/>
    <w:rsid w:val="7AEB2BC0"/>
    <w:rsid w:val="7AEB306A"/>
    <w:rsid w:val="7AED4F43"/>
    <w:rsid w:val="7AEE3FC0"/>
    <w:rsid w:val="7AF23CA5"/>
    <w:rsid w:val="7AFB3DA0"/>
    <w:rsid w:val="7AFE6E3A"/>
    <w:rsid w:val="7B061E2A"/>
    <w:rsid w:val="7B0852CB"/>
    <w:rsid w:val="7B0C4B43"/>
    <w:rsid w:val="7B134DA5"/>
    <w:rsid w:val="7B14138A"/>
    <w:rsid w:val="7B153247"/>
    <w:rsid w:val="7B1933F0"/>
    <w:rsid w:val="7B1D4174"/>
    <w:rsid w:val="7B2311B9"/>
    <w:rsid w:val="7B2E685F"/>
    <w:rsid w:val="7B2F7E63"/>
    <w:rsid w:val="7B312851"/>
    <w:rsid w:val="7B32696E"/>
    <w:rsid w:val="7B3505EA"/>
    <w:rsid w:val="7B380021"/>
    <w:rsid w:val="7B3C5AE9"/>
    <w:rsid w:val="7B3F6659"/>
    <w:rsid w:val="7B42141C"/>
    <w:rsid w:val="7B426291"/>
    <w:rsid w:val="7B4B7DEB"/>
    <w:rsid w:val="7B4C7303"/>
    <w:rsid w:val="7B4D4123"/>
    <w:rsid w:val="7B4E05C1"/>
    <w:rsid w:val="7B4E753F"/>
    <w:rsid w:val="7B51165F"/>
    <w:rsid w:val="7B541A9B"/>
    <w:rsid w:val="7B54643D"/>
    <w:rsid w:val="7B686D42"/>
    <w:rsid w:val="7B6A7C4E"/>
    <w:rsid w:val="7B6D32E4"/>
    <w:rsid w:val="7B6F2AD0"/>
    <w:rsid w:val="7B7C1A4D"/>
    <w:rsid w:val="7B831133"/>
    <w:rsid w:val="7B8377DE"/>
    <w:rsid w:val="7B841746"/>
    <w:rsid w:val="7B865E6E"/>
    <w:rsid w:val="7B8A3807"/>
    <w:rsid w:val="7B8E28EF"/>
    <w:rsid w:val="7BA20DE7"/>
    <w:rsid w:val="7BA55C3B"/>
    <w:rsid w:val="7BA80374"/>
    <w:rsid w:val="7BAE2941"/>
    <w:rsid w:val="7BAE3211"/>
    <w:rsid w:val="7BAE3F8B"/>
    <w:rsid w:val="7BB66553"/>
    <w:rsid w:val="7BB93BB5"/>
    <w:rsid w:val="7BBD4E86"/>
    <w:rsid w:val="7BBF04DC"/>
    <w:rsid w:val="7BC178D4"/>
    <w:rsid w:val="7BC6204D"/>
    <w:rsid w:val="7BC657A0"/>
    <w:rsid w:val="7BCE0105"/>
    <w:rsid w:val="7BD227A0"/>
    <w:rsid w:val="7BD42C39"/>
    <w:rsid w:val="7BD5566F"/>
    <w:rsid w:val="7BD62E62"/>
    <w:rsid w:val="7BD80882"/>
    <w:rsid w:val="7BDA78A7"/>
    <w:rsid w:val="7BE313FF"/>
    <w:rsid w:val="7BE64859"/>
    <w:rsid w:val="7BEA0DAF"/>
    <w:rsid w:val="7BEE5100"/>
    <w:rsid w:val="7BEF37D7"/>
    <w:rsid w:val="7BF26BC3"/>
    <w:rsid w:val="7BF5023D"/>
    <w:rsid w:val="7BF664BA"/>
    <w:rsid w:val="7BFB15A1"/>
    <w:rsid w:val="7BFC3105"/>
    <w:rsid w:val="7BFC5A6F"/>
    <w:rsid w:val="7BFD4F61"/>
    <w:rsid w:val="7C003530"/>
    <w:rsid w:val="7C012D11"/>
    <w:rsid w:val="7C0526B8"/>
    <w:rsid w:val="7C0B1B77"/>
    <w:rsid w:val="7C1007CE"/>
    <w:rsid w:val="7C135A31"/>
    <w:rsid w:val="7C1B40A2"/>
    <w:rsid w:val="7C203ED7"/>
    <w:rsid w:val="7C2149CA"/>
    <w:rsid w:val="7C285F42"/>
    <w:rsid w:val="7C295E2D"/>
    <w:rsid w:val="7C2B091F"/>
    <w:rsid w:val="7C2D6F76"/>
    <w:rsid w:val="7C2E377B"/>
    <w:rsid w:val="7C300578"/>
    <w:rsid w:val="7C325380"/>
    <w:rsid w:val="7C330F03"/>
    <w:rsid w:val="7C340D9D"/>
    <w:rsid w:val="7C356D43"/>
    <w:rsid w:val="7C3A72AC"/>
    <w:rsid w:val="7C3B7F06"/>
    <w:rsid w:val="7C3C479C"/>
    <w:rsid w:val="7C4E28B2"/>
    <w:rsid w:val="7C510EC0"/>
    <w:rsid w:val="7C534B24"/>
    <w:rsid w:val="7C5807CC"/>
    <w:rsid w:val="7C656439"/>
    <w:rsid w:val="7C6C5AC7"/>
    <w:rsid w:val="7C6D57A1"/>
    <w:rsid w:val="7C730FD3"/>
    <w:rsid w:val="7C747595"/>
    <w:rsid w:val="7C7B0924"/>
    <w:rsid w:val="7C7B135B"/>
    <w:rsid w:val="7C7C6FF4"/>
    <w:rsid w:val="7C816A4F"/>
    <w:rsid w:val="7C816F1A"/>
    <w:rsid w:val="7C8C5107"/>
    <w:rsid w:val="7C8D4D01"/>
    <w:rsid w:val="7C912864"/>
    <w:rsid w:val="7C915598"/>
    <w:rsid w:val="7C9550C6"/>
    <w:rsid w:val="7C96571F"/>
    <w:rsid w:val="7C9E122C"/>
    <w:rsid w:val="7CA04DA9"/>
    <w:rsid w:val="7CA316D4"/>
    <w:rsid w:val="7CA73244"/>
    <w:rsid w:val="7CAF5E31"/>
    <w:rsid w:val="7CB4654F"/>
    <w:rsid w:val="7CC34DD2"/>
    <w:rsid w:val="7CC51642"/>
    <w:rsid w:val="7CC6544B"/>
    <w:rsid w:val="7CC86C1D"/>
    <w:rsid w:val="7CCB494A"/>
    <w:rsid w:val="7CCD2078"/>
    <w:rsid w:val="7CD05EDE"/>
    <w:rsid w:val="7CD64443"/>
    <w:rsid w:val="7CE54755"/>
    <w:rsid w:val="7CE9046C"/>
    <w:rsid w:val="7CEF09E5"/>
    <w:rsid w:val="7CF35EEB"/>
    <w:rsid w:val="7CF36423"/>
    <w:rsid w:val="7CF442A0"/>
    <w:rsid w:val="7D0239FF"/>
    <w:rsid w:val="7D080E57"/>
    <w:rsid w:val="7D0A522F"/>
    <w:rsid w:val="7D0F57A0"/>
    <w:rsid w:val="7D1566CC"/>
    <w:rsid w:val="7D226FA0"/>
    <w:rsid w:val="7D292894"/>
    <w:rsid w:val="7D295CFB"/>
    <w:rsid w:val="7D2A7970"/>
    <w:rsid w:val="7D2E6CD1"/>
    <w:rsid w:val="7D356C6D"/>
    <w:rsid w:val="7D3F2497"/>
    <w:rsid w:val="7D420B46"/>
    <w:rsid w:val="7D425704"/>
    <w:rsid w:val="7D474B14"/>
    <w:rsid w:val="7D5157F4"/>
    <w:rsid w:val="7D592786"/>
    <w:rsid w:val="7D5E1E12"/>
    <w:rsid w:val="7D5E40CD"/>
    <w:rsid w:val="7D5E4AE0"/>
    <w:rsid w:val="7D5F1693"/>
    <w:rsid w:val="7D607E29"/>
    <w:rsid w:val="7D6149A9"/>
    <w:rsid w:val="7D657825"/>
    <w:rsid w:val="7D667A6E"/>
    <w:rsid w:val="7D6E5332"/>
    <w:rsid w:val="7D6E5CA7"/>
    <w:rsid w:val="7D6F2236"/>
    <w:rsid w:val="7D724B3A"/>
    <w:rsid w:val="7D7736EB"/>
    <w:rsid w:val="7D7F37B5"/>
    <w:rsid w:val="7D8212EB"/>
    <w:rsid w:val="7D852ABA"/>
    <w:rsid w:val="7D8A0C9E"/>
    <w:rsid w:val="7D8D47D5"/>
    <w:rsid w:val="7D8E4EAF"/>
    <w:rsid w:val="7D9A0E46"/>
    <w:rsid w:val="7D9C6C8E"/>
    <w:rsid w:val="7DA60448"/>
    <w:rsid w:val="7DA62504"/>
    <w:rsid w:val="7DA81C34"/>
    <w:rsid w:val="7DA924C1"/>
    <w:rsid w:val="7DB264F5"/>
    <w:rsid w:val="7DB37EF7"/>
    <w:rsid w:val="7DB50AB9"/>
    <w:rsid w:val="7DB9444A"/>
    <w:rsid w:val="7DBD5411"/>
    <w:rsid w:val="7DBE187F"/>
    <w:rsid w:val="7DBE3D05"/>
    <w:rsid w:val="7DC25B1A"/>
    <w:rsid w:val="7DC95D22"/>
    <w:rsid w:val="7DCD56F2"/>
    <w:rsid w:val="7DD37DFE"/>
    <w:rsid w:val="7DDC4980"/>
    <w:rsid w:val="7DDE2FF4"/>
    <w:rsid w:val="7DE978F1"/>
    <w:rsid w:val="7DED6273"/>
    <w:rsid w:val="7DEE127D"/>
    <w:rsid w:val="7DF22C25"/>
    <w:rsid w:val="7DFB1926"/>
    <w:rsid w:val="7E0253E1"/>
    <w:rsid w:val="7E0255E1"/>
    <w:rsid w:val="7E041B23"/>
    <w:rsid w:val="7E066B17"/>
    <w:rsid w:val="7E0D2BA6"/>
    <w:rsid w:val="7E1040B2"/>
    <w:rsid w:val="7E127DC9"/>
    <w:rsid w:val="7E1E5D49"/>
    <w:rsid w:val="7E1E637D"/>
    <w:rsid w:val="7E1F6A77"/>
    <w:rsid w:val="7E265C6F"/>
    <w:rsid w:val="7E3641FA"/>
    <w:rsid w:val="7E382407"/>
    <w:rsid w:val="7E3B3B9A"/>
    <w:rsid w:val="7E3C4D43"/>
    <w:rsid w:val="7E436B2C"/>
    <w:rsid w:val="7E45601C"/>
    <w:rsid w:val="7E461224"/>
    <w:rsid w:val="7E4B7138"/>
    <w:rsid w:val="7E530BD2"/>
    <w:rsid w:val="7E632B6C"/>
    <w:rsid w:val="7E661277"/>
    <w:rsid w:val="7E6A5FD9"/>
    <w:rsid w:val="7E6E2683"/>
    <w:rsid w:val="7E7126D4"/>
    <w:rsid w:val="7E747BB1"/>
    <w:rsid w:val="7E760FA1"/>
    <w:rsid w:val="7E7767BA"/>
    <w:rsid w:val="7E7801E5"/>
    <w:rsid w:val="7E797F46"/>
    <w:rsid w:val="7E8147E1"/>
    <w:rsid w:val="7E8173CA"/>
    <w:rsid w:val="7E835FD4"/>
    <w:rsid w:val="7E863D5B"/>
    <w:rsid w:val="7E8A106E"/>
    <w:rsid w:val="7E8B0A29"/>
    <w:rsid w:val="7E8F66F6"/>
    <w:rsid w:val="7E924469"/>
    <w:rsid w:val="7E935188"/>
    <w:rsid w:val="7E94162E"/>
    <w:rsid w:val="7E974795"/>
    <w:rsid w:val="7E9D25B5"/>
    <w:rsid w:val="7EA41C96"/>
    <w:rsid w:val="7EA433CF"/>
    <w:rsid w:val="7EA54DF6"/>
    <w:rsid w:val="7EA808BB"/>
    <w:rsid w:val="7EAB2A0B"/>
    <w:rsid w:val="7EAC48C4"/>
    <w:rsid w:val="7EBE1BFD"/>
    <w:rsid w:val="7EBF2EF6"/>
    <w:rsid w:val="7EC24EB9"/>
    <w:rsid w:val="7EC957C0"/>
    <w:rsid w:val="7ED03398"/>
    <w:rsid w:val="7ED66B24"/>
    <w:rsid w:val="7ED83BF1"/>
    <w:rsid w:val="7EDA6C34"/>
    <w:rsid w:val="7EE03B19"/>
    <w:rsid w:val="7EE22605"/>
    <w:rsid w:val="7EE27202"/>
    <w:rsid w:val="7EE46AA6"/>
    <w:rsid w:val="7EE55250"/>
    <w:rsid w:val="7EE71E5E"/>
    <w:rsid w:val="7EE85F28"/>
    <w:rsid w:val="7EEB79E8"/>
    <w:rsid w:val="7EEC1B71"/>
    <w:rsid w:val="7EEC2E25"/>
    <w:rsid w:val="7EED7296"/>
    <w:rsid w:val="7F001CE7"/>
    <w:rsid w:val="7F00639B"/>
    <w:rsid w:val="7F02038B"/>
    <w:rsid w:val="7F0236C9"/>
    <w:rsid w:val="7F072972"/>
    <w:rsid w:val="7F083AEC"/>
    <w:rsid w:val="7F141322"/>
    <w:rsid w:val="7F155E96"/>
    <w:rsid w:val="7F185355"/>
    <w:rsid w:val="7F1D3449"/>
    <w:rsid w:val="7F2201DA"/>
    <w:rsid w:val="7F22181A"/>
    <w:rsid w:val="7F253B74"/>
    <w:rsid w:val="7F256F5F"/>
    <w:rsid w:val="7F265558"/>
    <w:rsid w:val="7F30717B"/>
    <w:rsid w:val="7F313615"/>
    <w:rsid w:val="7F3A4901"/>
    <w:rsid w:val="7F3D1F10"/>
    <w:rsid w:val="7F3D3B64"/>
    <w:rsid w:val="7F441A33"/>
    <w:rsid w:val="7F4644E9"/>
    <w:rsid w:val="7F4F4108"/>
    <w:rsid w:val="7F510723"/>
    <w:rsid w:val="7F563359"/>
    <w:rsid w:val="7F5C11A2"/>
    <w:rsid w:val="7F5D3C12"/>
    <w:rsid w:val="7F620D42"/>
    <w:rsid w:val="7F666490"/>
    <w:rsid w:val="7F6701AC"/>
    <w:rsid w:val="7F6846AF"/>
    <w:rsid w:val="7F691473"/>
    <w:rsid w:val="7F6A5B33"/>
    <w:rsid w:val="7F6B658E"/>
    <w:rsid w:val="7F6C6A68"/>
    <w:rsid w:val="7F74590B"/>
    <w:rsid w:val="7F7A3897"/>
    <w:rsid w:val="7F7A638B"/>
    <w:rsid w:val="7F810B04"/>
    <w:rsid w:val="7F825DDA"/>
    <w:rsid w:val="7F92108D"/>
    <w:rsid w:val="7F9E0398"/>
    <w:rsid w:val="7F9F6708"/>
    <w:rsid w:val="7FA02BB5"/>
    <w:rsid w:val="7FA34850"/>
    <w:rsid w:val="7FA42F04"/>
    <w:rsid w:val="7FA51388"/>
    <w:rsid w:val="7FA83875"/>
    <w:rsid w:val="7FAC0508"/>
    <w:rsid w:val="7FAD431B"/>
    <w:rsid w:val="7FB516B3"/>
    <w:rsid w:val="7FB875D9"/>
    <w:rsid w:val="7FBA28ED"/>
    <w:rsid w:val="7FBB1BD1"/>
    <w:rsid w:val="7FBB22C9"/>
    <w:rsid w:val="7FC01828"/>
    <w:rsid w:val="7FC479C0"/>
    <w:rsid w:val="7FC55FEB"/>
    <w:rsid w:val="7FC73204"/>
    <w:rsid w:val="7FC87BF2"/>
    <w:rsid w:val="7FC96514"/>
    <w:rsid w:val="7FCF5F39"/>
    <w:rsid w:val="7FD127FF"/>
    <w:rsid w:val="7FD4460D"/>
    <w:rsid w:val="7FD47C81"/>
    <w:rsid w:val="7FD60385"/>
    <w:rsid w:val="7FD8389E"/>
    <w:rsid w:val="7FD84174"/>
    <w:rsid w:val="7FDA1B30"/>
    <w:rsid w:val="7FDE6FFC"/>
    <w:rsid w:val="7FDF6BD9"/>
    <w:rsid w:val="7FE35ACE"/>
    <w:rsid w:val="7FE47E50"/>
    <w:rsid w:val="7FE923DA"/>
    <w:rsid w:val="7FE94C3B"/>
    <w:rsid w:val="7FEF5503"/>
    <w:rsid w:val="7FF36624"/>
    <w:rsid w:val="7FF47630"/>
    <w:rsid w:val="7FF506C9"/>
    <w:rsid w:val="7FFA22C6"/>
    <w:rsid w:val="7FFA7CF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nhideWhenUsed="0" w:uiPriority="0" w:semiHidden="0" w:name="heading 2" w:locked="1"/>
    <w:lsdException w:qFormat="1" w:unhideWhenUsed="0" w:uiPriority="0" w:semiHidden="0" w:name="heading 3" w:locked="1"/>
    <w:lsdException w:qFormat="1" w:unhideWhenUsed="0" w:uiPriority="0" w:semiHidden="0" w:name="heading 4" w:locked="1"/>
    <w:lsdException w:qFormat="1" w:unhideWhenUsed="0" w:uiPriority="0" w:semiHidden="0" w:name="heading 5" w:locked="1"/>
    <w:lsdException w:qFormat="1" w:unhideWhenUsed="0" w:uiPriority="0" w:semiHidden="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ocked="1"/>
    <w:lsdException w:unhideWhenUsed="0" w:uiPriority="0" w:semiHidden="0" w:name="index 2" w:locked="1"/>
    <w:lsdException w:unhideWhenUsed="0" w:uiPriority="0" w:semiHidden="0" w:name="index 3" w:locked="1"/>
    <w:lsdException w:unhideWhenUsed="0" w:uiPriority="0" w:semiHidden="0" w:name="index 4" w:locked="1"/>
    <w:lsdException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ocked="1"/>
    <w:lsdException w:unhideWhenUsed="0" w:uiPriority="0" w:semiHidden="0" w:name="footnote text" w:locked="1"/>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ocked="1"/>
    <w:lsdException w:qFormat="1" w:uiPriority="0" w:name="caption" w:locked="1"/>
    <w:lsdException w:unhideWhenUsed="0" w:uiPriority="0" w:semiHidden="0" w:name="table of figures" w:locked="1"/>
    <w:lsdException w:unhideWhenUsed="0" w:uiPriority="0" w:semiHidden="0" w:name="envelope address" w:locked="1"/>
    <w:lsdException w:unhideWhenUsed="0" w:uiPriority="0" w:semiHidden="0" w:name="envelope return" w:locked="1"/>
    <w:lsdException w:unhideWhenUsed="0" w:uiPriority="0" w:semiHidden="0" w:name="footnote reference" w:locked="1"/>
    <w:lsdException w:qFormat="1" w:unhideWhenUsed="0" w:uiPriority="0" w:semiHidden="0" w:name="annotation reference"/>
    <w:lsdException w:unhideWhenUsed="0" w:uiPriority="0" w:semiHidden="0" w:name="line number" w:locked="1"/>
    <w:lsdException w:qFormat="1" w:unhideWhenUsed="0" w:uiPriority="0" w:semiHidden="0" w:name="page number" w:locked="1"/>
    <w:lsdException w:unhideWhenUsed="0" w:uiPriority="0" w:semiHidden="0" w:name="endnote reference" w:locked="1"/>
    <w:lsdException w:unhideWhenUsed="0" w:uiPriority="0" w:semiHidden="0" w:name="endnote text" w:locked="1"/>
    <w:lsdException w:unhideWhenUsed="0" w:uiPriority="0" w:semiHidden="0" w:name="table of authorities" w:locked="1"/>
    <w:lsdException w:unhideWhenUsed="0" w:uiPriority="0" w:semiHidden="0" w:name="macro" w:locked="1"/>
    <w:lsdException w:unhideWhenUsed="0" w:uiPriority="0" w:semiHidden="0" w:name="toa heading" w:locked="1"/>
    <w:lsdException w:unhideWhenUsed="0" w:uiPriority="0" w:semiHidden="0" w:name="List" w:locked="1"/>
    <w:lsdException w:unhideWhenUsed="0" w:uiPriority="0" w:semiHidden="0" w:name="List Bullet" w:locked="1"/>
    <w:lsdException w:unhideWhenUsed="0" w:uiPriority="0" w:semiHidden="0" w:name="List Number" w:locked="1"/>
    <w:lsdException w:unhideWhenUsed="0" w:uiPriority="0" w:semiHidden="0" w:name="List 2" w:locked="1"/>
    <w:lsdException w:unhideWhenUsed="0" w:uiPriority="0" w:semiHidden="0" w:name="List 3" w:locked="1"/>
    <w:lsdException w:unhideWhenUsed="0" w:uiPriority="0" w:semiHidden="0" w:name="List 4" w:locked="1"/>
    <w:lsdException w:unhideWhenUsed="0" w:uiPriority="0" w:semiHidden="0" w:name="List 5" w:locked="1"/>
    <w:lsdException w:unhideWhenUsed="0" w:uiPriority="0" w:semiHidden="0" w:name="List Bullet 2" w:locked="1"/>
    <w:lsdException w:unhideWhenUsed="0" w:uiPriority="0" w:semiHidden="0" w:name="List Bullet 3" w:locked="1"/>
    <w:lsdException w:unhideWhenUsed="0" w:uiPriority="0" w:semiHidden="0" w:name="List Bullet 4" w:locked="1"/>
    <w:lsdException w:unhideWhenUsed="0" w:uiPriority="0" w:semiHidden="0" w:name="List Bullet 5" w:locked="1"/>
    <w:lsdException w:unhideWhenUsed="0" w:uiPriority="0" w:semiHidden="0" w:name="List Number 2" w:locked="1"/>
    <w:lsdException w:unhideWhenUsed="0" w:uiPriority="0" w:semiHidden="0" w:name="List Number 3" w:locked="1"/>
    <w:lsdException w:unhideWhenUsed="0" w:uiPriority="0" w:semiHidden="0" w:name="List Number 4" w:locked="1"/>
    <w:lsdException w:unhideWhenUsed="0" w:uiPriority="0" w:semiHidden="0" w:name="List Number 5" w:locked="1"/>
    <w:lsdException w:qFormat="1" w:unhideWhenUsed="0" w:uiPriority="10" w:semiHidden="0" w:name="Title" w:locked="1"/>
    <w:lsdException w:unhideWhenUsed="0" w:uiPriority="0" w:semiHidden="0" w:name="Closing" w:locked="1"/>
    <w:lsdException w:unhideWhenUsed="0" w:uiPriority="0" w:semiHidden="0" w:name="Signature" w:locked="1"/>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unhideWhenUsed="0" w:uiPriority="0" w:semiHidden="0" w:name="Message Header" w:locked="1"/>
    <w:lsdException w:qFormat="1" w:unhideWhenUsed="0" w:uiPriority="0" w:semiHidden="0" w:name="Subtitle" w:locked="1"/>
    <w:lsdException w:unhideWhenUsed="0" w:uiPriority="0" w:semiHidden="0" w:name="Salutation" w:locked="1"/>
    <w:lsdException w:qFormat="1" w:unhideWhenUsed="0" w:uiPriority="0" w:semiHidden="0" w:name="Date"/>
    <w:lsdException w:qFormat="1" w:unhideWhenUsed="0" w:uiPriority="0" w:semiHidden="0" w:name="Body Text First Indent" w:locked="1"/>
    <w:lsdException w:qFormat="1" w:uiPriority="99" w:semiHidden="0" w:name="Body Text First Indent 2" w:locked="1"/>
    <w:lsdException w:unhideWhenUsed="0" w:uiPriority="0" w:semiHidden="0" w:name="Note Heading" w:locked="1"/>
    <w:lsdException w:unhideWhenUsed="0" w:uiPriority="0" w:semiHidden="0" w:name="Body Text 2" w:locked="1"/>
    <w:lsdException w:unhideWhenUsed="0" w:uiPriority="0" w:semiHidden="0" w:name="Body Text 3" w:locked="1"/>
    <w:lsdException w:qFormat="1" w:unhideWhenUsed="0" w:uiPriority="0" w:semiHidden="0" w:name="Body Text Indent 2" w:locked="1"/>
    <w:lsdException w:unhideWhenUsed="0" w:uiPriority="0" w:semiHidden="0" w:name="Body Text Indent 3" w:locked="1"/>
    <w:lsdException w:unhideWhenUsed="0" w:uiPriority="0" w:semiHidden="0" w:name="Block Text" w:locked="1"/>
    <w:lsdException w:qFormat="1" w:unhideWhenUsed="0" w:uiPriority="0" w:semiHidden="0" w:name="Hyperlink" w:locked="1"/>
    <w:lsdException w:unhideWhenUsed="0" w:uiPriority="0" w:semiHidden="0" w:name="FollowedHyperlink" w:locked="1"/>
    <w:lsdException w:qFormat="1" w:unhideWhenUsed="0" w:uiPriority="0" w:semiHidden="0" w:name="Strong" w:locked="1"/>
    <w:lsdException w:qFormat="1" w:unhideWhenUsed="0" w:uiPriority="0" w:semiHidden="0" w:name="Emphasis" w:locked="1"/>
    <w:lsdException w:qFormat="1" w:unhideWhenUsed="0" w:uiPriority="0" w:semiHidden="0" w:name="Document Map" w:locked="1"/>
    <w:lsdException w:qFormat="1" w:unhideWhenUsed="0" w:uiPriority="99" w:semiHidden="0" w:name="Plain Text" w:locked="1"/>
    <w:lsdException w:unhideWhenUsed="0" w:uiPriority="0" w:semiHidden="0" w:name="E-mail Signature" w:locked="1"/>
    <w:lsdException w:qFormat="1" w:unhideWhenUsed="0" w:uiPriority="0" w:semiHidden="0" w:name="Normal (Web)"/>
    <w:lsdException w:unhideWhenUsed="0" w:uiPriority="0" w:semiHidden="0" w:name="HTML Acronym" w:locked="1"/>
    <w:lsdException w:unhideWhenUsed="0" w:uiPriority="0" w:semiHidden="0" w:name="HTML Address" w:locked="1"/>
    <w:lsdException w:unhideWhenUsed="0" w:uiPriority="0" w:semiHidden="0" w:name="HTML Cite" w:locked="1"/>
    <w:lsdException w:unhideWhenUsed="0" w:uiPriority="0" w:semiHidden="0" w:name="HTML Code" w:locked="1"/>
    <w:lsdException w:unhideWhenUsed="0" w:uiPriority="0" w:semiHidden="0" w:name="HTML Definition" w:locked="1"/>
    <w:lsdException w:unhideWhenUsed="0" w:uiPriority="0" w:semiHidden="0" w:name="HTML Keyboard" w:locked="1"/>
    <w:lsdException w:unhideWhenUsed="0" w:uiPriority="0" w:semiHidden="0" w:name="HTML Preformatted" w:locked="1"/>
    <w:lsdException w:unhideWhenUsed="0" w:uiPriority="0" w:semiHidden="0" w:name="HTML Sample" w:locked="1"/>
    <w:lsdException w:unhideWhenUsed="0" w:uiPriority="0" w:semiHidden="0" w:name="HTML Typewriter" w:locked="1"/>
    <w:lsdException w:unhideWhenUsed="0" w:uiPriority="0" w:semiHidden="0" w:name="HTML Variable" w:locked="1"/>
    <w:lsdException w:qFormat="1" w:unhideWhenUsed="0" w:uiPriority="0" w:name="Normal Table"/>
    <w:lsdException w:qFormat="1" w:unhideWhenUsed="0" w:uiPriority="0" w:name="annotation subject"/>
    <w:lsdException w:unhideWhenUsed="0" w:uiPriority="0" w:semiHidden="0" w:name="Table Simple 1" w:locked="1"/>
    <w:lsdException w:unhideWhenUsed="0" w:uiPriority="0" w:semiHidden="0" w:name="Table Simple 2" w:locked="1"/>
    <w:lsdException w:unhideWhenUsed="0" w:uiPriority="0" w:semiHidden="0" w:name="Table Simple 3" w:locked="1"/>
    <w:lsdException w:unhideWhenUsed="0" w:uiPriority="0" w:semiHidden="0" w:name="Table Classic 1" w:locked="1"/>
    <w:lsdException w:unhideWhenUsed="0" w:uiPriority="0" w:semiHidden="0" w:name="Table Classic 2" w:locked="1"/>
    <w:lsdException w:unhideWhenUsed="0" w:uiPriority="0" w:semiHidden="0" w:name="Table Classic 3" w:locked="1"/>
    <w:lsdException w:unhideWhenUsed="0" w:uiPriority="0" w:semiHidden="0" w:name="Table Classic 4" w:locked="1"/>
    <w:lsdException w:unhideWhenUsed="0" w:uiPriority="0" w:semiHidden="0" w:name="Table Colorful 1" w:locked="1"/>
    <w:lsdException w:unhideWhenUsed="0" w:uiPriority="0" w:semiHidden="0" w:name="Table Colorful 2" w:locked="1"/>
    <w:lsdException w:unhideWhenUsed="0" w:uiPriority="0" w:semiHidden="0" w:name="Table Colorful 3" w:locked="1"/>
    <w:lsdException w:unhideWhenUsed="0" w:uiPriority="0" w:semiHidden="0" w:name="Table Columns 1" w:locked="1"/>
    <w:lsdException w:unhideWhenUsed="0" w:uiPriority="0" w:semiHidden="0" w:name="Table Columns 2" w:locked="1"/>
    <w:lsdException w:unhideWhenUsed="0" w:uiPriority="0" w:semiHidden="0" w:name="Table Columns 3" w:locked="1"/>
    <w:lsdException w:unhideWhenUsed="0" w:uiPriority="0" w:semiHidden="0" w:name="Table Columns 4" w:locked="1"/>
    <w:lsdException w:unhideWhenUsed="0" w:uiPriority="0" w:semiHidden="0" w:name="Table Columns 5" w:locked="1"/>
    <w:lsdException w:unhideWhenUsed="0" w:uiPriority="0" w:semiHidden="0" w:name="Table Grid 1" w:locked="1"/>
    <w:lsdException w:unhideWhenUsed="0" w:uiPriority="0" w:semiHidden="0" w:name="Table Grid 2" w:locked="1"/>
    <w:lsdException w:unhideWhenUsed="0" w:uiPriority="0" w:semiHidden="0" w:name="Table Grid 3" w:locked="1"/>
    <w:lsdException w:unhideWhenUsed="0" w:uiPriority="0" w:semiHidden="0" w:name="Table Grid 4" w:locked="1"/>
    <w:lsdException w:unhideWhenUsed="0" w:uiPriority="0" w:semiHidden="0" w:name="Table Grid 5" w:locked="1"/>
    <w:lsdException w:unhideWhenUsed="0" w:uiPriority="0" w:semiHidden="0" w:name="Table Grid 6" w:locked="1"/>
    <w:lsdException w:unhideWhenUsed="0" w:uiPriority="0" w:semiHidden="0" w:name="Table Grid 7" w:locked="1"/>
    <w:lsdException w:unhideWhenUsed="0" w:uiPriority="0" w:semiHidden="0" w:name="Table Grid 8" w:locked="1"/>
    <w:lsdException w:unhideWhenUsed="0" w:uiPriority="0" w:semiHidden="0" w:name="Table List 1" w:locked="1"/>
    <w:lsdException w:unhideWhenUsed="0" w:uiPriority="0" w:semiHidden="0" w:name="Table List 2" w:locked="1"/>
    <w:lsdException w:unhideWhenUsed="0" w:uiPriority="0" w:semiHidden="0" w:name="Table List 3" w:locked="1"/>
    <w:lsdException w:unhideWhenUsed="0" w:uiPriority="0" w:semiHidden="0" w:name="Table List 4" w:locked="1"/>
    <w:lsdException w:unhideWhenUsed="0" w:uiPriority="0" w:semiHidden="0" w:name="Table List 5" w:locked="1"/>
    <w:lsdException w:unhideWhenUsed="0" w:uiPriority="0" w:semiHidden="0" w:name="Table List 6" w:locked="1"/>
    <w:lsdException w:unhideWhenUsed="0" w:uiPriority="0" w:semiHidden="0" w:name="Table List 7" w:locked="1"/>
    <w:lsdException w:unhideWhenUsed="0" w:uiPriority="0" w:semiHidden="0" w:name="Table List 8" w:locked="1"/>
    <w:lsdException w:unhideWhenUsed="0" w:uiPriority="0" w:semiHidden="0" w:name="Table 3D effects 1" w:locked="1"/>
    <w:lsdException w:unhideWhenUsed="0" w:uiPriority="0" w:semiHidden="0" w:name="Table 3D effects 2" w:locked="1"/>
    <w:lsdException w:unhideWhenUsed="0" w:uiPriority="0" w:semiHidden="0" w:name="Table 3D effects 3" w:locked="1"/>
    <w:lsdException w:unhideWhenUsed="0" w:uiPriority="0" w:semiHidden="0" w:name="Table Contemporary" w:locked="1"/>
    <w:lsdException w:unhideWhenUsed="0" w:uiPriority="0" w:semiHidden="0" w:name="Table Elegant" w:locked="1"/>
    <w:lsdException w:unhideWhenUsed="0" w:uiPriority="0" w:semiHidden="0" w:name="Table Professional" w:locked="1"/>
    <w:lsdException w:unhideWhenUsed="0" w:uiPriority="0" w:semiHidden="0" w:name="Table Subtle 1" w:locked="1"/>
    <w:lsdException w:unhideWhenUsed="0" w:uiPriority="0" w:semiHidden="0" w:name="Table Subtle 2" w:locked="1"/>
    <w:lsdException w:unhideWhenUsed="0" w:uiPriority="0" w:semiHidden="0" w:name="Table Web 1" w:locked="1"/>
    <w:lsdException w:unhideWhenUsed="0" w:uiPriority="0" w:semiHidden="0" w:name="Table Web 2" w:locked="1"/>
    <w:lsdException w:unhideWhenUsed="0" w:uiPriority="0" w:semiHidden="0" w:name="Table Web 3" w:locked="1"/>
    <w:lsdException w:qFormat="1" w:unhideWhenUsed="0" w:uiPriority="0" w:name="Balloon Text"/>
    <w:lsdException w:qFormat="1" w:unhideWhenUsed="0" w:uiPriority="0" w:semiHidden="0" w:name="Table Grid"/>
    <w:lsdException w:unhideWhenUsed="0" w:uiPriority="0" w:semiHidden="0" w:name="Table Theme" w:locked="1"/>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locked/>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3">
    <w:name w:val="heading 2"/>
    <w:basedOn w:val="1"/>
    <w:next w:val="1"/>
    <w:qFormat/>
    <w:locked/>
    <w:uiPriority w:val="0"/>
    <w:pPr>
      <w:outlineLvl w:val="1"/>
    </w:pPr>
    <w:rPr>
      <w:b/>
      <w:bCs/>
      <w:sz w:val="28"/>
      <w:szCs w:val="32"/>
    </w:rPr>
  </w:style>
  <w:style w:type="paragraph" w:styleId="4">
    <w:name w:val="heading 3"/>
    <w:basedOn w:val="3"/>
    <w:next w:val="1"/>
    <w:link w:val="33"/>
    <w:qFormat/>
    <w:locked/>
    <w:uiPriority w:val="0"/>
    <w:pPr>
      <w:keepNext/>
      <w:keepLines/>
      <w:spacing w:before="260" w:after="260" w:line="416" w:lineRule="auto"/>
      <w:outlineLvl w:val="2"/>
    </w:pPr>
    <w:rPr>
      <w:b w:val="0"/>
      <w:bCs w:val="0"/>
      <w:sz w:val="32"/>
      <w:szCs w:val="32"/>
    </w:rPr>
  </w:style>
  <w:style w:type="paragraph" w:styleId="5">
    <w:name w:val="heading 4"/>
    <w:basedOn w:val="1"/>
    <w:next w:val="1"/>
    <w:link w:val="34"/>
    <w:qFormat/>
    <w:locked/>
    <w:uiPriority w:val="0"/>
    <w:pPr>
      <w:keepNext/>
      <w:keepLines/>
      <w:spacing w:before="280" w:after="290" w:line="376" w:lineRule="auto"/>
      <w:outlineLvl w:val="3"/>
    </w:pPr>
    <w:rPr>
      <w:rFonts w:ascii="Cambria" w:hAnsi="Cambria" w:eastAsia="宋体" w:cs="Times New Roman"/>
      <w:b/>
      <w:bCs/>
      <w:sz w:val="28"/>
      <w:szCs w:val="28"/>
    </w:rPr>
  </w:style>
  <w:style w:type="paragraph" w:styleId="6">
    <w:name w:val="heading 5"/>
    <w:basedOn w:val="1"/>
    <w:next w:val="1"/>
    <w:qFormat/>
    <w:locked/>
    <w:uiPriority w:val="0"/>
    <w:pPr>
      <w:keepNext/>
      <w:keepLines/>
      <w:numPr>
        <w:ilvl w:val="4"/>
        <w:numId w:val="1"/>
      </w:numPr>
      <w:spacing w:line="240" w:lineRule="auto"/>
      <w:ind w:left="0" w:firstLine="402" w:firstLineChars="0"/>
      <w:jc w:val="center"/>
      <w:outlineLvl w:val="4"/>
    </w:pPr>
    <w:rPr>
      <w:rFonts w:cs="Times New Roman"/>
      <w:b/>
      <w:kern w:val="0"/>
      <w:sz w:val="21"/>
      <w:szCs w:val="20"/>
    </w:rPr>
  </w:style>
  <w:style w:type="paragraph" w:styleId="7">
    <w:name w:val="heading 6"/>
    <w:basedOn w:val="1"/>
    <w:next w:val="1"/>
    <w:qFormat/>
    <w:locked/>
    <w:uiPriority w:val="0"/>
    <w:pPr>
      <w:keepNext/>
      <w:keepLines/>
      <w:numPr>
        <w:ilvl w:val="5"/>
        <w:numId w:val="1"/>
      </w:numPr>
      <w:tabs>
        <w:tab w:val="left" w:pos="0"/>
      </w:tabs>
      <w:spacing w:line="240" w:lineRule="auto"/>
      <w:ind w:left="0" w:firstLine="0" w:firstLineChars="0"/>
      <w:jc w:val="center"/>
      <w:outlineLvl w:val="5"/>
    </w:pPr>
    <w:rPr>
      <w:rFonts w:cs="Times New Roman"/>
      <w:b/>
      <w:kern w:val="0"/>
      <w:sz w:val="21"/>
      <w:szCs w:val="20"/>
    </w:rPr>
  </w:style>
  <w:style w:type="character" w:default="1" w:styleId="26">
    <w:name w:val="Default Paragraph Font"/>
    <w:semiHidden/>
    <w:qFormat/>
    <w:uiPriority w:val="0"/>
  </w:style>
  <w:style w:type="table" w:default="1" w:styleId="24">
    <w:name w:val="Normal Table"/>
    <w:semiHidden/>
    <w:qFormat/>
    <w:uiPriority w:val="0"/>
    <w:tblPr>
      <w:tblCellMar>
        <w:top w:w="0" w:type="dxa"/>
        <w:left w:w="108" w:type="dxa"/>
        <w:bottom w:w="0" w:type="dxa"/>
        <w:right w:w="108" w:type="dxa"/>
      </w:tblCellMar>
    </w:tblPr>
  </w:style>
  <w:style w:type="paragraph" w:styleId="8">
    <w:name w:val="Normal Indent"/>
    <w:basedOn w:val="1"/>
    <w:next w:val="9"/>
    <w:link w:val="32"/>
    <w:qFormat/>
    <w:locked/>
    <w:uiPriority w:val="0"/>
    <w:pPr>
      <w:ind w:firstLine="420"/>
    </w:pPr>
    <w:rPr>
      <w:sz w:val="24"/>
    </w:rPr>
  </w:style>
  <w:style w:type="paragraph" w:styleId="9">
    <w:name w:val="Body Text First Indent 2"/>
    <w:basedOn w:val="10"/>
    <w:next w:val="1"/>
    <w:unhideWhenUsed/>
    <w:qFormat/>
    <w:locked/>
    <w:uiPriority w:val="99"/>
    <w:pPr>
      <w:spacing w:after="120"/>
      <w:ind w:left="420" w:leftChars="200" w:firstLine="420"/>
    </w:pPr>
  </w:style>
  <w:style w:type="paragraph" w:styleId="10">
    <w:name w:val="Body Text Indent"/>
    <w:basedOn w:val="1"/>
    <w:next w:val="1"/>
    <w:link w:val="38"/>
    <w:qFormat/>
    <w:uiPriority w:val="0"/>
    <w:pPr>
      <w:spacing w:after="120"/>
      <w:ind w:left="420" w:leftChars="200"/>
    </w:pPr>
    <w:rPr>
      <w:rFonts w:ascii="Times New Roman" w:hAnsi="Times New Roman"/>
      <w:kern w:val="0"/>
      <w:sz w:val="24"/>
      <w:szCs w:val="20"/>
    </w:rPr>
  </w:style>
  <w:style w:type="paragraph" w:styleId="11">
    <w:name w:val="Document Map"/>
    <w:basedOn w:val="1"/>
    <w:link w:val="35"/>
    <w:qFormat/>
    <w:locked/>
    <w:uiPriority w:val="0"/>
    <w:rPr>
      <w:rFonts w:ascii="宋体"/>
      <w:sz w:val="18"/>
      <w:szCs w:val="18"/>
    </w:rPr>
  </w:style>
  <w:style w:type="paragraph" w:styleId="12">
    <w:name w:val="annotation text"/>
    <w:basedOn w:val="1"/>
    <w:link w:val="36"/>
    <w:qFormat/>
    <w:uiPriority w:val="0"/>
    <w:pPr>
      <w:jc w:val="left"/>
    </w:pPr>
    <w:rPr>
      <w:rFonts w:ascii="Times New Roman" w:hAnsi="Times New Roman"/>
      <w:kern w:val="0"/>
      <w:sz w:val="24"/>
      <w:szCs w:val="20"/>
    </w:rPr>
  </w:style>
  <w:style w:type="paragraph" w:styleId="13">
    <w:name w:val="Body Text"/>
    <w:basedOn w:val="1"/>
    <w:link w:val="37"/>
    <w:qFormat/>
    <w:uiPriority w:val="0"/>
    <w:pPr>
      <w:widowControl/>
      <w:snapToGrid w:val="0"/>
      <w:spacing w:before="60" w:after="160" w:line="259" w:lineRule="auto"/>
      <w:ind w:right="113"/>
    </w:pPr>
    <w:rPr>
      <w:kern w:val="0"/>
      <w:sz w:val="18"/>
      <w:szCs w:val="20"/>
    </w:rPr>
  </w:style>
  <w:style w:type="paragraph" w:styleId="14">
    <w:name w:val="Plain Text"/>
    <w:basedOn w:val="1"/>
    <w:link w:val="39"/>
    <w:qFormat/>
    <w:locked/>
    <w:uiPriority w:val="99"/>
    <w:rPr>
      <w:rFonts w:ascii="宋体" w:hAnsi="Courier New"/>
      <w:szCs w:val="21"/>
    </w:rPr>
  </w:style>
  <w:style w:type="paragraph" w:styleId="15">
    <w:name w:val="Date"/>
    <w:basedOn w:val="1"/>
    <w:next w:val="1"/>
    <w:link w:val="40"/>
    <w:qFormat/>
    <w:uiPriority w:val="0"/>
    <w:pPr>
      <w:ind w:left="100" w:leftChars="2500"/>
    </w:pPr>
    <w:rPr>
      <w:rFonts w:ascii="Times New Roman" w:hAnsi="Times New Roman"/>
      <w:kern w:val="0"/>
      <w:sz w:val="24"/>
      <w:szCs w:val="20"/>
    </w:rPr>
  </w:style>
  <w:style w:type="paragraph" w:styleId="16">
    <w:name w:val="Body Text Indent 2"/>
    <w:basedOn w:val="1"/>
    <w:qFormat/>
    <w:locked/>
    <w:uiPriority w:val="0"/>
    <w:pPr>
      <w:spacing w:line="600" w:lineRule="exact"/>
      <w:ind w:firstLine="640" w:firstLineChars="200"/>
      <w:jc w:val="left"/>
    </w:pPr>
    <w:rPr>
      <w:sz w:val="32"/>
    </w:rPr>
  </w:style>
  <w:style w:type="paragraph" w:styleId="17">
    <w:name w:val="Balloon Text"/>
    <w:basedOn w:val="1"/>
    <w:link w:val="41"/>
    <w:semiHidden/>
    <w:qFormat/>
    <w:uiPriority w:val="0"/>
    <w:rPr>
      <w:rFonts w:ascii="Times New Roman" w:hAnsi="Times New Roman"/>
      <w:kern w:val="0"/>
      <w:sz w:val="18"/>
      <w:szCs w:val="20"/>
    </w:rPr>
  </w:style>
  <w:style w:type="paragraph" w:styleId="18">
    <w:name w:val="footer"/>
    <w:basedOn w:val="1"/>
    <w:link w:val="42"/>
    <w:qFormat/>
    <w:uiPriority w:val="99"/>
    <w:pPr>
      <w:tabs>
        <w:tab w:val="center" w:pos="4153"/>
        <w:tab w:val="right" w:pos="8306"/>
      </w:tabs>
      <w:snapToGrid w:val="0"/>
      <w:jc w:val="left"/>
    </w:pPr>
    <w:rPr>
      <w:kern w:val="0"/>
      <w:sz w:val="18"/>
      <w:szCs w:val="20"/>
    </w:rPr>
  </w:style>
  <w:style w:type="paragraph" w:styleId="19">
    <w:name w:val="header"/>
    <w:basedOn w:val="1"/>
    <w:link w:val="43"/>
    <w:qFormat/>
    <w:uiPriority w:val="0"/>
    <w:pPr>
      <w:pBdr>
        <w:bottom w:val="single" w:color="auto" w:sz="6" w:space="1"/>
      </w:pBdr>
      <w:tabs>
        <w:tab w:val="center" w:pos="4153"/>
        <w:tab w:val="right" w:pos="8306"/>
      </w:tabs>
      <w:snapToGrid w:val="0"/>
      <w:jc w:val="center"/>
    </w:pPr>
    <w:rPr>
      <w:kern w:val="0"/>
      <w:sz w:val="18"/>
      <w:szCs w:val="20"/>
    </w:rPr>
  </w:style>
  <w:style w:type="paragraph" w:styleId="20">
    <w:name w:val="Normal (Web)"/>
    <w:basedOn w:val="1"/>
    <w:link w:val="44"/>
    <w:qFormat/>
    <w:uiPriority w:val="0"/>
    <w:pPr>
      <w:widowControl/>
      <w:spacing w:before="100" w:beforeAutospacing="1" w:after="100" w:afterAutospacing="1"/>
      <w:jc w:val="left"/>
    </w:pPr>
    <w:rPr>
      <w:rFonts w:ascii="宋体" w:hAnsi="宋体"/>
      <w:kern w:val="0"/>
      <w:sz w:val="24"/>
      <w:szCs w:val="20"/>
    </w:rPr>
  </w:style>
  <w:style w:type="paragraph" w:styleId="21">
    <w:name w:val="Title"/>
    <w:basedOn w:val="1"/>
    <w:next w:val="10"/>
    <w:qFormat/>
    <w:locked/>
    <w:uiPriority w:val="10"/>
    <w:pPr>
      <w:spacing w:before="240" w:after="60"/>
      <w:jc w:val="center"/>
      <w:outlineLvl w:val="0"/>
    </w:pPr>
    <w:rPr>
      <w:rFonts w:ascii="Cambria" w:hAnsi="Cambria" w:cs="Times New Roman"/>
      <w:bCs/>
      <w:sz w:val="32"/>
      <w:szCs w:val="32"/>
    </w:rPr>
  </w:style>
  <w:style w:type="paragraph" w:styleId="22">
    <w:name w:val="annotation subject"/>
    <w:basedOn w:val="12"/>
    <w:next w:val="12"/>
    <w:link w:val="45"/>
    <w:semiHidden/>
    <w:qFormat/>
    <w:uiPriority w:val="0"/>
    <w:rPr>
      <w:b/>
      <w:kern w:val="2"/>
    </w:rPr>
  </w:style>
  <w:style w:type="paragraph" w:styleId="23">
    <w:name w:val="Body Text First Indent"/>
    <w:basedOn w:val="13"/>
    <w:next w:val="1"/>
    <w:link w:val="46"/>
    <w:qFormat/>
    <w:locked/>
    <w:uiPriority w:val="0"/>
    <w:pPr>
      <w:widowControl w:val="0"/>
      <w:snapToGrid/>
      <w:spacing w:before="0" w:after="120" w:line="240" w:lineRule="auto"/>
      <w:ind w:right="0" w:firstLine="420" w:firstLineChars="100"/>
    </w:pPr>
    <w:rPr>
      <w:kern w:val="2"/>
      <w:sz w:val="21"/>
      <w:szCs w:val="24"/>
      <w:lang w:val="en-US" w:eastAsia="zh-CN"/>
    </w:rPr>
  </w:style>
  <w:style w:type="table" w:styleId="25">
    <w:name w:val="Table Grid"/>
    <w:basedOn w:val="24"/>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basedOn w:val="26"/>
    <w:qFormat/>
    <w:locked/>
    <w:uiPriority w:val="0"/>
    <w:rPr>
      <w:rFonts w:cs="Times New Roman"/>
      <w:b/>
      <w:bCs/>
    </w:rPr>
  </w:style>
  <w:style w:type="character" w:styleId="28">
    <w:name w:val="page number"/>
    <w:qFormat/>
    <w:locked/>
    <w:uiPriority w:val="0"/>
  </w:style>
  <w:style w:type="character" w:styleId="29">
    <w:name w:val="Hyperlink"/>
    <w:basedOn w:val="26"/>
    <w:qFormat/>
    <w:locked/>
    <w:uiPriority w:val="0"/>
    <w:rPr>
      <w:color w:val="0000FF"/>
      <w:u w:val="single"/>
    </w:rPr>
  </w:style>
  <w:style w:type="character" w:styleId="30">
    <w:name w:val="annotation reference"/>
    <w:qFormat/>
    <w:uiPriority w:val="0"/>
    <w:rPr>
      <w:sz w:val="21"/>
    </w:rPr>
  </w:style>
  <w:style w:type="paragraph" w:customStyle="1" w:styleId="31">
    <w:name w:val="表格"/>
    <w:basedOn w:val="8"/>
    <w:next w:val="1"/>
    <w:link w:val="47"/>
    <w:qFormat/>
    <w:uiPriority w:val="0"/>
    <w:pPr>
      <w:adjustRightInd w:val="0"/>
      <w:snapToGrid w:val="0"/>
      <w:spacing w:beforeLines="10" w:afterLines="10" w:line="259" w:lineRule="auto"/>
      <w:jc w:val="center"/>
    </w:pPr>
    <w:rPr>
      <w:rFonts w:ascii="宋体"/>
      <w:kern w:val="0"/>
      <w:szCs w:val="20"/>
    </w:rPr>
  </w:style>
  <w:style w:type="character" w:customStyle="1" w:styleId="32">
    <w:name w:val="正文缩进 字符"/>
    <w:link w:val="8"/>
    <w:qFormat/>
    <w:uiPriority w:val="0"/>
    <w:rPr>
      <w:kern w:val="2"/>
      <w:sz w:val="24"/>
      <w:szCs w:val="24"/>
    </w:rPr>
  </w:style>
  <w:style w:type="character" w:customStyle="1" w:styleId="33">
    <w:name w:val="标题 3 字符"/>
    <w:link w:val="4"/>
    <w:qFormat/>
    <w:uiPriority w:val="0"/>
    <w:rPr>
      <w:b/>
      <w:bCs/>
      <w:kern w:val="2"/>
      <w:sz w:val="32"/>
      <w:szCs w:val="32"/>
    </w:rPr>
  </w:style>
  <w:style w:type="character" w:customStyle="1" w:styleId="34">
    <w:name w:val="标题 4 字符"/>
    <w:link w:val="5"/>
    <w:qFormat/>
    <w:uiPriority w:val="0"/>
    <w:rPr>
      <w:rFonts w:ascii="Cambria" w:hAnsi="Cambria" w:eastAsia="宋体" w:cs="Times New Roman"/>
      <w:b/>
      <w:bCs/>
      <w:kern w:val="2"/>
      <w:sz w:val="28"/>
      <w:szCs w:val="28"/>
    </w:rPr>
  </w:style>
  <w:style w:type="character" w:customStyle="1" w:styleId="35">
    <w:name w:val="文档结构图 字符"/>
    <w:link w:val="11"/>
    <w:qFormat/>
    <w:uiPriority w:val="0"/>
    <w:rPr>
      <w:rFonts w:ascii="宋体"/>
      <w:kern w:val="2"/>
      <w:sz w:val="18"/>
      <w:szCs w:val="18"/>
    </w:rPr>
  </w:style>
  <w:style w:type="character" w:customStyle="1" w:styleId="36">
    <w:name w:val="批注文字 字符"/>
    <w:link w:val="12"/>
    <w:qFormat/>
    <w:locked/>
    <w:uiPriority w:val="0"/>
    <w:rPr>
      <w:rFonts w:ascii="Times New Roman" w:hAnsi="Times New Roman" w:eastAsia="宋体"/>
      <w:sz w:val="24"/>
    </w:rPr>
  </w:style>
  <w:style w:type="character" w:customStyle="1" w:styleId="37">
    <w:name w:val="正文文本 字符"/>
    <w:link w:val="13"/>
    <w:qFormat/>
    <w:locked/>
    <w:uiPriority w:val="0"/>
    <w:rPr>
      <w:sz w:val="18"/>
    </w:rPr>
  </w:style>
  <w:style w:type="character" w:customStyle="1" w:styleId="38">
    <w:name w:val="正文文本缩进 字符"/>
    <w:link w:val="10"/>
    <w:semiHidden/>
    <w:qFormat/>
    <w:locked/>
    <w:uiPriority w:val="0"/>
    <w:rPr>
      <w:rFonts w:ascii="Times New Roman" w:hAnsi="Times New Roman" w:eastAsia="宋体"/>
      <w:sz w:val="24"/>
    </w:rPr>
  </w:style>
  <w:style w:type="character" w:customStyle="1" w:styleId="39">
    <w:name w:val="纯文本 字符"/>
    <w:link w:val="14"/>
    <w:qFormat/>
    <w:uiPriority w:val="99"/>
    <w:rPr>
      <w:rFonts w:ascii="宋体" w:hAnsi="Courier New" w:cs="Courier New"/>
      <w:kern w:val="2"/>
      <w:sz w:val="21"/>
      <w:szCs w:val="21"/>
    </w:rPr>
  </w:style>
  <w:style w:type="character" w:customStyle="1" w:styleId="40">
    <w:name w:val="日期 字符1"/>
    <w:link w:val="15"/>
    <w:qFormat/>
    <w:locked/>
    <w:uiPriority w:val="0"/>
    <w:rPr>
      <w:rFonts w:ascii="Times New Roman" w:hAnsi="Times New Roman" w:eastAsia="宋体"/>
      <w:sz w:val="24"/>
    </w:rPr>
  </w:style>
  <w:style w:type="character" w:customStyle="1" w:styleId="41">
    <w:name w:val="批注框文本 字符"/>
    <w:link w:val="17"/>
    <w:semiHidden/>
    <w:qFormat/>
    <w:locked/>
    <w:uiPriority w:val="0"/>
    <w:rPr>
      <w:rFonts w:ascii="Times New Roman" w:hAnsi="Times New Roman" w:eastAsia="宋体"/>
      <w:sz w:val="18"/>
    </w:rPr>
  </w:style>
  <w:style w:type="character" w:customStyle="1" w:styleId="42">
    <w:name w:val="页脚 字符1"/>
    <w:link w:val="18"/>
    <w:qFormat/>
    <w:locked/>
    <w:uiPriority w:val="99"/>
    <w:rPr>
      <w:sz w:val="18"/>
    </w:rPr>
  </w:style>
  <w:style w:type="character" w:customStyle="1" w:styleId="43">
    <w:name w:val="页眉 字符"/>
    <w:link w:val="19"/>
    <w:qFormat/>
    <w:locked/>
    <w:uiPriority w:val="0"/>
    <w:rPr>
      <w:sz w:val="18"/>
    </w:rPr>
  </w:style>
  <w:style w:type="character" w:customStyle="1" w:styleId="44">
    <w:name w:val="普通(网站) 字符"/>
    <w:link w:val="20"/>
    <w:qFormat/>
    <w:locked/>
    <w:uiPriority w:val="0"/>
    <w:rPr>
      <w:rFonts w:ascii="宋体" w:hAnsi="宋体" w:eastAsia="宋体"/>
      <w:sz w:val="24"/>
    </w:rPr>
  </w:style>
  <w:style w:type="character" w:customStyle="1" w:styleId="45">
    <w:name w:val="批注主题 字符"/>
    <w:link w:val="22"/>
    <w:semiHidden/>
    <w:qFormat/>
    <w:locked/>
    <w:uiPriority w:val="0"/>
    <w:rPr>
      <w:rFonts w:ascii="Times New Roman" w:hAnsi="Times New Roman" w:eastAsia="宋体"/>
      <w:b/>
      <w:kern w:val="2"/>
      <w:sz w:val="24"/>
    </w:rPr>
  </w:style>
  <w:style w:type="character" w:customStyle="1" w:styleId="46">
    <w:name w:val="正文首行缩进 字符"/>
    <w:link w:val="23"/>
    <w:qFormat/>
    <w:uiPriority w:val="0"/>
    <w:rPr>
      <w:kern w:val="2"/>
      <w:sz w:val="21"/>
      <w:szCs w:val="24"/>
    </w:rPr>
  </w:style>
  <w:style w:type="character" w:customStyle="1" w:styleId="47">
    <w:name w:val="表格 Char"/>
    <w:link w:val="31"/>
    <w:qFormat/>
    <w:locked/>
    <w:uiPriority w:val="0"/>
    <w:rPr>
      <w:rFonts w:ascii="宋体"/>
      <w:sz w:val="21"/>
    </w:rPr>
  </w:style>
  <w:style w:type="paragraph" w:customStyle="1" w:styleId="48">
    <w:name w:val="正文（缩进）"/>
    <w:basedOn w:val="49"/>
    <w:next w:val="1"/>
    <w:qFormat/>
    <w:uiPriority w:val="99"/>
    <w:pPr>
      <w:spacing w:line="360" w:lineRule="auto"/>
      <w:ind w:firstLine="480" w:firstLineChars="200"/>
    </w:pPr>
    <w:rPr>
      <w:rFonts w:ascii="Times New Roman" w:hAnsi="Times New Roman"/>
      <w:color w:val="auto"/>
      <w:szCs w:val="20"/>
    </w:rPr>
  </w:style>
  <w:style w:type="paragraph" w:customStyle="1" w:styleId="49">
    <w:name w:val="正文(首行缩进)"/>
    <w:basedOn w:val="1"/>
    <w:qFormat/>
    <w:uiPriority w:val="0"/>
    <w:pPr>
      <w:widowControl w:val="0"/>
      <w:jc w:val="both"/>
    </w:pPr>
    <w:rPr>
      <w:rFonts w:ascii="Times New Roman" w:hAnsi="Times New Roman" w:cs="Times New Roman"/>
      <w:kern w:val="0"/>
      <w:sz w:val="24"/>
      <w:szCs w:val="24"/>
    </w:rPr>
  </w:style>
  <w:style w:type="paragraph" w:customStyle="1" w:styleId="50">
    <w:name w:val="Date1"/>
    <w:basedOn w:val="1"/>
    <w:next w:val="1"/>
    <w:qFormat/>
    <w:uiPriority w:val="0"/>
    <w:pPr>
      <w:tabs>
        <w:tab w:val="left" w:pos="510"/>
      </w:tabs>
      <w:adjustRightInd w:val="0"/>
      <w:spacing w:line="430" w:lineRule="atLeast"/>
      <w:jc w:val="right"/>
    </w:pPr>
    <w:rPr>
      <w:spacing w:val="16"/>
      <w:kern w:val="0"/>
      <w:sz w:val="24"/>
    </w:rPr>
  </w:style>
  <w:style w:type="character" w:customStyle="1" w:styleId="51">
    <w:name w:val="正文文本 Char"/>
    <w:qFormat/>
    <w:locked/>
    <w:uiPriority w:val="0"/>
    <w:rPr>
      <w:sz w:val="18"/>
    </w:rPr>
  </w:style>
  <w:style w:type="character" w:customStyle="1" w:styleId="52">
    <w:name w:val="15"/>
    <w:qFormat/>
    <w:uiPriority w:val="0"/>
    <w:rPr>
      <w:rFonts w:hint="eastAsia" w:ascii="宋体" w:hAnsi="宋体" w:eastAsia="宋体"/>
      <w:b/>
      <w:bCs/>
      <w:color w:val="000000"/>
      <w:spacing w:val="0"/>
      <w:kern w:val="2"/>
      <w:sz w:val="24"/>
      <w:szCs w:val="24"/>
      <w:u w:val="none" w:color="000000"/>
    </w:rPr>
  </w:style>
  <w:style w:type="character" w:customStyle="1" w:styleId="53">
    <w:name w:val="zhang正文 Char"/>
    <w:link w:val="54"/>
    <w:qFormat/>
    <w:uiPriority w:val="0"/>
    <w:rPr>
      <w:rFonts w:eastAsia="楷体_GB2312"/>
      <w:sz w:val="28"/>
    </w:rPr>
  </w:style>
  <w:style w:type="paragraph" w:customStyle="1" w:styleId="54">
    <w:name w:val="zhang正文"/>
    <w:basedOn w:val="10"/>
    <w:link w:val="53"/>
    <w:qFormat/>
    <w:uiPriority w:val="0"/>
    <w:pPr>
      <w:autoSpaceDE w:val="0"/>
      <w:autoSpaceDN w:val="0"/>
      <w:adjustRightInd w:val="0"/>
      <w:snapToGrid w:val="0"/>
      <w:spacing w:after="0" w:line="500" w:lineRule="exact"/>
      <w:ind w:left="0" w:leftChars="0" w:firstLine="539"/>
      <w:textAlignment w:val="baseline"/>
    </w:pPr>
    <w:rPr>
      <w:rFonts w:ascii="Calibri" w:hAnsi="Calibri" w:eastAsia="楷体_GB2312"/>
      <w:sz w:val="28"/>
    </w:rPr>
  </w:style>
  <w:style w:type="character" w:customStyle="1" w:styleId="55">
    <w:name w:val="文章正文 Char Char Char"/>
    <w:link w:val="56"/>
    <w:qFormat/>
    <w:uiPriority w:val="0"/>
    <w:rPr>
      <w:sz w:val="24"/>
    </w:rPr>
  </w:style>
  <w:style w:type="paragraph" w:customStyle="1" w:styleId="56">
    <w:name w:val="文章正文"/>
    <w:basedOn w:val="1"/>
    <w:link w:val="55"/>
    <w:qFormat/>
    <w:uiPriority w:val="0"/>
    <w:pPr>
      <w:spacing w:line="440" w:lineRule="exact"/>
      <w:ind w:firstLine="600" w:firstLineChars="200"/>
    </w:pPr>
    <w:rPr>
      <w:kern w:val="0"/>
      <w:sz w:val="24"/>
      <w:szCs w:val="20"/>
    </w:rPr>
  </w:style>
  <w:style w:type="character" w:customStyle="1" w:styleId="57">
    <w:name w:val="表格文字 Char1"/>
    <w:link w:val="58"/>
    <w:qFormat/>
    <w:uiPriority w:val="0"/>
    <w:rPr>
      <w:color w:val="000000"/>
      <w:sz w:val="21"/>
      <w:szCs w:val="21"/>
    </w:rPr>
  </w:style>
  <w:style w:type="paragraph" w:customStyle="1" w:styleId="58">
    <w:name w:val="表格文字"/>
    <w:basedOn w:val="14"/>
    <w:next w:val="1"/>
    <w:link w:val="57"/>
    <w:qFormat/>
    <w:uiPriority w:val="0"/>
    <w:pPr>
      <w:jc w:val="center"/>
    </w:pPr>
    <w:rPr>
      <w:color w:val="000000"/>
      <w:kern w:val="0"/>
      <w:szCs w:val="21"/>
    </w:rPr>
  </w:style>
  <w:style w:type="character" w:customStyle="1" w:styleId="59">
    <w:name w:val="正文文本缩进 3 Char Char"/>
    <w:qFormat/>
    <w:uiPriority w:val="0"/>
    <w:rPr>
      <w:rFonts w:ascii="宋体" w:hAnsi="宋体" w:eastAsia="宋体"/>
      <w:b/>
      <w:bCs/>
      <w:color w:val="000000"/>
      <w:spacing w:val="0"/>
      <w:w w:val="100"/>
      <w:kern w:val="2"/>
      <w:sz w:val="24"/>
      <w:u w:val="none" w:color="000000"/>
      <w:vertAlign w:val="baseline"/>
      <w:lang w:val="en-US" w:eastAsia="zh-CN" w:bidi="ar-SA"/>
    </w:rPr>
  </w:style>
  <w:style w:type="character" w:customStyle="1" w:styleId="60">
    <w:name w:val="页脚 字符"/>
    <w:qFormat/>
    <w:uiPriority w:val="99"/>
  </w:style>
  <w:style w:type="character" w:customStyle="1" w:styleId="61">
    <w:name w:val="文章正文 Char Char"/>
    <w:qFormat/>
    <w:uiPriority w:val="0"/>
    <w:rPr>
      <w:rFonts w:ascii="Times New Roman" w:hAnsi="Times New Roman" w:eastAsia="宋体"/>
      <w:sz w:val="24"/>
    </w:rPr>
  </w:style>
  <w:style w:type="character" w:customStyle="1" w:styleId="62">
    <w:name w:val="正文文本 字符1"/>
    <w:semiHidden/>
    <w:qFormat/>
    <w:uiPriority w:val="0"/>
    <w:rPr>
      <w:rFonts w:ascii="Times New Roman" w:hAnsi="Times New Roman" w:eastAsia="宋体"/>
      <w:sz w:val="24"/>
    </w:rPr>
  </w:style>
  <w:style w:type="character" w:customStyle="1" w:styleId="63">
    <w:name w:val="行距 Char"/>
    <w:link w:val="64"/>
    <w:qFormat/>
    <w:uiPriority w:val="0"/>
    <w:rPr>
      <w:rFonts w:ascii="宋体" w:hAnsi="宋体"/>
      <w:kern w:val="2"/>
      <w:sz w:val="24"/>
      <w:szCs w:val="24"/>
    </w:rPr>
  </w:style>
  <w:style w:type="paragraph" w:customStyle="1" w:styleId="64">
    <w:name w:val="行距"/>
    <w:basedOn w:val="1"/>
    <w:link w:val="63"/>
    <w:qFormat/>
    <w:uiPriority w:val="0"/>
    <w:rPr>
      <w:rFonts w:ascii="宋体" w:hAnsi="宋体"/>
      <w:sz w:val="24"/>
    </w:rPr>
  </w:style>
  <w:style w:type="character" w:customStyle="1" w:styleId="65">
    <w:name w:val="批注文字 字符1"/>
    <w:semiHidden/>
    <w:qFormat/>
    <w:uiPriority w:val="0"/>
    <w:rPr>
      <w:rFonts w:ascii="Times New Roman" w:hAnsi="Times New Roman" w:eastAsia="宋体"/>
      <w:sz w:val="24"/>
    </w:rPr>
  </w:style>
  <w:style w:type="character" w:customStyle="1" w:styleId="66">
    <w:name w:val="正文 Char"/>
    <w:link w:val="67"/>
    <w:qFormat/>
    <w:uiPriority w:val="0"/>
    <w:rPr>
      <w:kern w:val="2"/>
      <w:sz w:val="28"/>
    </w:rPr>
  </w:style>
  <w:style w:type="paragraph" w:customStyle="1" w:styleId="67">
    <w:name w:val="正文1"/>
    <w:basedOn w:val="1"/>
    <w:link w:val="66"/>
    <w:qFormat/>
    <w:uiPriority w:val="0"/>
    <w:pPr>
      <w:adjustRightInd w:val="0"/>
      <w:snapToGrid w:val="0"/>
      <w:spacing w:line="500" w:lineRule="atLeast"/>
      <w:ind w:firstLine="567"/>
    </w:pPr>
    <w:rPr>
      <w:sz w:val="28"/>
      <w:szCs w:val="20"/>
    </w:rPr>
  </w:style>
  <w:style w:type="character" w:customStyle="1" w:styleId="68">
    <w:name w:val="日期 字符"/>
    <w:semiHidden/>
    <w:qFormat/>
    <w:uiPriority w:val="0"/>
    <w:rPr>
      <w:rFonts w:ascii="Times New Roman" w:hAnsi="Times New Roman" w:eastAsia="宋体"/>
      <w:sz w:val="24"/>
    </w:rPr>
  </w:style>
  <w:style w:type="character" w:customStyle="1" w:styleId="69">
    <w:name w:val="正文格式 Char Char"/>
    <w:link w:val="70"/>
    <w:qFormat/>
    <w:locked/>
    <w:uiPriority w:val="99"/>
    <w:rPr>
      <w:sz w:val="24"/>
    </w:rPr>
  </w:style>
  <w:style w:type="paragraph" w:customStyle="1" w:styleId="70">
    <w:name w:val="正文格式"/>
    <w:basedOn w:val="1"/>
    <w:link w:val="69"/>
    <w:qFormat/>
    <w:uiPriority w:val="99"/>
    <w:pPr>
      <w:spacing w:line="360" w:lineRule="auto"/>
      <w:ind w:firstLine="544" w:firstLineChars="200"/>
    </w:pPr>
    <w:rPr>
      <w:kern w:val="0"/>
      <w:sz w:val="24"/>
      <w:szCs w:val="20"/>
    </w:rPr>
  </w:style>
  <w:style w:type="paragraph" w:customStyle="1" w:styleId="71">
    <w:name w:val="0正文中9.8新"/>
    <w:basedOn w:val="72"/>
    <w:qFormat/>
    <w:uiPriority w:val="30"/>
    <w:pPr>
      <w:jc w:val="both"/>
    </w:pPr>
  </w:style>
  <w:style w:type="paragraph" w:customStyle="1" w:styleId="72">
    <w:name w:val="正文中"/>
    <w:basedOn w:val="73"/>
    <w:qFormat/>
    <w:uiPriority w:val="0"/>
    <w:pPr>
      <w:jc w:val="center"/>
    </w:pPr>
  </w:style>
  <w:style w:type="paragraph" w:customStyle="1" w:styleId="73">
    <w:name w:val="0正文缩进"/>
    <w:basedOn w:val="8"/>
    <w:qFormat/>
    <w:uiPriority w:val="0"/>
    <w:pPr>
      <w:spacing w:line="360" w:lineRule="auto"/>
    </w:pPr>
    <w:rPr>
      <w:rFonts w:ascii="宋体" w:hAnsi="宋体" w:eastAsia="仿宋_GB2312"/>
      <w:szCs w:val="24"/>
    </w:rPr>
  </w:style>
  <w:style w:type="paragraph" w:customStyle="1" w:styleId="74">
    <w:name w:val="正文_1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5">
    <w:name w:val="正文曹"/>
    <w:basedOn w:val="10"/>
    <w:qFormat/>
    <w:uiPriority w:val="0"/>
    <w:pPr>
      <w:spacing w:after="0" w:line="320" w:lineRule="exact"/>
      <w:ind w:left="0" w:leftChars="0"/>
      <w:jc w:val="center"/>
    </w:pPr>
    <w:rPr>
      <w:rFonts w:ascii="宋体" w:hAnsi="宋体"/>
      <w:kern w:val="2"/>
      <w:szCs w:val="24"/>
    </w:rPr>
  </w:style>
  <w:style w:type="paragraph" w:customStyle="1" w:styleId="76">
    <w:name w:val="表格文字（居中）"/>
    <w:basedOn w:val="1"/>
    <w:qFormat/>
    <w:uiPriority w:val="0"/>
    <w:pPr>
      <w:jc w:val="center"/>
    </w:pPr>
    <w:rPr>
      <w:rFonts w:eastAsia="宋体" w:cs="Times New Roman"/>
      <w:szCs w:val="21"/>
    </w:rPr>
  </w:style>
  <w:style w:type="paragraph" w:customStyle="1" w:styleId="77">
    <w:name w:val="M表格竖"/>
    <w:basedOn w:val="1"/>
    <w:qFormat/>
    <w:uiPriority w:val="99"/>
    <w:pPr>
      <w:jc w:val="center"/>
    </w:pPr>
    <w:rPr>
      <w:sz w:val="18"/>
      <w:szCs w:val="18"/>
    </w:rPr>
  </w:style>
  <w:style w:type="paragraph" w:customStyle="1" w:styleId="78">
    <w:name w:val="中文报告书"/>
    <w:basedOn w:val="1"/>
    <w:qFormat/>
    <w:uiPriority w:val="0"/>
    <w:pPr>
      <w:adjustRightInd w:val="0"/>
      <w:spacing w:after="80" w:line="420" w:lineRule="atLeast"/>
      <w:jc w:val="left"/>
      <w:textAlignment w:val="baseline"/>
    </w:pPr>
    <w:rPr>
      <w:kern w:val="0"/>
      <w:sz w:val="24"/>
      <w:szCs w:val="20"/>
    </w:rPr>
  </w:style>
  <w:style w:type="paragraph" w:customStyle="1" w:styleId="79">
    <w:name w:val="yatong正文"/>
    <w:basedOn w:val="1"/>
    <w:qFormat/>
    <w:uiPriority w:val="0"/>
    <w:pPr>
      <w:spacing w:line="360" w:lineRule="auto"/>
      <w:ind w:left="50" w:leftChars="50" w:firstLine="200" w:firstLineChars="200"/>
    </w:pPr>
    <w:rPr>
      <w:rFonts w:ascii="宋体" w:hAnsi="宋体" w:cs="宋体"/>
      <w:sz w:val="28"/>
    </w:rPr>
  </w:style>
  <w:style w:type="paragraph" w:customStyle="1" w:styleId="80">
    <w:name w:val="可研正文"/>
    <w:basedOn w:val="1"/>
    <w:qFormat/>
    <w:uiPriority w:val="0"/>
    <w:pPr>
      <w:tabs>
        <w:tab w:val="right" w:leader="middleDot" w:pos="7920"/>
      </w:tabs>
      <w:spacing w:line="360" w:lineRule="auto"/>
      <w:ind w:firstLine="480" w:firstLineChars="200"/>
      <w:jc w:val="left"/>
    </w:pPr>
    <w:rPr>
      <w:rFonts w:hAnsi="宋体"/>
      <w:bCs/>
      <w:color w:val="000000"/>
      <w:sz w:val="24"/>
    </w:rPr>
  </w:style>
  <w:style w:type="paragraph" w:customStyle="1" w:styleId="81">
    <w:name w:val="样式 首行缩进:  2 字符"/>
    <w:basedOn w:val="1"/>
    <w:qFormat/>
    <w:uiPriority w:val="0"/>
    <w:pPr>
      <w:spacing w:line="440" w:lineRule="exact"/>
      <w:ind w:firstLine="200" w:firstLineChars="200"/>
    </w:pPr>
    <w:rPr>
      <w:rFonts w:ascii="Calibri" w:hAnsi="Calibri" w:cs="宋体"/>
      <w:sz w:val="24"/>
      <w:szCs w:val="20"/>
    </w:rPr>
  </w:style>
  <w:style w:type="paragraph" w:customStyle="1" w:styleId="82">
    <w:name w:val="M表头"/>
    <w:basedOn w:val="1"/>
    <w:next w:val="1"/>
    <w:qFormat/>
    <w:uiPriority w:val="0"/>
    <w:pPr>
      <w:spacing w:before="218" w:beforeLines="70" w:line="360" w:lineRule="auto"/>
      <w:ind w:firstLine="200" w:firstLineChars="200"/>
    </w:pPr>
    <w:rPr>
      <w:rFonts w:eastAsia="黑体"/>
      <w:bCs/>
      <w:sz w:val="24"/>
      <w:szCs w:val="21"/>
    </w:rPr>
  </w:style>
  <w:style w:type="paragraph" w:customStyle="1" w:styleId="83">
    <w:name w:val="表格正文"/>
    <w:basedOn w:val="1"/>
    <w:semiHidden/>
    <w:qFormat/>
    <w:uiPriority w:val="0"/>
    <w:pPr>
      <w:widowControl/>
      <w:spacing w:before="60" w:after="60"/>
      <w:ind w:left="32"/>
      <w:jc w:val="center"/>
    </w:pPr>
    <w:rPr>
      <w:rFonts w:ascii="宋体" w:hAnsi="宋体" w:cs="宋体"/>
      <w:kern w:val="0"/>
      <w:szCs w:val="21"/>
    </w:rPr>
  </w:style>
  <w:style w:type="paragraph" w:customStyle="1" w:styleId="84">
    <w:name w:val="表头"/>
    <w:basedOn w:val="1"/>
    <w:next w:val="1"/>
    <w:qFormat/>
    <w:uiPriority w:val="0"/>
    <w:pPr>
      <w:spacing w:line="500" w:lineRule="exact"/>
      <w:jc w:val="center"/>
    </w:pPr>
    <w:rPr>
      <w:rFonts w:cs="宋体"/>
      <w:b/>
      <w:bCs/>
      <w:sz w:val="21"/>
      <w:szCs w:val="21"/>
    </w:rPr>
  </w:style>
  <w:style w:type="paragraph" w:customStyle="1" w:styleId="85">
    <w:name w:val="Table Paragraph"/>
    <w:basedOn w:val="1"/>
    <w:qFormat/>
    <w:uiPriority w:val="1"/>
    <w:pPr>
      <w:autoSpaceDE w:val="0"/>
      <w:autoSpaceDN w:val="0"/>
      <w:adjustRightInd/>
      <w:snapToGrid/>
      <w:spacing w:line="240" w:lineRule="auto"/>
      <w:ind w:firstLine="0" w:firstLineChars="0"/>
      <w:jc w:val="center"/>
    </w:pPr>
    <w:rPr>
      <w:rFonts w:ascii="宋体" w:hAnsi="宋体" w:cs="宋体"/>
      <w:kern w:val="0"/>
      <w:sz w:val="22"/>
      <w:szCs w:val="22"/>
      <w:lang w:eastAsia="en-US"/>
    </w:rPr>
  </w:style>
  <w:style w:type="paragraph" w:customStyle="1" w:styleId="86">
    <w:name w:val="表字1"/>
    <w:basedOn w:val="1"/>
    <w:qFormat/>
    <w:uiPriority w:val="0"/>
    <w:pPr>
      <w:adjustRightInd w:val="0"/>
      <w:spacing w:line="360" w:lineRule="auto"/>
      <w:jc w:val="center"/>
      <w:textAlignment w:val="baseline"/>
    </w:pPr>
    <w:rPr>
      <w:rFonts w:ascii="宋体" w:hAnsi="Times New Roman"/>
      <w:kern w:val="0"/>
      <w:szCs w:val="21"/>
    </w:rPr>
  </w:style>
  <w:style w:type="paragraph" w:customStyle="1" w:styleId="87">
    <w:name w:val="a表内"/>
    <w:qFormat/>
    <w:uiPriority w:val="0"/>
    <w:pPr>
      <w:jc w:val="center"/>
    </w:pPr>
    <w:rPr>
      <w:rFonts w:ascii="Times New Roman" w:hAnsi="Times New Roman" w:eastAsia="宋体" w:cs="Times New Roman"/>
      <w:sz w:val="21"/>
      <w:szCs w:val="24"/>
      <w:lang w:val="en-US" w:eastAsia="zh-CN" w:bidi="ar-SA"/>
    </w:rPr>
  </w:style>
  <w:style w:type="paragraph" w:customStyle="1" w:styleId="88">
    <w:name w:val="中文报告书样式"/>
    <w:basedOn w:val="1"/>
    <w:qFormat/>
    <w:uiPriority w:val="0"/>
    <w:pPr>
      <w:adjustRightInd w:val="0"/>
      <w:spacing w:line="480" w:lineRule="atLeast"/>
      <w:ind w:firstLine="482"/>
      <w:textAlignment w:val="baseline"/>
    </w:pPr>
    <w:rPr>
      <w:kern w:val="24"/>
      <w:sz w:val="24"/>
      <w:szCs w:val="20"/>
    </w:rPr>
  </w:style>
  <w:style w:type="paragraph" w:customStyle="1" w:styleId="89">
    <w:name w:val="环评正文"/>
    <w:basedOn w:val="1"/>
    <w:next w:val="1"/>
    <w:qFormat/>
    <w:uiPriority w:val="0"/>
    <w:pPr>
      <w:spacing w:line="360" w:lineRule="auto"/>
      <w:ind w:firstLine="480" w:firstLineChars="200"/>
    </w:pPr>
    <w:rPr>
      <w:rFonts w:ascii="仿宋_GB2312" w:hAnsi="仿宋_GB2312" w:eastAsia="仿宋_GB2312"/>
      <w:sz w:val="24"/>
      <w:szCs w:val="20"/>
    </w:rPr>
  </w:style>
  <w:style w:type="paragraph" w:customStyle="1" w:styleId="90">
    <w:name w:val="Default"/>
    <w:basedOn w:val="91"/>
    <w:qFormat/>
    <w:uiPriority w:val="0"/>
    <w:pPr>
      <w:widowControl w:val="0"/>
      <w:autoSpaceDE w:val="0"/>
      <w:autoSpaceDN w:val="0"/>
      <w:adjustRightInd w:val="0"/>
    </w:pPr>
    <w:rPr>
      <w:rFonts w:ascii="仿宋_GB2312" w:eastAsia="仿宋_GB2312"/>
      <w:color w:val="000000"/>
      <w:sz w:val="24"/>
      <w:szCs w:val="22"/>
      <w:lang w:val="en-US" w:eastAsia="zh-CN" w:bidi="ar-SA"/>
    </w:rPr>
  </w:style>
  <w:style w:type="paragraph" w:customStyle="1" w:styleId="91">
    <w:name w:val="表格17"/>
    <w:qFormat/>
    <w:uiPriority w:val="0"/>
    <w:pPr>
      <w:widowControl w:val="0"/>
      <w:adjustRightInd w:val="0"/>
      <w:jc w:val="center"/>
    </w:pPr>
    <w:rPr>
      <w:rFonts w:ascii="Times New Roman" w:hAnsi="Times New Roman" w:eastAsia="宋体" w:cs="Times New Roman"/>
      <w:kern w:val="28"/>
      <w:sz w:val="28"/>
      <w:lang w:val="en-US" w:eastAsia="zh-CN" w:bidi="ar-SA"/>
    </w:rPr>
  </w:style>
  <w:style w:type="paragraph" w:customStyle="1" w:styleId="92">
    <w:name w:val="样式 正文wjh + 首行缩进:  0.99 厘米 段前: 18 磅"/>
    <w:basedOn w:val="1"/>
    <w:qFormat/>
    <w:uiPriority w:val="0"/>
    <w:pPr>
      <w:spacing w:line="360" w:lineRule="auto"/>
      <w:ind w:firstLine="561"/>
      <w:jc w:val="left"/>
    </w:pPr>
    <w:rPr>
      <w:rFonts w:ascii="Calibri" w:hAnsi="Calibri" w:cs="宋体"/>
      <w:sz w:val="24"/>
    </w:rPr>
  </w:style>
  <w:style w:type="paragraph" w:customStyle="1" w:styleId="93">
    <w:name w:val="LP正"/>
    <w:basedOn w:val="1"/>
    <w:qFormat/>
    <w:uiPriority w:val="0"/>
    <w:pPr>
      <w:spacing w:line="480" w:lineRule="exact"/>
      <w:ind w:firstLine="480" w:firstLineChars="200"/>
    </w:pPr>
    <w:rPr>
      <w:rFonts w:ascii="Calibri" w:hAnsi="Calibri"/>
      <w:sz w:val="24"/>
    </w:rPr>
  </w:style>
  <w:style w:type="paragraph" w:customStyle="1" w:styleId="94">
    <w:name w:val="李发荣个人正文"/>
    <w:basedOn w:val="1"/>
    <w:next w:val="1"/>
    <w:qFormat/>
    <w:uiPriority w:val="0"/>
    <w:pPr>
      <w:spacing w:line="360" w:lineRule="auto"/>
      <w:ind w:firstLine="504" w:firstLineChars="200"/>
    </w:pPr>
    <w:rPr>
      <w:rFonts w:ascii="宋体" w:hAnsi="宋体" w:cs="宋体"/>
      <w:kern w:val="0"/>
      <w:sz w:val="24"/>
    </w:rPr>
  </w:style>
  <w:style w:type="paragraph" w:customStyle="1" w:styleId="95">
    <w:name w:val="环保正文"/>
    <w:basedOn w:val="1"/>
    <w:qFormat/>
    <w:uiPriority w:val="0"/>
    <w:pPr>
      <w:tabs>
        <w:tab w:val="left" w:pos="0"/>
        <w:tab w:val="left" w:pos="7012"/>
      </w:tabs>
      <w:autoSpaceDE w:val="0"/>
      <w:autoSpaceDN w:val="0"/>
      <w:spacing w:line="360" w:lineRule="auto"/>
      <w:ind w:firstLine="200" w:firstLineChars="200"/>
    </w:pPr>
    <w:rPr>
      <w:rFonts w:ascii="宋体" w:hAnsi="宋体" w:cs="宋体"/>
      <w:sz w:val="24"/>
    </w:rPr>
  </w:style>
  <w:style w:type="paragraph" w:customStyle="1" w:styleId="96">
    <w:name w:val="表格内文字格式"/>
    <w:basedOn w:val="1"/>
    <w:qFormat/>
    <w:uiPriority w:val="99"/>
    <w:pPr>
      <w:spacing w:line="240" w:lineRule="auto"/>
      <w:ind w:firstLine="0" w:firstLineChars="0"/>
      <w:jc w:val="center"/>
    </w:pPr>
    <w:rPr>
      <w:rFonts w:cs="Arial"/>
      <w:bCs/>
      <w:kern w:val="10"/>
      <w:sz w:val="21"/>
      <w:szCs w:val="21"/>
    </w:rPr>
  </w:style>
  <w:style w:type="paragraph" w:customStyle="1" w:styleId="97">
    <w:name w:val="环评正文编号"/>
    <w:basedOn w:val="1"/>
    <w:qFormat/>
    <w:uiPriority w:val="0"/>
    <w:pPr>
      <w:spacing w:before="100" w:beforeAutospacing="1" w:after="100" w:afterAutospacing="1" w:line="360" w:lineRule="auto"/>
      <w:ind w:left="425" w:firstLine="442"/>
    </w:pPr>
    <w:rPr>
      <w:rFonts w:ascii="仿宋_GB2312" w:hAnsi="宋体" w:eastAsia="仿宋_GB2312"/>
      <w:sz w:val="24"/>
    </w:rPr>
  </w:style>
  <w:style w:type="paragraph" w:customStyle="1" w:styleId="98">
    <w:name w:val="样式 正文缩进正文缩进2正文缩进 Char Char正文缩进 Char Char Char Char正文缩进 Char ..."/>
    <w:basedOn w:val="8"/>
    <w:qFormat/>
    <w:uiPriority w:val="0"/>
    <w:pPr>
      <w:spacing w:line="360" w:lineRule="auto"/>
      <w:ind w:firstLine="200"/>
    </w:pPr>
    <w:rPr>
      <w:rFonts w:cs="宋体"/>
      <w:sz w:val="24"/>
    </w:rPr>
  </w:style>
  <w:style w:type="paragraph" w:customStyle="1" w:styleId="99">
    <w:name w:val="正文文本缩进-1"/>
    <w:qFormat/>
    <w:uiPriority w:val="0"/>
    <w:pPr>
      <w:adjustRightInd w:val="0"/>
      <w:snapToGrid w:val="0"/>
      <w:spacing w:line="560" w:lineRule="exact"/>
      <w:ind w:firstLine="480"/>
    </w:pPr>
    <w:rPr>
      <w:rFonts w:ascii="Times New Roman" w:hAnsi="Times New Roman" w:eastAsia="宋体" w:cs="Times New Roman"/>
      <w:sz w:val="24"/>
      <w:szCs w:val="24"/>
      <w:lang w:val="en-US" w:eastAsia="zh-CN" w:bidi="ar-SA"/>
    </w:rPr>
  </w:style>
  <w:style w:type="paragraph" w:customStyle="1" w:styleId="100">
    <w:name w:val="样式5"/>
    <w:basedOn w:val="1"/>
    <w:qFormat/>
    <w:uiPriority w:val="0"/>
    <w:pPr>
      <w:snapToGrid w:val="0"/>
      <w:spacing w:line="360" w:lineRule="auto"/>
      <w:ind w:firstLine="510"/>
    </w:pPr>
    <w:rPr>
      <w:sz w:val="24"/>
    </w:rPr>
  </w:style>
  <w:style w:type="paragraph" w:customStyle="1" w:styleId="101">
    <w:name w:val="正式表格"/>
    <w:basedOn w:val="1"/>
    <w:qFormat/>
    <w:uiPriority w:val="0"/>
    <w:pPr>
      <w:widowControl/>
      <w:contextualSpacing/>
      <w:jc w:val="center"/>
    </w:pPr>
    <w:rPr>
      <w:rFonts w:ascii="Times New Roman" w:hAnsi="Times New Roman"/>
      <w:kern w:val="0"/>
      <w:sz w:val="20"/>
      <w:szCs w:val="20"/>
    </w:rPr>
  </w:style>
  <w:style w:type="paragraph" w:customStyle="1" w:styleId="102">
    <w:name w:val="表头  样式18"/>
    <w:basedOn w:val="1"/>
    <w:qFormat/>
    <w:uiPriority w:val="99"/>
    <w:pPr>
      <w:spacing w:line="240" w:lineRule="auto"/>
      <w:ind w:firstLine="0" w:firstLineChars="0"/>
      <w:jc w:val="center"/>
    </w:pPr>
    <w:rPr>
      <w:kern w:val="0"/>
      <w:szCs w:val="20"/>
    </w:rPr>
  </w:style>
  <w:style w:type="paragraph" w:styleId="103">
    <w:name w:val="No Spacing"/>
    <w:qFormat/>
    <w:uiPriority w:val="1"/>
    <w:pPr>
      <w:jc w:val="center"/>
    </w:pPr>
    <w:rPr>
      <w:rFonts w:ascii="Times New Roman" w:hAnsi="Times New Roman" w:eastAsia="宋体" w:cs="Times New Roman"/>
      <w:kern w:val="2"/>
      <w:sz w:val="24"/>
      <w:szCs w:val="22"/>
      <w:lang w:val="en-US" w:eastAsia="zh-CN" w:bidi="ar-SA"/>
    </w:rPr>
  </w:style>
  <w:style w:type="paragraph" w:customStyle="1" w:styleId="104">
    <w:name w:val="普通(网站)2"/>
    <w:basedOn w:val="1"/>
    <w:qFormat/>
    <w:uiPriority w:val="0"/>
    <w:pPr>
      <w:widowControl/>
      <w:spacing w:before="100" w:beforeAutospacing="1" w:after="100" w:afterAutospacing="1"/>
      <w:jc w:val="left"/>
    </w:pPr>
    <w:rPr>
      <w:rFonts w:ascii="宋体" w:hAnsi="宋体"/>
      <w:sz w:val="24"/>
      <w:szCs w:val="20"/>
    </w:rPr>
  </w:style>
  <w:style w:type="paragraph" w:customStyle="1" w:styleId="105">
    <w:name w:val="正文样式"/>
    <w:basedOn w:val="1"/>
    <w:qFormat/>
    <w:uiPriority w:val="0"/>
    <w:pPr>
      <w:spacing w:line="360" w:lineRule="auto"/>
      <w:ind w:firstLine="480" w:firstLineChars="200"/>
    </w:pPr>
    <w:rPr>
      <w:rFonts w:hAnsi="宋体"/>
      <w:color w:val="000000"/>
      <w:kern w:val="2"/>
      <w:szCs w:val="24"/>
    </w:rPr>
  </w:style>
  <w:style w:type="paragraph" w:customStyle="1" w:styleId="106">
    <w:name w:val="1正文"/>
    <w:basedOn w:val="1"/>
    <w:qFormat/>
    <w:uiPriority w:val="0"/>
    <w:pPr>
      <w:spacing w:line="360" w:lineRule="auto"/>
      <w:ind w:firstLine="200" w:firstLineChars="200"/>
      <w:jc w:val="left"/>
    </w:pPr>
    <w:rPr>
      <w:kern w:val="0"/>
      <w:sz w:val="20"/>
      <w:szCs w:val="20"/>
    </w:rPr>
  </w:style>
  <w:style w:type="paragraph" w:customStyle="1" w:styleId="107">
    <w:name w:val="正文_6"/>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08">
    <w:name w:val="表ge"/>
    <w:basedOn w:val="1"/>
    <w:qFormat/>
    <w:uiPriority w:val="0"/>
    <w:pPr>
      <w:widowControl/>
      <w:jc w:val="center"/>
    </w:pPr>
    <w:rPr>
      <w:kern w:val="28"/>
      <w:szCs w:val="21"/>
    </w:rPr>
  </w:style>
  <w:style w:type="paragraph" w:customStyle="1" w:styleId="109">
    <w:name w:val="HP表格标题"/>
    <w:qFormat/>
    <w:uiPriority w:val="0"/>
    <w:pPr>
      <w:spacing w:line="440" w:lineRule="exact"/>
      <w:jc w:val="center"/>
    </w:pPr>
    <w:rPr>
      <w:rFonts w:ascii="Calibri" w:hAnsi="Calibri" w:eastAsia="宋体" w:cs="Times New Roman"/>
      <w:b/>
      <w:sz w:val="24"/>
      <w:szCs w:val="24"/>
      <w:lang w:val="en-US" w:eastAsia="zh-CN" w:bidi="ar-SA"/>
    </w:rPr>
  </w:style>
  <w:style w:type="paragraph" w:customStyle="1" w:styleId="110">
    <w:name w:val="HP表格内容"/>
    <w:qFormat/>
    <w:uiPriority w:val="0"/>
    <w:pPr>
      <w:jc w:val="center"/>
    </w:pPr>
    <w:rPr>
      <w:rFonts w:ascii="Calibri" w:hAnsi="Calibri" w:eastAsia="宋体" w:cs="Times New Roman"/>
      <w:sz w:val="24"/>
      <w:szCs w:val="24"/>
      <w:lang w:val="en-US" w:eastAsia="zh-CN" w:bidi="ar-SA"/>
    </w:rPr>
  </w:style>
  <w:style w:type="paragraph" w:customStyle="1" w:styleId="111">
    <w:name w:val="Body Text First Indent 2"/>
    <w:basedOn w:val="112"/>
    <w:qFormat/>
    <w:uiPriority w:val="0"/>
    <w:pPr>
      <w:ind w:firstLine="420" w:firstLineChars="200"/>
    </w:pPr>
    <w:rPr>
      <w:rFonts w:cs="Calibri"/>
      <w:kern w:val="0"/>
      <w:sz w:val="20"/>
      <w:szCs w:val="20"/>
    </w:rPr>
  </w:style>
  <w:style w:type="paragraph" w:customStyle="1" w:styleId="112">
    <w:name w:val="Body Text Indent"/>
    <w:basedOn w:val="1"/>
    <w:qFormat/>
    <w:uiPriority w:val="0"/>
    <w:pPr>
      <w:spacing w:after="120" w:afterLines="0"/>
      <w:ind w:left="420" w:leftChars="200"/>
    </w:pPr>
    <w:rPr>
      <w:rFonts w:cs="Calibri"/>
      <w:kern w:val="0"/>
      <w:sz w:val="20"/>
      <w:szCs w:val="20"/>
    </w:rPr>
  </w:style>
  <w:style w:type="paragraph" w:customStyle="1" w:styleId="113">
    <w:name w:val="Body text|1"/>
    <w:basedOn w:val="1"/>
    <w:qFormat/>
    <w:uiPriority w:val="0"/>
    <w:pPr>
      <w:widowControl w:val="0"/>
      <w:shd w:val="clear" w:color="auto" w:fill="auto"/>
      <w:spacing w:after="240" w:line="480" w:lineRule="auto"/>
      <w:ind w:firstLine="400"/>
    </w:pPr>
    <w:rPr>
      <w:rFonts w:ascii="宋体" w:hAnsi="宋体" w:eastAsia="宋体" w:cs="宋体"/>
      <w:sz w:val="22"/>
      <w:szCs w:val="22"/>
      <w:u w:val="none"/>
      <w:shd w:val="clear" w:color="auto" w:fill="auto"/>
      <w:lang w:val="zh-TW" w:eastAsia="zh-TW" w:bidi="zh-TW"/>
    </w:rPr>
  </w:style>
  <w:style w:type="paragraph" w:customStyle="1" w:styleId="114">
    <w:name w:val="报告表正文"/>
    <w:basedOn w:val="1"/>
    <w:qFormat/>
    <w:uiPriority w:val="0"/>
    <w:pPr>
      <w:overflowPunct w:val="0"/>
      <w:adjustRightInd w:val="0"/>
      <w:snapToGrid w:val="0"/>
      <w:spacing w:line="360" w:lineRule="auto"/>
      <w:ind w:firstLine="200" w:firstLineChars="200"/>
    </w:pPr>
    <w:rPr>
      <w:rFonts w:ascii="Times New Roman" w:hAnsi="Times New Roman" w:eastAsia="仿宋_GB2312"/>
      <w:color w:val="000000"/>
      <w:kern w:val="16"/>
      <w:sz w:val="24"/>
      <w:szCs w:val="24"/>
    </w:rPr>
  </w:style>
  <w:style w:type="paragraph" w:customStyle="1" w:styleId="115">
    <w:name w:val="TB表格内容"/>
    <w:basedOn w:val="1"/>
    <w:qFormat/>
    <w:uiPriority w:val="0"/>
    <w:pPr>
      <w:spacing w:line="320" w:lineRule="exact"/>
      <w:jc w:val="center"/>
    </w:pPr>
    <w:rPr>
      <w:szCs w:val="22"/>
    </w:rPr>
  </w:style>
  <w:style w:type="paragraph" w:customStyle="1" w:styleId="116">
    <w:name w:val="Table Text"/>
    <w:basedOn w:val="1"/>
    <w:semiHidden/>
    <w:qFormat/>
    <w:uiPriority w:val="0"/>
    <w:rPr>
      <w:rFonts w:ascii="宋体" w:hAnsi="宋体" w:eastAsia="宋体" w:cs="宋体"/>
      <w:sz w:val="21"/>
      <w:szCs w:val="21"/>
      <w:lang w:val="en-US" w:eastAsia="en-US" w:bidi="ar-SA"/>
    </w:rPr>
  </w:style>
  <w:style w:type="table" w:customStyle="1" w:styleId="117">
    <w:name w:val="Table Normal"/>
    <w:unhideWhenUsed/>
    <w:qFormat/>
    <w:uiPriority w:val="0"/>
    <w:tblPr>
      <w:tblCellMar>
        <w:top w:w="0" w:type="dxa"/>
        <w:left w:w="0" w:type="dxa"/>
        <w:bottom w:w="0" w:type="dxa"/>
        <w:right w:w="0" w:type="dxa"/>
      </w:tblCellMar>
    </w:tblPr>
  </w:style>
  <w:style w:type="paragraph" w:customStyle="1" w:styleId="118">
    <w:name w:val="表内容"/>
    <w:basedOn w:val="1"/>
    <w:qFormat/>
    <w:uiPriority w:val="0"/>
    <w:pPr>
      <w:spacing w:line="240" w:lineRule="auto"/>
      <w:ind w:firstLine="0" w:firstLineChars="0"/>
      <w:jc w:val="center"/>
    </w:pPr>
    <w:rPr>
      <w:sz w:val="21"/>
    </w:rPr>
  </w:style>
  <w:style w:type="paragraph" w:customStyle="1" w:styleId="119">
    <w:name w:val="WPS Plain"/>
    <w:qFormat/>
    <w:uiPriority w:val="0"/>
    <w:rPr>
      <w:rFonts w:ascii="Times New Roman" w:hAnsi="Times New Roman" w:eastAsia="宋体" w:cs="Times New Roman"/>
      <w:lang w:val="en-US" w:eastAsia="zh-CN" w:bidi="ar-SA"/>
    </w:rPr>
  </w:style>
  <w:style w:type="paragraph" w:customStyle="1" w:styleId="120">
    <w:name w:val="晓丹"/>
    <w:basedOn w:val="23"/>
    <w:qFormat/>
    <w:uiPriority w:val="0"/>
    <w:pPr>
      <w:adjustRightInd w:val="0"/>
      <w:snapToGrid w:val="0"/>
      <w:spacing w:after="0" w:line="360" w:lineRule="auto"/>
      <w:ind w:firstLine="200" w:firstLineChars="200"/>
      <w:textAlignment w:val="baseline"/>
    </w:pPr>
    <w:rPr>
      <w:rFonts w:ascii="宋体" w:hAnsi="宋体"/>
      <w:color w:val="000000"/>
      <w:spacing w:val="6"/>
      <w:kern w:val="0"/>
      <w:sz w:val="24"/>
    </w:rPr>
  </w:style>
  <w:style w:type="paragraph" w:customStyle="1" w:styleId="121">
    <w:name w:val="啊啊"/>
    <w:basedOn w:val="1"/>
    <w:qFormat/>
    <w:uiPriority w:val="0"/>
    <w:pPr>
      <w:spacing w:line="360" w:lineRule="auto"/>
      <w:ind w:firstLine="200" w:firstLineChars="200"/>
    </w:pPr>
    <w:rPr>
      <w:sz w:val="28"/>
      <w:szCs w:val="28"/>
    </w:rPr>
  </w:style>
  <w:style w:type="character" w:customStyle="1" w:styleId="122">
    <w:name w:val="font51"/>
    <w:basedOn w:val="26"/>
    <w:qFormat/>
    <w:uiPriority w:val="0"/>
    <w:rPr>
      <w:rFonts w:ascii="宋体" w:hAnsi="宋体" w:eastAsia="宋体" w:cs="宋体"/>
      <w:b/>
      <w:bCs/>
      <w:color w:val="000000"/>
      <w:sz w:val="28"/>
      <w:szCs w:val="28"/>
      <w:u w:val="none"/>
    </w:rPr>
  </w:style>
  <w:style w:type="character" w:customStyle="1" w:styleId="123">
    <w:name w:val="font61"/>
    <w:basedOn w:val="26"/>
    <w:qFormat/>
    <w:uiPriority w:val="0"/>
    <w:rPr>
      <w:rFonts w:ascii="宋体" w:hAnsi="宋体" w:eastAsia="宋体" w:cs="宋体"/>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9" Type="http://schemas.openxmlformats.org/officeDocument/2006/relationships/fontTable" Target="fontTable.xml"/><Relationship Id="rId88" Type="http://schemas.openxmlformats.org/officeDocument/2006/relationships/customXml" Target="../customXml/item2.xml"/><Relationship Id="rId87" Type="http://schemas.openxmlformats.org/officeDocument/2006/relationships/numbering" Target="numbering.xml"/><Relationship Id="rId86" Type="http://schemas.openxmlformats.org/officeDocument/2006/relationships/customXml" Target="../customXml/item1.xml"/><Relationship Id="rId85" Type="http://schemas.openxmlformats.org/officeDocument/2006/relationships/image" Target="media/image78.jpeg"/><Relationship Id="rId84" Type="http://schemas.openxmlformats.org/officeDocument/2006/relationships/image" Target="media/image77.jpeg"/><Relationship Id="rId83" Type="http://schemas.openxmlformats.org/officeDocument/2006/relationships/image" Target="media/image76.png"/><Relationship Id="rId82" Type="http://schemas.openxmlformats.org/officeDocument/2006/relationships/image" Target="media/image75.jpeg"/><Relationship Id="rId81" Type="http://schemas.openxmlformats.org/officeDocument/2006/relationships/image" Target="media/image74.png"/><Relationship Id="rId80" Type="http://schemas.openxmlformats.org/officeDocument/2006/relationships/image" Target="media/image73.png"/><Relationship Id="rId8" Type="http://schemas.openxmlformats.org/officeDocument/2006/relationships/image" Target="media/image1.png"/><Relationship Id="rId79" Type="http://schemas.openxmlformats.org/officeDocument/2006/relationships/image" Target="media/image72.png"/><Relationship Id="rId78" Type="http://schemas.openxmlformats.org/officeDocument/2006/relationships/image" Target="media/image71.png"/><Relationship Id="rId77" Type="http://schemas.openxmlformats.org/officeDocument/2006/relationships/image" Target="media/image70.png"/><Relationship Id="rId76" Type="http://schemas.openxmlformats.org/officeDocument/2006/relationships/image" Target="media/image69.png"/><Relationship Id="rId75" Type="http://schemas.openxmlformats.org/officeDocument/2006/relationships/image" Target="media/image68.png"/><Relationship Id="rId74" Type="http://schemas.openxmlformats.org/officeDocument/2006/relationships/image" Target="media/image67.png"/><Relationship Id="rId73" Type="http://schemas.openxmlformats.org/officeDocument/2006/relationships/image" Target="media/image66.png"/><Relationship Id="rId72" Type="http://schemas.openxmlformats.org/officeDocument/2006/relationships/image" Target="media/image65.png"/><Relationship Id="rId71" Type="http://schemas.openxmlformats.org/officeDocument/2006/relationships/image" Target="media/image64.png"/><Relationship Id="rId70" Type="http://schemas.openxmlformats.org/officeDocument/2006/relationships/image" Target="media/image63.png"/><Relationship Id="rId7" Type="http://schemas.openxmlformats.org/officeDocument/2006/relationships/theme" Target="theme/theme1.xml"/><Relationship Id="rId69" Type="http://schemas.openxmlformats.org/officeDocument/2006/relationships/image" Target="media/image62.png"/><Relationship Id="rId68" Type="http://schemas.openxmlformats.org/officeDocument/2006/relationships/image" Target="media/image61.png"/><Relationship Id="rId67" Type="http://schemas.openxmlformats.org/officeDocument/2006/relationships/image" Target="media/image60.png"/><Relationship Id="rId66" Type="http://schemas.openxmlformats.org/officeDocument/2006/relationships/image" Target="media/image59.png"/><Relationship Id="rId65" Type="http://schemas.openxmlformats.org/officeDocument/2006/relationships/image" Target="media/image58.png"/><Relationship Id="rId64" Type="http://schemas.openxmlformats.org/officeDocument/2006/relationships/image" Target="media/image57.png"/><Relationship Id="rId63" Type="http://schemas.openxmlformats.org/officeDocument/2006/relationships/image" Target="media/image56.png"/><Relationship Id="rId62" Type="http://schemas.openxmlformats.org/officeDocument/2006/relationships/image" Target="media/image55.png"/><Relationship Id="rId61" Type="http://schemas.openxmlformats.org/officeDocument/2006/relationships/image" Target="media/image54.png"/><Relationship Id="rId60" Type="http://schemas.openxmlformats.org/officeDocument/2006/relationships/image" Target="media/image53.png"/><Relationship Id="rId6" Type="http://schemas.openxmlformats.org/officeDocument/2006/relationships/footer" Target="footer4.xml"/><Relationship Id="rId59" Type="http://schemas.openxmlformats.org/officeDocument/2006/relationships/image" Target="media/image52.jpeg"/><Relationship Id="rId58" Type="http://schemas.openxmlformats.org/officeDocument/2006/relationships/image" Target="media/image51.jpeg"/><Relationship Id="rId57" Type="http://schemas.openxmlformats.org/officeDocument/2006/relationships/image" Target="media/image50.png"/><Relationship Id="rId56" Type="http://schemas.openxmlformats.org/officeDocument/2006/relationships/image" Target="media/image49.png"/><Relationship Id="rId55" Type="http://schemas.openxmlformats.org/officeDocument/2006/relationships/image" Target="media/image48.png"/><Relationship Id="rId54" Type="http://schemas.openxmlformats.org/officeDocument/2006/relationships/image" Target="media/image47.png"/><Relationship Id="rId53" Type="http://schemas.openxmlformats.org/officeDocument/2006/relationships/image" Target="media/image46.png"/><Relationship Id="rId52" Type="http://schemas.openxmlformats.org/officeDocument/2006/relationships/image" Target="media/image45.png"/><Relationship Id="rId51" Type="http://schemas.openxmlformats.org/officeDocument/2006/relationships/image" Target="media/image44.png"/><Relationship Id="rId50" Type="http://schemas.openxmlformats.org/officeDocument/2006/relationships/image" Target="media/image43.png"/><Relationship Id="rId5" Type="http://schemas.openxmlformats.org/officeDocument/2006/relationships/footer" Target="footer3.xml"/><Relationship Id="rId49" Type="http://schemas.openxmlformats.org/officeDocument/2006/relationships/image" Target="media/image42.png"/><Relationship Id="rId48" Type="http://schemas.openxmlformats.org/officeDocument/2006/relationships/image" Target="media/image41.png"/><Relationship Id="rId47" Type="http://schemas.openxmlformats.org/officeDocument/2006/relationships/image" Target="media/image40.png"/><Relationship Id="rId46" Type="http://schemas.openxmlformats.org/officeDocument/2006/relationships/image" Target="media/image39.png"/><Relationship Id="rId45" Type="http://schemas.openxmlformats.org/officeDocument/2006/relationships/image" Target="media/image38.png"/><Relationship Id="rId44" Type="http://schemas.openxmlformats.org/officeDocument/2006/relationships/image" Target="media/image37.png"/><Relationship Id="rId43" Type="http://schemas.openxmlformats.org/officeDocument/2006/relationships/image" Target="media/image36.png"/><Relationship Id="rId42" Type="http://schemas.openxmlformats.org/officeDocument/2006/relationships/image" Target="media/image35.png"/><Relationship Id="rId41" Type="http://schemas.openxmlformats.org/officeDocument/2006/relationships/image" Target="media/image34.jpeg"/><Relationship Id="rId40" Type="http://schemas.openxmlformats.org/officeDocument/2006/relationships/image" Target="media/image33.png"/><Relationship Id="rId4" Type="http://schemas.openxmlformats.org/officeDocument/2006/relationships/footer" Target="footer2.xml"/><Relationship Id="rId39" Type="http://schemas.openxmlformats.org/officeDocument/2006/relationships/image" Target="media/image32.png"/><Relationship Id="rId38" Type="http://schemas.openxmlformats.org/officeDocument/2006/relationships/image" Target="media/image31.png"/><Relationship Id="rId37" Type="http://schemas.openxmlformats.org/officeDocument/2006/relationships/image" Target="media/image30.jpeg"/><Relationship Id="rId36" Type="http://schemas.openxmlformats.org/officeDocument/2006/relationships/image" Target="media/image29.png"/><Relationship Id="rId35" Type="http://schemas.openxmlformats.org/officeDocument/2006/relationships/image" Target="media/image28.png"/><Relationship Id="rId34" Type="http://schemas.openxmlformats.org/officeDocument/2006/relationships/image" Target="media/image27.png"/><Relationship Id="rId33" Type="http://schemas.openxmlformats.org/officeDocument/2006/relationships/image" Target="media/image26.png"/><Relationship Id="rId32" Type="http://schemas.openxmlformats.org/officeDocument/2006/relationships/image" Target="media/image25.png"/><Relationship Id="rId31" Type="http://schemas.openxmlformats.org/officeDocument/2006/relationships/image" Target="media/image24.png"/><Relationship Id="rId30" Type="http://schemas.openxmlformats.org/officeDocument/2006/relationships/image" Target="media/image23.png"/><Relationship Id="rId3" Type="http://schemas.openxmlformats.org/officeDocument/2006/relationships/footer" Target="footer1.xml"/><Relationship Id="rId29" Type="http://schemas.openxmlformats.org/officeDocument/2006/relationships/image" Target="media/image22.png"/><Relationship Id="rId28" Type="http://schemas.openxmlformats.org/officeDocument/2006/relationships/image" Target="media/image21.jpeg"/><Relationship Id="rId27" Type="http://schemas.openxmlformats.org/officeDocument/2006/relationships/image" Target="media/image20.jpeg"/><Relationship Id="rId26" Type="http://schemas.openxmlformats.org/officeDocument/2006/relationships/image" Target="media/image19.jpeg"/><Relationship Id="rId25" Type="http://schemas.openxmlformats.org/officeDocument/2006/relationships/image" Target="media/image18.jpeg"/><Relationship Id="rId24" Type="http://schemas.openxmlformats.org/officeDocument/2006/relationships/image" Target="media/image17.jpeg"/><Relationship Id="rId23" Type="http://schemas.openxmlformats.org/officeDocument/2006/relationships/image" Target="media/image16.jpeg"/><Relationship Id="rId22" Type="http://schemas.openxmlformats.org/officeDocument/2006/relationships/image" Target="media/image15.jpeg"/><Relationship Id="rId21" Type="http://schemas.openxmlformats.org/officeDocument/2006/relationships/image" Target="media/image14.jpe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a7501a78-43cf-4525-a8f6-ce16dba9157e</errorID>
      <errorWord>鄂尔多斯准格尔经济开发区准格尔产业园内的伊东循环经济产业园</errorWord>
      <group>L1_Other</group>
      <groupName>其他问题</groupName>
      <ability>L2_Consistency</ability>
      <abilityName>一致性检查</abilityName>
      <candidateList>
        <item>鄂尔多斯市准格尔旗准格尔产业园伊东循环经济产业园</item>
      </candidateList>
      <explain>实体一致性：前后表述不一致，应统一为‘鄂尔多斯市准格尔旗准格尔产业园伊东循环经济产业园’</explain>
      <paraID>69B1DB6A</paraID>
      <start>0</start>
      <end>24</end>
      <status>modified</status>
      <modifiedWord>鄂尔多斯市准格尔旗准格尔产业园伊东循环经济产业园</modifiedWord>
      <trackRevisions>false</trackRevisions>
    </reviewItem>
    <reviewItem>
      <errorID>d3421454-eef3-4294-b9a7-b62126ed2401</errorID>
      <errorWord>准格尔旗</errorWord>
      <group>L1_Punc</group>
      <groupName>标点问题</groupName>
      <ability>L2_Punc</ability>
      <abilityName>标点符号检查</abilityName>
      <candidateList>
        <item>，准格尔旗</item>
      </candidateList>
      <explain/>
      <paraID>1E7193F3</paraID>
      <start>9</start>
      <end>14</end>
      <status>modified</status>
      <modifiedWord>，准格尔旗</modifiedWord>
      <trackRevisions>false</trackRevisions>
    </reviewItem>
    <reviewItem>
      <errorID>9d9fc937-e720-475e-a228-c1649be6c22a</errorID>
      <errorWord>【2023】352号</errorWord>
      <group>L1_Knowledge</group>
      <groupName>知识性问题</groupName>
      <ability>L2_Knowledge</ability>
      <abilityName>其他知识</abilityName>
      <candidateList>
        <item>〔2023〕352号</item>
      </candidateList>
      <explain>发文字号格式错误。</explain>
      <paraID>1E7193F3</paraID>
      <start>52</start>
      <end>62</end>
      <status>modified</status>
      <modifiedWord>〔2023〕352号</modifiedWord>
      <trackRevisions>false</trackRevisions>
    </reviewItem>
    <reviewItem>
      <errorID>fa654b7d-573c-4071-ba72-233d8511df73</errorID>
      <errorWord>两</errorWord>
      <group>L1_Punc</group>
      <groupName>标点问题</groupName>
      <ability>L2_Punc</ability>
      <abilityName>标点符号检查</abilityName>
      <candidateList>
        <item>”两</item>
      </candidateList>
      <explain/>
      <paraID>3374A927</paraID>
      <start>76</start>
      <end>78</end>
      <status>modified</status>
      <modifiedWord>”两</modifiedWord>
      <trackRevisions>false</trackRevisions>
    </reviewItem>
    <reviewItem>
      <errorID>3d13d2f0-d593-47ee-bb7d-dfab34d866d4</errorID>
      <errorWord>。</errorWord>
      <group>L1_Punc</group>
      <groupName>标点问题</groupName>
      <ability>L2_Punc</ability>
      <abilityName>标点符号检查</abilityName>
      <candidateList>
        <item>，</item>
      </candidateList>
      <explain/>
      <paraID>3374A927</paraID>
      <start>116</start>
      <end>117</end>
      <status>modified</status>
      <modifiedWord>，</modifiedWord>
      <trackRevisions>false</trackRevisions>
    </reviewItem>
    <reviewItem>
      <errorID>e0bcf67b-c6e5-40b4-bc72-dbb6f1456061</errorID>
      <errorWord>”</errorWord>
      <group>L1_Punc</group>
      <groupName>标点问题</groupName>
      <ability>L2_Punc</ability>
      <abilityName>标点符号检查</abilityName>
      <candidateList>
        <item/>
      </candidateList>
      <explain/>
      <paraID>3374A927</paraID>
      <start>145</start>
      <end>146</end>
      <status>ignored</status>
      <modifiedWord/>
      <trackRevisions>false</trackRevisions>
    </reviewItem>
    <reviewItem>
      <errorID>55711183-a314-4032-9895-c11531e5b8bf</errorID>
      <errorWord>：</errorWord>
      <group>L1_Punc</group>
      <groupName>标点问题</groupName>
      <ability>L2_Punc</ability>
      <abilityName>标点符号检查</abilityName>
      <candidateList>
        <item>。</item>
      </candidateList>
      <explain/>
      <paraID>7AF457F4</paraID>
      <start>129</start>
      <end>130</end>
      <status>modified</status>
      <modifiedWord>。</modifiedWord>
      <trackRevisions>false</trackRevisions>
    </reviewItem>
    <reviewItem>
      <errorID>cefe4b4e-89ad-4e9e-b4be-4cf3a5cb85b5</errorID>
      <errorWord>，</errorWord>
      <group>L1_Punc</group>
      <groupName>标点问题</groupName>
      <ability>L2_Punc</ability>
      <abilityName>标点符号检查</abilityName>
      <candidateList>
        <item>。</item>
      </candidateList>
      <explain/>
      <paraID>5F088F38</paraID>
      <start>116</start>
      <end>117</end>
      <status>modified</status>
      <modifiedWord>。</modifiedWord>
      <trackRevisions>false</trackRevisions>
    </reviewItem>
    <reviewItem>
      <errorID>052c7a5a-8a99-4fc9-b43e-99ea6e918126</errorID>
      <errorWord>：</errorWord>
      <group>L1_Punc</group>
      <groupName>标点问题</groupName>
      <ability>L2_Punc</ability>
      <abilityName>标点符号检查</abilityName>
      <candidateList>
        <item>，</item>
      </candidateList>
      <explain/>
      <paraID>3CB62AF3</paraID>
      <start>39</start>
      <end>40</end>
      <status>modified</status>
      <modifiedWord>，</modifiedWord>
      <trackRevisions>false</trackRevisions>
    </reviewItem>
    <reviewItem>
      <errorID>b3787dce-0aa2-436b-89ca-5d32e0621303</errorID>
      <errorWord>及</errorWord>
      <group>L1_Word</group>
      <groupName>字词问题</groupName>
      <ability>L2_Typo</ability>
      <abilityName>字词错误</abilityName>
      <candidateList>
        <item>，</item>
      </candidateList>
      <explain/>
      <paraID>3CB62AF3</paraID>
      <start>63</start>
      <end>64</end>
      <status>modified</status>
      <modifiedWord>，</modifiedWord>
      <trackRevisions>false</trackRevisions>
    </reviewItem>
    <reviewItem>
      <errorID>75e95ba5-3baf-495c-aa06-4f60f7d0a6d1</errorID>
      <errorWord>烟（粉）尘</errorWord>
      <group>L1_Other</group>
      <groupName>其他问题</groupName>
      <ability>L2_Consistency</ability>
      <abilityName>一致性检查</abilityName>
      <candidateList>
        <item>PM10</item>
      </candidateList>
      <explain>术语一致性：在描述大气污染物排放时，‘烟（粉）尘’与其他表述的‘PM10’不一致，应统一为‘PM10’</explain>
      <paraID>12F77D0C</paraID>
      <start>31</start>
      <end>36</end>
      <status>ignored</status>
      <modifiedWord/>
      <trackRevisions>false</trackRevisions>
    </reviewItem>
    <reviewItem>
      <errorID>f8a91bd9-e3f8-44a2-96fc-7da984e3f0df</errorID>
      <errorWord>。</errorWord>
      <group>L1_Grammar</group>
      <groupName>语法问题</groupName>
      <ability>L2_Grammar</ability>
      <abilityName>语法错误</abilityName>
      <candidateList>
        <item>相关手续。</item>
      </candidateList>
      <explain/>
      <paraID>567B63C5</paraID>
      <start>16</start>
      <end>21</end>
      <status>modified</status>
      <modifiedWord>相关手续。</modifiedWord>
      <trackRevisions>false</trackRevisions>
    </reviewItem>
    <reviewItem>
      <errorID>3e99d142-4619-4624-91d9-09da92121950</errorID>
      <errorWord>计算</errorWord>
      <group>L1_Word</group>
      <groupName>字词问题</groupName>
      <ability>L2_Typo</ability>
      <abilityName>字词错误</abilityName>
      <candidateList>
        <item>和计算</item>
      </candidateList>
      <explain/>
      <paraID>567B63C5</paraID>
      <start>36</start>
      <end>39</end>
      <status>modified</status>
      <modifiedWord>和计算</modifiedWord>
      <trackRevisions>false</trackRevisions>
    </reviewItem>
    <reviewItem>
      <errorID>7c1abc61-4041-48d4-8675-96f1f3423498</errorID>
      <errorWord>本</errorWord>
      <group>L1_Word</group>
      <groupName>字词问题</groupName>
      <ability>L2_Typo</ability>
      <abilityName>字词错误</abilityName>
      <candidateList>
        <item>若本</item>
      </candidateList>
      <explain/>
      <paraID>567B63C5</paraID>
      <start>59</start>
      <end>61</end>
      <status>modified</status>
      <modifiedWord>若本</modifiedWord>
      <trackRevisions>false</trackRevisions>
    </reviewItem>
    <reviewItem>
      <errorID>25da1860-31cd-4c1c-8acb-0ec267a68cd2</errorID>
      <errorWord>小于排放量</errorWord>
      <group>L1_Grammar</group>
      <groupName>语法问题</groupName>
      <ability>L2_Grammar</ability>
      <abilityName>语法错误</abilityName>
      <candidateList>
        <item>排放量小于园区容量，</item>
      </candidateList>
      <explain/>
      <paraID>567B63C5</paraID>
      <start>63</start>
      <end>73</end>
      <status>modified</status>
      <modifiedWord>排放量小于园区容量，</modifiedWord>
      <trackRevisions>false</trackRevisions>
    </reviewItem>
    <reviewItem>
      <errorID>aa1e9b0c-2fec-4d54-bc0d-ca316bc7858d</errorID>
      <errorWord>最大</errorWord>
      <group>L1_Punc</group>
      <groupName>标点问题</groupName>
      <ability>L2_Punc</ability>
      <abilityName>标点符号检查</abilityName>
      <candidateList>
        <item>，最大</item>
      </candidateList>
      <explain/>
      <paraID>6342A801</paraID>
      <start>77</start>
      <end>80</end>
      <status>modified</status>
      <modifiedWord>，最大</modifiedWord>
      <trackRevisions>false</trackRevisions>
    </reviewItem>
    <reviewItem>
      <errorID>90dfc6de-0165-46a6-9e66-5806f6bd9198</errorID>
      <errorWord>足够</errorWord>
      <group>L1_Grammar</group>
      <groupName>语法问题</groupName>
      <ability>L2_Grammar</ability>
      <abilityName>语法错误</abilityName>
      <candidateList>
        <item>具有足够</item>
      </candidateList>
      <explain/>
      <paraID>6342A801</paraID>
      <start>96</start>
      <end>100</end>
      <status>modified</status>
      <modifiedWord>具有足够</modifiedWord>
      <trackRevisions>false</trackRevisions>
    </reviewItem>
    <reviewItem>
      <errorID>344f3491-8fa0-42f5-b1ec-271d2b195afe</errorID>
      <errorWord>因地制宜</errorWord>
      <group>L1_Political</group>
      <groupName>政治性问题</groupName>
      <ability>L2_Keyword</ability>
      <abilityName>固定表述</abilityName>
      <candidateList>
        <item>。因地制宜</item>
      </candidateList>
      <explain>此处内容疑似含有固定表述相关错误，建议核查。</explain>
      <paraID>6342A801</paraID>
      <start>146</start>
      <end>151</end>
      <status>modified</status>
      <modifiedWord>。因地制宜</modifiedWord>
      <trackRevisions>false</trackRevisions>
    </reviewItem>
    <reviewItem>
      <errorID>ca591fa2-4e25-4cae-a9b8-fee6cfb7697a</errorID>
      <errorWord>使用的要求</errorWord>
      <group>L1_Grammar</group>
      <groupName>语法问题</groupName>
      <ability>L2_Grammar</ability>
      <abilityName>语法错误</abilityName>
      <candidateList>
        <item>使用</item>
      </candidateList>
      <explain/>
      <paraID>78A7772C</paraID>
      <start>7</start>
      <end>9</end>
      <status>modified</status>
      <modifiedWord>使用</modifiedWord>
      <trackRevisions>false</trackRevisions>
    </reviewItem>
    <reviewItem>
      <errorID>dc0ed68d-4b55-422a-b1c0-f7f68b68fb72</errorID>
      <errorWord>项目</errorWord>
      <group>L1_Punc</group>
      <groupName>标点问题</groupName>
      <ability>L2_Punc</ability>
      <abilityName>标点符号检查</abilityName>
      <candidateList>
        <item>，项目</item>
      </candidateList>
      <explain/>
      <paraID>49549CA4</paraID>
      <start>42</start>
      <end>45</end>
      <status>modified</status>
      <modifiedWord>，项目</modifiedWord>
      <trackRevisions>false</trackRevisions>
    </reviewItem>
    <reviewItem>
      <errorID>7eef6685-ef4e-4365-9cf4-6bc9eaa815b2</errorID>
      <errorWord>，</errorWord>
      <group>L1_Grammar</group>
      <groupName>语法问题</groupName>
      <ability>L2_Grammar</ability>
      <abilityName>语法错误</abilityName>
      <candidateList>
        <item>的原则，</item>
      </candidateList>
      <explain/>
      <paraID>16C8D00B</paraID>
      <start>22</start>
      <end>26</end>
      <status>modified</status>
      <modifiedWord>的原则，</modifiedWord>
      <trackRevisions>false</trackRevisions>
    </reviewItem>
    <reviewItem>
      <errorID>c07a3219-7310-45df-a640-a87267c0ada5</errorID>
      <errorWord>，</errorWord>
      <group>L1_Punc</group>
      <groupName>标点问题</groupName>
      <ability>L2_Punc</ability>
      <abilityName>标点符号检查</abilityName>
      <candidateList>
        <item>。</item>
      </candidateList>
      <explain/>
      <paraID>16C8D00B</paraID>
      <start>32</start>
      <end>33</end>
      <status>modified</status>
      <modifiedWord>。</modifiedWord>
      <trackRevisions>false</trackRevisions>
    </reviewItem>
    <reviewItem>
      <errorID>ab0fbfb3-3a24-4e1a-9c27-5f6cd821faa4</errorID>
      <errorWord>用水</errorWord>
      <group>L1_Word</group>
      <groupName>字词问题</groupName>
      <ability>L2_Typo</ability>
      <abilityName>字词错误</abilityName>
      <candidateList>
        <item>相关</item>
      </candidateList>
      <explain/>
      <paraID>16C8D00B</paraID>
      <start>76</start>
      <end>78</end>
      <status>modified</status>
      <modifiedWord>相关</modifiedWord>
      <trackRevisions>false</trackRevisions>
    </reviewItem>
    <reviewItem>
      <errorID>0a289420-6cee-4f29-93ca-9753998c0f5e</errorID>
      <errorWord>回转窑执行根据</errorWord>
      <group>L1_Grammar</group>
      <groupName>语法问题</groupName>
      <ability>L2_Grammar</ability>
      <abilityName>语法错误</abilityName>
      <candidateList>
        <item>回转窑</item>
      </candidateList>
      <explain/>
      <paraID>64A28140</paraID>
      <start>15</start>
      <end>18</end>
      <status>modified</status>
      <modifiedWord>回转窑</modifiedWord>
      <trackRevisions>false</trackRevisions>
    </reviewItem>
    <reviewItem>
      <errorID>732c0052-6152-4043-a143-a1c1911046ee</errorID>
      <errorWord>（</errorWord>
      <group>L1_Punc</group>
      <groupName>标点问题</groupName>
      <ability>L2_Punc</ability>
      <abilityName>标点符号检查</abilityName>
      <candidateList/>
      <explain>此处标点可能未正确匹配，请检查句子中是否存在标点冗余、缺失或使用错误的情况。</explain>
      <paraID> 7764592</paraID>
      <start>15</start>
      <end>16</end>
      <status>ignored</status>
      <modifiedWord/>
      <trackRevisions>false</trackRevisions>
    </reviewItem>
    <reviewItem>
      <errorID>638ac1a4-c5c7-46c5-bbd1-c4bdfa5de247</errorID>
      <errorWord>）</errorWord>
      <group>L1_Punc</group>
      <groupName>标点问题</groupName>
      <ability>L2_Punc</ability>
      <abilityName>标点符号检查</abilityName>
      <candidateList>
        <item/>
      </candidateList>
      <explain/>
      <paraID> E37C498</paraID>
      <start>26</start>
      <end>26</end>
      <status>modified</status>
      <modifiedWord/>
      <trackRevisions>false</trackRevisions>
    </reviewItem>
    <reviewItem>
      <errorID>0284c217-fff2-4f08-b7eb-80aed3a79717</errorID>
      <errorWord>胶粘剂</errorWord>
      <group>L1_Word</group>
      <groupName>字词问题</groupName>
      <ability>L2_Typo</ability>
      <abilityName>字词错误</abilityName>
      <candidateList>
        <item>胶黏剂</item>
      </candidateList>
      <explain/>
      <paraID> E37C498</paraID>
      <start>254</start>
      <end>257</end>
      <status>modified</status>
      <modifiedWord>胶黏剂</modifiedWord>
      <trackRevisions>false</trackRevisions>
    </reviewItem>
    <reviewItem>
      <errorID>ed4258d6-c36d-4872-9a0c-a7161571d694</errorID>
      <errorWord>全封闭</errorWord>
      <group>L1_Grammar</group>
      <groupName>语法问题</groupName>
      <ability>L2_Grammar</ability>
      <abilityName>语法错误</abilityName>
      <candidateList>
        <item>建设全封闭</item>
      </candidateList>
      <explain/>
      <paraID> E37C498</paraID>
      <start>364</start>
      <end>369</end>
      <status>modified</status>
      <modifiedWord>建设全封闭</modifiedWord>
      <trackRevisions>false</trackRevisions>
    </reviewItem>
    <reviewItem>
      <errorID>958f5dda-b999-4a53-af02-806ba638a40e</errorID>
      <errorWord>要求目标</errorWord>
      <group>L1_Grammar</group>
      <groupName>语法问题</groupName>
      <ability>L2_Grammar</ability>
      <abilityName>语法错误</abilityName>
      <candidateList>
        <item>要求</item>
      </candidateList>
      <explain/>
      <paraID>52EF6A06</paraID>
      <start>25</start>
      <end>27</end>
      <status>modified</status>
      <modifiedWord>要求</modifiedWord>
      <trackRevisions>false</trackRevisions>
    </reviewItem>
    <reviewItem>
      <errorID>3a8f3a76-94b8-41c4-8af4-2cad0ccbafba</errorID>
      <errorWord>9+N+X</errorWord>
      <group>L1_Other</group>
      <groupName>其他问题</groupName>
      <ability>L2_Consistency</ability>
      <abilityName>一致性检查</abilityName>
      <candidateList>
        <item>1+N+X</item>
      </candidateList>
      <explain>术语一致性：‘9+N+X’与前文提到的‘1+N+X’不一致，应统一为‘1+N+X’</explain>
      <paraID>28F7D961</paraID>
      <start>35</start>
      <end>40</end>
      <status>ignored</status>
      <modifiedWord/>
      <trackRevisions>false</trackRevisions>
    </reviewItem>
    <reviewItem>
      <errorID>cbf0da8f-3871-46b8-94e4-71bafc66a551</errorID>
      <errorWord>城市规划</errorWord>
      <group>L1_Grammar</group>
      <groupName>语法问题</groupName>
      <ability>L2_Grammar</ability>
      <abilityName>语法错误</abilityName>
      <candidateList>
        <item>的项目，确保城市规划</item>
      </candidateList>
      <explain/>
      <paraID>263C02A3</paraID>
      <start>25</start>
      <end>29</end>
      <status>ignored</status>
      <modifiedWord/>
      <trackRevisions>false</trackRevisions>
    </reviewItem>
    <reviewItem>
      <errorID>56e23a3c-b5cc-42ac-9a27-96989ce28b5f</errorID>
      <errorWord>项目为</errorWord>
      <group>L1_Word</group>
      <groupName>字词问题</groupName>
      <ability>L2_Typo</ability>
      <abilityName>字词错误</abilityName>
      <candidateList>
        <item>项目</item>
      </candidateList>
      <explain>〈名〉事物分成的门类：服务～｜体育～｜建设～。</explain>
      <paraID>79EDFDF7</paraID>
      <start>3</start>
      <end>5</end>
      <status>modified</status>
      <modifiedWord>项目</modifiedWord>
      <trackRevisions>false</trackRevisions>
    </reviewItem>
    <reviewItem>
      <errorID>97f7270a-6efd-4e5d-97ed-63b1ddd08ff0</errorID>
      <errorWord>回转窑执行</errorWord>
      <group>L1_Grammar</group>
      <groupName>语法问题</groupName>
      <ability>L2_Grammar</ability>
      <abilityName>语法错误</abilityName>
      <candidateList>
        <item>回转窑</item>
      </candidateList>
      <explain/>
      <paraID>2D194252</paraID>
      <start>15</start>
      <end>18</end>
      <status>modified</status>
      <modifiedWord>回转窑</modifiedWord>
      <trackRevisions>false</trackRevisions>
    </reviewItem>
    <reviewItem>
      <errorID>7fd08c27-80b3-4b39-9b82-7ada873d115f</errorID>
      <errorWord>，</errorWord>
      <group>L1_Word</group>
      <groupName>字词问题</groupName>
      <ability>L2_Typo</ability>
      <abilityName>字词错误</abilityName>
      <candidateList>
        <item>的</item>
      </candidateList>
      <explain/>
      <paraID>47A6E4A4</paraID>
      <start>24</start>
      <end>25</end>
      <status>modified</status>
      <modifiedWord>的</modifiedWord>
      <trackRevisions>false</trackRevisions>
    </reviewItem>
    <reviewItem>
      <errorID>377dbbbb-944a-4ad2-81c4-e15a21026471</errorID>
      <errorWord>，</errorWord>
      <group>L1_Punc</group>
      <groupName>标点问题</groupName>
      <ability>L2_Punc</ability>
      <abilityName>标点符号检查</abilityName>
      <candidateList>
        <item>。</item>
      </candidateList>
      <explain/>
      <paraID> 6D018E7</paraID>
      <start>7</start>
      <end>8</end>
      <status>modified</status>
      <modifiedWord>。</modifiedWord>
      <trackRevisions>false</trackRevisions>
    </reviewItem>
    <reviewItem>
      <errorID>29e28a3c-2778-49fb-8a42-2c961fa33da7</errorID>
      <errorWord>还有</errorWord>
      <group>L1_Word</group>
      <groupName>字词问题</groupName>
      <ability>L2_Typo</ability>
      <abilityName>字词错误</abilityName>
      <candidateList>
        <item>范围</item>
      </candidateList>
      <explain/>
      <paraID>21C3837F</paraID>
      <start>10</start>
      <end>12</end>
      <status>modified</status>
      <modifiedWord>范围</modifiedWord>
      <trackRevisions>false</trackRevisions>
    </reviewItem>
    <reviewItem>
      <errorID>59b850c8-cc59-4d82-9713-19fce6bfc188</errorID>
      <errorWord>生活废</errorWord>
      <group>L1_Word</group>
      <groupName>字词问题</groupName>
      <ability>L2_Typo</ability>
      <abilityName>字词错误</abilityName>
      <candidateList>
        <item>生活</item>
      </candidateList>
      <explain/>
      <paraID>3BB4C54D</paraID>
      <start>58</start>
      <end>60</end>
      <status>modified</status>
      <modifiedWord>生活</modifiedWord>
      <trackRevisions>false</trackRevisions>
    </reviewItem>
    <reviewItem>
      <errorID>4fd74299-606c-4365-b5e9-06cc5b80cb52</errorID>
      <errorWord>；</errorWord>
      <group>L1_Punc</group>
      <groupName>标点问题</groupName>
      <ability>L2_Punc</ability>
      <abilityName>标点符号检查</abilityName>
      <candidateList>
        <item>。</item>
      </candidateList>
      <explain/>
      <paraID> 9457407</paraID>
      <start>287</start>
      <end>288</end>
      <status>modified</status>
      <modifiedWord>。</modifiedWord>
      <trackRevisions>false</trackRevisions>
    </reviewItem>
    <reviewItem>
      <errorID>bc05d073-0444-41eb-89b1-394e90f53d09</errorID>
      <errorWord>下表</errorWord>
      <group>L1_Grammar</group>
      <groupName>语法问题</groupName>
      <ability>L2_Grammar</ability>
      <abilityName>语法错误</abilityName>
      <candidateList>
        <item>表1-2</item>
      </candidateList>
      <explain/>
      <paraID>77FD2A78</paraID>
      <start>126</start>
      <end>128</end>
      <status>ignored</status>
      <modifiedWord/>
      <trackRevisions>false</trackRevisions>
    </reviewItem>
    <reviewItem>
      <errorID>8563f2e8-8699-459b-9c29-f5a38ffabdcd</errorID>
      <errorWord>本项目本项目</errorWord>
      <group>L1_Word</group>
      <groupName>字词问题</groupName>
      <ability>L2_Typo</ability>
      <abilityName>字词错误</abilityName>
      <candidateList>
        <item>本项目</item>
      </candidateList>
      <explain/>
      <paraID>440E9638</paraID>
      <start>45</start>
      <end>48</end>
      <status>modified</status>
      <modifiedWord>本项目</modifiedWord>
      <trackRevisions>false</trackRevisions>
    </reviewItem>
    <reviewItem>
      <errorID>e819f604-911d-4116-ba16-8a1638816560</errorID>
      <errorWord>有效利用</errorWord>
      <group>L1_Grammar</group>
      <groupName>语法问题</groupName>
      <ability>L2_Grammar</ability>
      <abilityName>语法错误</abilityName>
      <candidateList>
        <item>节约</item>
      </candidateList>
      <explain/>
      <paraID> E6DB710</paraID>
      <start>52</start>
      <end>56</end>
      <status>ignored</status>
      <modifiedWord/>
      <trackRevisions>false</trackRevisions>
    </reviewItem>
    <reviewItem>
      <errorID>a72e4947-5128-4883-9d26-7ac8d5eab7ef</errorID>
      <errorWord>节约</errorWord>
      <group>L1_Word</group>
      <groupName>字词问题</groupName>
      <ability>L2_Typo</ability>
      <abilityName>字词错误</abilityName>
      <candidateList>
        <item>保护</item>
      </candidateList>
      <explain/>
      <paraID> E6DB710</paraID>
      <start>57</start>
      <end>59</end>
      <status>ignored</status>
      <modifiedWord/>
      <trackRevisions>false</trackRevisions>
    </reviewItem>
    <reviewItem>
      <errorID>ded10626-9947-4fd8-990d-f48ec05c828f</errorID>
      <errorWord>保护</errorWord>
      <group>L1_Grammar</group>
      <groupName>语法问题</groupName>
      <ability>L2_Grammar</ability>
      <abilityName>语法错误</abilityName>
      <candidateList>
        <item>有效利用</item>
      </candidateList>
      <explain/>
      <paraID> E6DB710</paraID>
      <start>60</start>
      <end>62</end>
      <status>ignored</status>
      <modifiedWord/>
      <trackRevisions>false</trackRevisions>
    </reviewItem>
    <reviewItem>
      <errorID>b8d3b188-4883-484f-9ed1-90384b89efa5</errorID>
      <errorWord>，</errorWord>
      <group>L1_Grammar</group>
      <groupName>语法问题</groupName>
      <ability>L2_Grammar</ability>
      <abilityName>语法错误</abilityName>
      <candidateList>
        <item>设施，</item>
      </candidateList>
      <explain/>
      <paraID>124FBB73</paraID>
      <start>16</start>
      <end>19</end>
      <status>modified</status>
      <modifiedWord>设施，</modifiedWord>
      <trackRevisions>false</trackRevisions>
    </reviewItem>
    <reviewItem>
      <errorID>f7c84dac-8b69-4887-a10c-dba9e0ae1a98</errorID>
      <errorWord>第三十条</errorWord>
      <group>L1_Word</group>
      <groupName>字词问题</groupName>
      <ability>L2_Typo</ability>
      <abilityName>字词错误</abilityName>
      <candidateList>
        <item>第三十三条</item>
      </candidateList>
      <explain/>
      <paraID>451BF4D5</paraID>
      <start>0</start>
      <end>5</end>
      <status>modified</status>
      <modifiedWord>第三十三条</modifiedWord>
      <trackRevisions>false</trackRevisions>
    </reviewItem>
    <reviewItem>
      <errorID>a0282632-aa11-4c09-8ea0-e15e2ac60cc1</errorID>
      <errorWord>第三十条</errorWord>
      <group>L1_Word</group>
      <groupName>字词问题</groupName>
      <ability>L2_Typo</ability>
      <abilityName>字词错误</abilityName>
      <candidateList>
        <item>第三十四条</item>
      </candidateList>
      <explain/>
      <paraID>2B3D0D9C</paraID>
      <start>0</start>
      <end>5</end>
      <status>modified</status>
      <modifiedWord>第三十四条</modifiedWord>
      <trackRevisions>false</trackRevisions>
    </reviewItem>
    <reviewItem>
      <errorID>a8703d13-be93-4d83-959a-5e36241052e9</errorID>
      <errorWord>本项目本项目</errorWord>
      <group>L1_Word</group>
      <groupName>字词问题</groupName>
      <ability>L2_Typo</ability>
      <abilityName>字词错误</abilityName>
      <candidateList>
        <item>本项目</item>
      </candidateList>
      <explain/>
      <paraID>480E9B76</paraID>
      <start>39</start>
      <end>42</end>
      <status>modified</status>
      <modifiedWord>本项目</modifiedWord>
      <trackRevisions>false</trackRevisions>
    </reviewItem>
    <reviewItem>
      <errorID>5b8afbe4-66d7-4772-b971-ce9e7f4a2079</errorID>
      <errorWord>有限公司购买的产品</errorWord>
      <group>L1_Grammar</group>
      <groupName>语法问题</groupName>
      <ability>L2_Grammar</ability>
      <abilityName>语法错误</abilityName>
      <candidateList>
        <item>有限公司</item>
      </candidateList>
      <explain/>
      <paraID>3BE1613C</paraID>
      <start>16</start>
      <end>20</end>
      <status>modified</status>
      <modifiedWord>有限公司</modifiedWord>
      <trackRevisions>false</trackRevisions>
    </reviewItem>
    <reviewItem>
      <errorID>444de41e-540b-497a-8491-1cdd6c277b61</errorID>
      <errorWord>高岭土</errorWord>
      <group>L1_Punc</group>
      <groupName>标点问题</groupName>
      <ability>L2_Punc</ability>
      <abilityName>标点符号检查</abilityName>
      <candidateList>
        <item>高岭土。</item>
      </candidateList>
      <explain/>
      <paraID>3BE1613C</paraID>
      <start>59</start>
      <end>63</end>
      <status>modified</status>
      <modifiedWord>高岭土。</modifiedWord>
      <trackRevisions>false</trackRevisions>
    </reviewItem>
    <reviewItem>
      <errorID>41d87771-58d9-48ec-b7f8-f75c3bfb8b19</errorID>
      <errorWord>内蒙古自治区环境保护条例</errorWord>
      <group>L1_Knowledge</group>
      <groupName>知识性问题</groupName>
      <ability>L2_Knowledge</ability>
      <abilityName>其他知识</abilityName>
      <candidateList/>
      <explain>该法规已废止，请注意检查引用是否正确。</explain>
      <paraID>71D30173</paraID>
      <start>122</start>
      <end>134</end>
      <status>ignored</status>
      <modifiedWord/>
      <trackRevisions>false</trackRevisions>
    </reviewItem>
    <reviewItem>
      <errorID>e7e14f58-6f4b-465b-8f38-bd42a89959d2</errorID>
      <errorWord>生产工艺分</errorWord>
      <group>L1_Grammar</group>
      <groupName>语法问题</groupName>
      <ability>L2_Grammar</ability>
      <abilityName>语法错误</abilityName>
      <candidateList>
        <item>的生产工艺，分</item>
      </candidateList>
      <explain/>
      <paraID> 401A314</paraID>
      <start>171</start>
      <end>178</end>
      <status>modified</status>
      <modifiedWord>的生产工艺，分</modifiedWord>
      <trackRevisions>false</trackRevisions>
    </reviewItem>
    <reviewItem>
      <errorID>86c5e325-6bd3-4587-9e86-36a0a7b4006f</errorID>
      <errorWord>，</errorWord>
      <group>L1_Punc</group>
      <groupName>标点问题</groupName>
      <ability>L2_Punc</ability>
      <abilityName>标点符号检查</abilityName>
      <candidateList>
        <item>、</item>
      </candidateList>
      <explain/>
      <paraID>37599DA1</paraID>
      <start>216</start>
      <end>217</end>
      <status>modified</status>
      <modifiedWord>、</modifiedWord>
      <trackRevisions>false</trackRevisions>
    </reviewItem>
    <reviewItem>
      <errorID>fd457f79-e182-494a-a2d9-750a2478293f</errorID>
      <errorWord>四级预热器+悬浮炉＋回转窑焙烧＋高温粉体对流式急冷换热装置</errorWord>
      <group>L1_Punc</group>
      <groupName>标点问题</groupName>
      <ability>L2_Punc</ability>
      <abilityName>标点符号检查</abilityName>
      <candidateList>
        <item>“四级预热器+悬浮炉＋回转窑焙烧＋高温粉体对流式急冷换热装置”</item>
      </candidateList>
      <explain/>
      <paraID> 1C3F313</paraID>
      <start>44</start>
      <end>75</end>
      <status>modified</status>
      <modifiedWord>“四级预热器+悬浮炉＋回转窑焙烧＋高温粉体对流式急冷换热装置”</modifiedWord>
      <trackRevisions>false</trackRevisions>
    </reviewItem>
    <reviewItem>
      <errorID>b62931fd-7b5e-451c-a301-9bc1a90b35c3</errorID>
      <errorWord>生产工艺实现</errorWord>
      <group>L1_Grammar</group>
      <groupName>语法问题</groupName>
      <ability>L2_Grammar</ability>
      <abilityName>语法错误</abilityName>
      <candidateList>
        <item>的生产工艺，实现</item>
      </candidateList>
      <explain/>
      <paraID> 1C3F313</paraID>
      <start>92</start>
      <end>100</end>
      <status>modified</status>
      <modifiedWord>的生产工艺，实现</modifiedWord>
      <trackRevisions>false</trackRevisions>
    </reviewItem>
    <reviewItem>
      <errorID>f7efdc93-a0ff-42c5-832e-204eaba96cf9</errorID>
      <errorWord>实现对</errorWord>
      <group>L1_Word</group>
      <groupName>字词问题</groupName>
      <ability>L2_Typo</ability>
      <abilityName>字词错误</abilityName>
      <candidateList>
        <item>实现</item>
      </candidateList>
      <explain/>
      <paraID> 1C3F313</paraID>
      <start>134</start>
      <end>136</end>
      <status>modified</status>
      <modifiedWord>实现</modifiedWord>
      <trackRevisions>false</trackRevisions>
    </reviewItem>
    <reviewItem>
      <errorID>bf667211-9537-44dc-abd3-b9d15e3c358c</errorID>
      <errorWord>，</errorWord>
      <group>L1_Grammar</group>
      <groupName>语法问题</groupName>
      <ability>L2_Grammar</ability>
      <abilityName>语法错误</abilityName>
      <candidateList>
        <item>的发展，</item>
      </candidateList>
      <explain/>
      <paraID> 1C3F313</paraID>
      <start>147</start>
      <end>151</end>
      <status>modified</status>
      <modifiedWord>的发展，</modifiedWord>
      <trackRevisions>false</trackRevisions>
    </reviewItem>
    <reviewItem>
      <errorID>2c37f4ef-42cf-4afa-9e1e-43a66d9f8934</errorID>
      <errorWord>关于</errorWord>
      <group>L1_Punc</group>
      <groupName>标点问题</groupName>
      <ability>L2_Punc</ability>
      <abilityName>标点符号检查</abilityName>
      <candidateList>
        <item>《关于</item>
      </candidateList>
      <explain/>
      <paraID>5DAFD39C</paraID>
      <start>24</start>
      <end>27</end>
      <status>modified</status>
      <modifiedWord>《关于</modifiedWord>
      <trackRevisions>false</trackRevisions>
    </reviewItem>
    <reviewItem>
      <errorID>5d5d6a71-4b12-47fe-be91-3c48e47fc070</errorID>
      <errorWord>《</errorWord>
      <group>L1_Punc</group>
      <groupName>标点问题</groupName>
      <ability>L2_Punc</ability>
      <abilityName>标点符号检查</abilityName>
      <candidateList>
        <item>〈</item>
      </candidateList>
      <explain/>
      <paraID>5DAFD39C</paraID>
      <start>29</start>
      <end>30</end>
      <status>modified</status>
      <modifiedWord>〈</modifiedWord>
      <trackRevisions>false</trackRevisions>
    </reviewItem>
    <reviewItem>
      <errorID>ba0c8150-7967-49ef-b0db-958ac5cc8221</errorID>
      <errorWord>》</errorWord>
      <group>L1_Punc</group>
      <groupName>标点问题</groupName>
      <ability>L2_Punc</ability>
      <abilityName>标点符号检查</abilityName>
      <candidateList>
        <item>〉</item>
      </candidateList>
      <explain/>
      <paraID>5DAFD39C</paraID>
      <start>49</start>
      <end>50</end>
      <status>modified</status>
      <modifiedWord>〉</modifiedWord>
      <trackRevisions>false</trackRevisions>
    </reviewItem>
    <reviewItem>
      <errorID>8a1d354e-828d-452a-a4c2-4744daa0e94e</errorID>
      <errorWord>：</errorWord>
      <group>L1_Punc</group>
      <groupName>标点问题</groupName>
      <ability>L2_Punc</ability>
      <abilityName>标点符号检查</abilityName>
      <candidateList>
        <item>》。</item>
      </candidateList>
      <explain/>
      <paraID>5DAFD39C</paraID>
      <start>53</start>
      <end>55</end>
      <status>modified</status>
      <modifiedWord>》。</modifiedWord>
      <trackRevisions>false</trackRevisions>
    </reviewItem>
    <reviewItem>
      <errorID>b9fb1dc3-31df-4753-9def-b9c8b7bc1930</errorID>
      <errorWord>市、鄂尔多斯市</errorWord>
      <group>L1_Grammar</group>
      <groupName>语法问题</groupName>
      <ability>L2_Grammar</ability>
      <abilityName>语法错误</abilityName>
      <candidateList>
        <item>市</item>
      </candidateList>
      <explain/>
      <paraID>5DAFD39C</paraID>
      <start>97</start>
      <end>98</end>
      <status>modified</status>
      <modifiedWord>市</modifiedWord>
      <trackRevisions>false</trackRevisions>
    </reviewItem>
    <reviewItem>
      <errorID>571a2e7b-f8e8-45c4-a700-798eed382045</errorID>
      <errorWord>处置一定量的</errorWord>
      <group>L1_Grammar</group>
      <groupName>语法问题</groupName>
      <ability>L2_Grammar</ability>
      <abilityName>语法错误</abilityName>
      <candidateList>
        <item>实现</item>
      </candidateList>
      <explain/>
      <paraID>611426AD</paraID>
      <start>8</start>
      <end>10</end>
      <status>modified</status>
      <modifiedWord>实现</modifiedWord>
      <trackRevisions>false</trackRevisions>
    </reviewItem>
    <reviewItem>
      <errorID>7ab31ea0-5b62-42b5-8379-199c74549b88</errorID>
      <errorWord>它</errorWord>
      <group>L1_Word</group>
      <groupName>字词问题</groupName>
      <ability>L2_Typo</ability>
      <abilityName>字词错误</abilityName>
      <candidateList>
        <item>他</item>
      </candidateList>
      <explain/>
      <paraID>4D08A362</paraID>
      <start>93</start>
      <end>94</end>
      <status>modified</status>
      <modifiedWord>他</modifiedWord>
      <trackRevisions>false</trackRevisions>
    </reviewItem>
    <reviewItem>
      <errorID>10ddd7dc-8085-4dcd-8140-0a6b64384e20</errorID>
      <errorWord>）文件</errorWord>
      <group>L1_Grammar</group>
      <groupName>语法问题</groupName>
      <ability>L2_Grammar</ability>
      <abilityName>语法错误</abilityName>
      <candidateList>
        <item>）</item>
      </candidateList>
      <explain/>
      <paraID>4D08A362</paraID>
      <start>185</start>
      <end>186</end>
      <status>modified</status>
      <modifiedWord>）</modifiedWord>
      <trackRevisions>false</trackRevisions>
    </reviewItem>
    <reviewItem>
      <errorID>ee8a7d52-2595-4986-b61f-cca4cfa22b78</errorID>
      <errorWord>包头市、鄂尔多斯市</errorWord>
      <group>L1_Grammar</group>
      <groupName>语法问题</groupName>
      <ability>L2_Grammar</ability>
      <abilityName>语法错误</abilityName>
      <candidateList>
        <item>包头市</item>
      </candidateList>
      <explain/>
      <paraID> 8A98682</paraID>
      <start>237</start>
      <end>240</end>
      <status>modified</status>
      <modifiedWord>包头市</modifiedWord>
      <trackRevisions>false</trackRevisions>
    </reviewItem>
    <reviewItem>
      <errorID>7665bff5-9b00-4b45-a821-c62c76214d51</errorID>
      <errorWord>（</errorWord>
      <group>L1_Punc</group>
      <groupName>标点问题</groupName>
      <ability>L2_Punc</ability>
      <abilityName>标点符号检查</abilityName>
      <candidateList/>
      <explain>此处标点可能未正确匹配，请检查句子中是否存在标点冗余、缺失或使用错误的情况。</explain>
      <paraID>7EEBDA37</paraID>
      <start>36</start>
      <end>37</end>
      <status>ignored</status>
      <modifiedWord/>
      <trackRevisions>false</trackRevisions>
    </reviewItem>
    <reviewItem>
      <errorID>1728c023-8a99-4b90-9b93-04e2f51b00aa</errorID>
      <errorWord>，</errorWord>
      <group>L1_Punc</group>
      <groupName>标点问题</groupName>
      <ability>L2_Punc</ability>
      <abilityName>标点符号检查</abilityName>
      <candidateList>
        <item>；</item>
      </candidateList>
      <explain/>
      <paraID>37BB05E4</paraID>
      <start>19</start>
      <end>20</end>
      <status>modified</status>
      <modifiedWord>；</modifiedWord>
      <trackRevisions>false</trackRevisions>
    </reviewItem>
    <reviewItem>
      <errorID>873bf320-1e31-4528-b880-5f6f090d535e</errorID>
      <errorWord>是</errorWord>
      <group>L1_Word</group>
      <groupName>字词问题</groupName>
      <ability>L2_Typo</ability>
      <abilityName>字词错误</abilityName>
      <candidateList>
        <item>进行</item>
      </candidateList>
      <explain/>
      <paraID>37BB05E4</paraID>
      <start>22</start>
      <end>24</end>
      <status>modified</status>
      <modifiedWord>进行</modifiedWord>
      <trackRevisions>false</trackRevisions>
    </reviewItem>
    <reviewItem>
      <errorID>1a81b341-447d-41a5-92b1-8e206521396c</errorID>
      <errorWord>，</errorWord>
      <group>L1_Punc</group>
      <groupName>标点问题</groupName>
      <ability>L2_Punc</ability>
      <abilityName>标点符号检查</abilityName>
      <candidateList>
        <item>；</item>
      </candidateList>
      <explain/>
      <paraID>37BB05E4</paraID>
      <start>30</start>
      <end>31</end>
      <status>modified</status>
      <modifiedWord>；</modifiedWord>
      <trackRevisions>false</trackRevisions>
    </reviewItem>
    <reviewItem>
      <errorID>00c68fa6-e5f1-469f-888f-e3c824a11fc9</errorID>
      <errorWord>煅烧</errorWord>
      <group>L1_Grammar</group>
      <groupName>语法问题</groupName>
      <ability>L2_Grammar</ability>
      <abilityName>语法错误</abilityName>
      <candidateList>
        <item>进行煅烧</item>
      </candidateList>
      <explain/>
      <paraID>37BB05E4</paraID>
      <start>33</start>
      <end>37</end>
      <status>modified</status>
      <modifiedWord>进行煅烧</modifiedWord>
      <trackRevisions>false</trackRevisions>
    </reviewItem>
    <reviewItem>
      <errorID>63a3c461-4a0e-40c6-a0e9-4648a2d13ead</errorID>
      <errorWord>；</errorWord>
      <group>L1_Punc</group>
      <groupName>标点问题</groupName>
      <ability>L2_Punc</ability>
      <abilityName>标点符号检查</abilityName>
      <candidateList>
        <item>。</item>
      </candidateList>
      <explain/>
      <paraID>3C34F9DF</paraID>
      <start>33</start>
      <end>34</end>
      <status>modified</status>
      <modifiedWord>。</modifiedWord>
      <trackRevisions>false</trackRevisions>
    </reviewItem>
    <reviewItem>
      <errorID>45ff8563-5a88-441b-9e67-0d824297dcfc</errorID>
      <errorWord>，生产后</errorWord>
      <group>L1_Grammar</group>
      <groupName>语法问题</groupName>
      <ability>L2_Grammar</ability>
      <abilityName>语法错误</abilityName>
      <candidateList>
        <item>，</item>
      </candidateList>
      <explain/>
      <paraID>3C34F9DF</paraID>
      <start>50</start>
      <end>51</end>
      <status>modified</status>
      <modifiedWord>，</modifiedWord>
      <trackRevisions>false</trackRevisions>
    </reviewItem>
    <reviewItem>
      <errorID>f5b66dae-e82c-4cc1-9791-841609cc5706</errorID>
      <errorWord>的一台</errorWord>
      <group>L1_Grammar</group>
      <groupName>语法问题</groupName>
      <ability>L2_Grammar</ability>
      <abilityName>语法错误</abilityName>
      <candidateList>
        <item>的</item>
      </candidateList>
      <explain/>
      <paraID>7C06A4FA</paraID>
      <start>34</start>
      <end>35</end>
      <status>modified</status>
      <modifiedWord>的</modifiedWord>
      <trackRevisions>false</trackRevisions>
    </reviewItem>
    <reviewItem>
      <errorID>923e10df-c7d7-46cd-ac58-179a3b4f947e</errorID>
      <errorWord>）包装机</errorWord>
      <group>L1_Grammar</group>
      <groupName>语法问题</groupName>
      <ability>L2_Grammar</ability>
      <abilityName>语法错误</abilityName>
      <candidateList>
        <item>）</item>
      </candidateList>
      <explain/>
      <paraID>7C06A4FA</paraID>
      <start>51</start>
      <end>52</end>
      <status>modified</status>
      <modifiedWord>）</modifiedWord>
      <trackRevisions>false</trackRevisions>
    </reviewItem>
    <reviewItem>
      <errorID>6e89f851-55ca-4245-895d-91ade3a1cadc</errorID>
      <errorWord>1</errorWord>
      <group>L1_Word</group>
      <groupName>字词问题</groupName>
      <ability>L2_Typo</ability>
      <abilityName>字词错误</abilityName>
      <candidateList>
        <item>为1</item>
      </candidateList>
      <explain/>
      <paraID>7C06A4FA</paraID>
      <start>58</start>
      <end>60</end>
      <status>modified</status>
      <modifiedWord>为1</modifiedWord>
      <trackRevisions>false</trackRevisions>
    </reviewItem>
    <reviewItem>
      <errorID>ad19c897-ca78-4c27-b8f3-0c076d5ae531</errorID>
      <errorWord>经</errorWord>
      <group>L1_Word</group>
      <groupName>字词问题</groupName>
      <ability>L2_Typo</ability>
      <abilityName>字词错误</abilityName>
      <candidateList>
        <item>的</item>
      </candidateList>
      <explain/>
      <paraID>31459650</paraID>
      <start>69</start>
      <end>70</end>
      <status>modified</status>
      <modifiedWord>的</modifiedWord>
      <trackRevisions>false</trackRevisions>
    </reviewItem>
    <reviewItem>
      <errorID>9a6d0764-489a-4f97-bb60-1752a6d1e24b</errorID>
      <errorWord>生活污水1座</errorWord>
      <group>L1_Word</group>
      <groupName>字词问题</groupName>
      <ability>L2_Typo</ability>
      <abilityName>字词错误</abilityName>
      <candidateList>
        <item>1座生活污水</item>
      </candidateList>
      <explain/>
      <paraID> BED107E</paraID>
      <start>5</start>
      <end>11</end>
      <status>modified</status>
      <modifiedWord>1座生活污水</modifiedWord>
      <trackRevisions>false</trackRevisions>
    </reviewItem>
    <reviewItem>
      <errorID>fa9806bf-cf86-47c6-906b-18e2bc57db83</errorID>
      <errorWord>收集</errorWord>
      <group>L1_Punc</group>
      <groupName>标点问题</groupName>
      <ability>L2_Punc</ability>
      <abilityName>标点符号检查</abilityName>
      <candidateList>
        <item>，收集</item>
      </candidateList>
      <explain/>
      <paraID> BED107E</paraID>
      <start>16</start>
      <end>19</end>
      <status>modified</status>
      <modifiedWord>，收集</modifiedWord>
      <trackRevisions>false</trackRevisions>
    </reviewItem>
    <reviewItem>
      <errorID>27ac2b4f-1fa3-41a9-a840-3c2cbc2e4d12</errorID>
      <errorWord>(</errorWord>
      <group>L1_Format</group>
      <groupName>格式问题</groupName>
      <ability>L2_HalfPunc</ability>
      <abilityName>全半角检查</abilityName>
      <candidateList>
        <item>（</item>
      </candidateList>
      <explain>文本全半角错误。</explain>
      <paraID>3C275E06</paraID>
      <start>103</start>
      <end>104</end>
      <status>modified</status>
      <modifiedWord>（</modifiedWord>
      <trackRevisions>false</trackRevisions>
    </reviewItem>
    <reviewItem>
      <errorID>284f08a9-29d9-4af0-add7-4ca36ba4fd23</errorID>
      <errorWord>)</errorWord>
      <group>L1_Format</group>
      <groupName>格式问题</groupName>
      <ability>L2_HalfPunc</ability>
      <abilityName>全半角检查</abilityName>
      <candidateList>
        <item>）</item>
      </candidateList>
      <explain>文本全半角错误。</explain>
      <paraID>3C275E06</paraID>
      <start>119</start>
      <end>120</end>
      <status>modified</status>
      <modifiedWord>）</modifiedWord>
      <trackRevisions>false</trackRevisions>
    </reviewItem>
    <reviewItem>
      <errorID>50c0f15f-c87d-4ab5-8b1b-1e1060e523cb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3E16536C</paraID>
      <start>241</start>
      <end>242</end>
      <status>modified</status>
      <modifiedWord>—</modifiedWord>
      <trackRevisions>false</trackRevisions>
    </reviewItem>
    <reviewItem>
      <errorID>b48e5838-e43b-4ce7-925e-966a6d8e414f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3E16536C</paraID>
      <start>280</start>
      <end>281</end>
      <status>modified</status>
      <modifiedWord>—</modifiedWord>
      <trackRevisions>false</trackRevisions>
    </reviewItem>
    <reviewItem>
      <errorID>997336b5-493c-48e6-a02e-fc649df3b763</errorID>
      <errorWord>&gt;</errorWord>
      <group>L1_Punc</group>
      <groupName>标点问题</groupName>
      <ability>L2_Punc</ability>
      <abilityName>标点符号检查</abilityName>
      <candidateList/>
      <explain/>
      <paraID>5E69F704</paraID>
      <start>0</start>
      <end>1</end>
      <status>ignored</status>
      <modifiedWord/>
      <trackRevisions>false</trackRevisions>
    </reviewItem>
    <reviewItem>
      <errorID>21c8c088-e505-4928-ba83-22494feaf3ea</errorID>
      <errorWord>，</errorWord>
      <group>L1_Format</group>
      <groupName>格式问题</groupName>
      <ability>L2_HalfPunc</ability>
      <abilityName>全半角检查</abilityName>
      <candidateList>
        <item>,</item>
      </candidateList>
      <explain>文本全半角错误。</explain>
      <paraID>7F5D5FAC</paraID>
      <start>2</start>
      <end>3</end>
      <status>modified</status>
      <modifiedWord>,</modifiedWord>
      <trackRevisions>false</trackRevisions>
    </reviewItem>
    <reviewItem>
      <errorID>5702e541-a50e-47c7-8bc8-5b298108bf5c</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672EB599</paraID>
      <start>127</start>
      <end>127</end>
      <status>modified</status>
      <modifiedWord/>
      <trackRevisions>false</trackRevisions>
    </reviewItem>
    <reviewItem>
      <errorID>37ed3772-4bc1-4841-b760-6a5781bd70f1</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672EB599</paraID>
      <start>189</start>
      <end>189</end>
      <status>modified</status>
      <modifiedWord/>
      <trackRevisions>false</trackRevisions>
    </reviewItem>
    <reviewItem>
      <errorID>f94b6dd4-2a9d-465a-b282-6b50fe9fb675</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672EB599</paraID>
      <start>189</start>
      <end>189</end>
      <status>modified</status>
      <modifiedWord/>
      <trackRevisions>false</trackRevisions>
    </reviewItem>
    <reviewItem>
      <errorID>4e772d93-1955-4918-8c27-ca688b53a3ec</errorID>
      <errorWord>，</errorWord>
      <group>L1_Format</group>
      <groupName>格式问题</groupName>
      <ability>L2_HalfPunc</ability>
      <abilityName>全半角检查</abilityName>
      <candidateList>
        <item>, </item>
      </candidateList>
      <explain>文本全半角错误。</explain>
      <paraID>7088FFE6</paraID>
      <start>3</start>
      <end>4</end>
      <status>ignored</status>
      <modifiedWord/>
      <trackRevisions>false</trackRevisions>
    </reviewItem>
    <reviewItem>
      <errorID>1d0061c5-23f9-4270-a9ce-2c6dd833fd60</errorID>
      <errorWord>，</errorWord>
      <group>L1_Format</group>
      <groupName>格式问题</groupName>
      <ability>L2_HalfPunc</ability>
      <abilityName>全半角检查</abilityName>
      <candidateList>
        <item>,</item>
      </candidateList>
      <explain>文本全半角错误。</explain>
      <paraID>53D64457</paraID>
      <start>11</start>
      <end>12</end>
      <status>modified</status>
      <modifiedWord>,</modifiedWord>
      <trackRevisions>false</trackRevisions>
    </reviewItem>
    <reviewItem>
      <errorID>a78c403c-d3ec-496e-8bf3-d10c3c664f6c</errorID>
      <errorWord>给于</errorWord>
      <group>L1_Word</group>
      <groupName>字词问题</groupName>
      <ability>L2_Typo</ability>
      <abilityName>字词错误</abilityName>
      <candidateList>
        <item>给予</item>
      </candidateList>
      <explain>〈书〉〈动〉给（ɡěi）：～帮助｜～同情｜～亲切的关怀。也作给与。</explain>
      <paraID>2B23D5FE</paraID>
      <start>104</start>
      <end>106</end>
      <status>modified</status>
      <modifiedWord>给予</modifiedWord>
      <trackRevisions>false</trackRevisions>
    </reviewItem>
    <reviewItem>
      <errorID>60f65e84-f7aa-4d00-a4fe-6a777033f482</errorID>
      <errorWord>）</errorWord>
      <group>L1_Punc</group>
      <groupName>标点问题</groupName>
      <ability>L2_Punc</ability>
      <abilityName>标点符号检查</abilityName>
      <candidateList/>
      <explain>此处标点可能未正确匹配，请检查句子中是否存在标点冗余、缺失或使用错误的情况。</explain>
      <paraID>30115BBB</paraID>
      <start>283</start>
      <end>283</end>
      <status>modified</status>
      <modifiedWord/>
      <trackRevisions>false</trackRevisions>
    </reviewItem>
    <reviewItem>
      <errorID>fc2812e6-a3fd-44f1-b648-ab58c9d43b9f</errorID>
      <errorWord>于</errorWord>
      <group>L1_Word</group>
      <groupName>字词问题</groupName>
      <ability>L2_Typo</ability>
      <abilityName>字词错误</abilityName>
      <candidateList>
        <item>与</item>
      </candidateList>
      <explain>存在发音相同字词的误用。</explain>
      <paraID>30115BBB</paraID>
      <start>494</start>
      <end>495</end>
      <status>modified</status>
      <modifiedWord>与</modifiedWord>
      <trackRevisions>false</trackRevisions>
    </reviewItem>
    <reviewItem>
      <errorID>35a46e95-ecd1-414e-aab8-c7cd731d744b</errorID>
      <errorWord>污水厂</errorWord>
      <group>L1_Word</group>
      <groupName>字词问题</groupName>
      <ability>L2_Typo</ability>
      <abilityName>字词错误</abilityName>
      <candidateList>
        <item>污水处理厂</item>
      </candidateList>
      <explain/>
      <paraID> 6161007</paraID>
      <start>25</start>
      <end>30</end>
      <status>modified</status>
      <modifiedWord>污水处理厂</modifiedWord>
      <trackRevisions>false</trackRevisions>
    </reviewItem>
    <reviewItem>
      <errorID>b54318a8-d44d-45ee-b308-55279511605c</errorID>
      <errorWord>如</errorWord>
      <group>L1_Word</group>
      <groupName>字词问题</groupName>
      <ability>L2_Typo</ability>
      <abilityName>字词错误</abilityName>
      <candidateList>
        <item>如下</item>
      </candidateList>
      <explain>〈动〉如同下面所叙述或列举的：列举～｜现将应注意的事情说明～。</explain>
      <paraID> 6161007</paraID>
      <start>34</start>
      <end>36</end>
      <status>modified</status>
      <modifiedWord>如下</modifiedWord>
      <trackRevisions>false</trackRevisions>
    </reviewItem>
    <reviewItem>
      <errorID>19618aa2-bc79-461e-99dd-2dfe8aea94e5</errorID>
      <errorWord>污水厂</errorWord>
      <group>L1_Word</group>
      <groupName>字词问题</groupName>
      <ability>L2_Typo</ability>
      <abilityName>字词错误</abilityName>
      <candidateList>
        <item>污水处理厂</item>
      </candidateList>
      <explain/>
      <paraID> 95119D3</paraID>
      <start>13</start>
      <end>18</end>
      <status>modified</status>
      <modifiedWord>污水处理厂</modifiedWord>
      <trackRevisions>false</trackRevisions>
    </reviewItem>
    <reviewItem>
      <errorID>81f2487a-4f3a-481c-950f-65b24ea57723</errorID>
      <errorWord>(</errorWord>
      <group>L1_Format</group>
      <groupName>格式问题</groupName>
      <ability>L2_HalfPunc</ability>
      <abilityName>全半角检查</abilityName>
      <candidateList>
        <item>（</item>
      </candidateList>
      <explain>文本全半角错误。</explain>
      <paraID>339BC2BB</paraID>
      <start>5</start>
      <end>6</end>
      <status>modified</status>
      <modifiedWord>（</modifiedWord>
      <trackRevisions>false</trackRevisions>
    </reviewItem>
    <reviewItem>
      <errorID>d51bcbdb-d26f-45ea-b59c-d211f7ec0ca4</errorID>
      <errorWord>)</errorWord>
      <group>L1_Format</group>
      <groupName>格式问题</groupName>
      <ability>L2_HalfPunc</ability>
      <abilityName>全半角检查</abilityName>
      <candidateList>
        <item>）</item>
      </candidateList>
      <explain>文本全半角错误。</explain>
      <paraID>339BC2BB</paraID>
      <start>9</start>
      <end>10</end>
      <status>modified</status>
      <modifiedWord>）</modifiedWord>
      <trackRevisions>false</trackRevisions>
    </reviewItem>
    <reviewItem>
      <errorID>46a3f544-98b8-4771-a82f-d20be2aa4fda</errorID>
      <errorWord>)</errorWord>
      <group>L1_Format</group>
      <groupName>格式问题</groupName>
      <ability>L2_HalfPunc</ability>
      <abilityName>全半角检查</abilityName>
      <candidateList>
        <item>）</item>
      </candidateList>
      <explain>文本全半角错误。</explain>
      <paraID>3AFB9FC5</paraID>
      <start>8</start>
      <end>9</end>
      <status>modified</status>
      <modifiedWord>）</modifiedWord>
      <trackRevisions>false</trackRevisions>
    </reviewItem>
    <reviewItem>
      <errorID>c7351bae-e17b-450d-ade4-94a8fc343ae4</errorID>
      <errorWord>＜</errorWord>
      <group>L1_Format</group>
      <groupName>格式问题</groupName>
      <ability>L2_HalfPunc</ability>
      <abilityName>全半角检查</abilityName>
      <candidateList>
        <item>&lt;</item>
      </candidateList>
      <explain>文本全半角错误。</explain>
      <paraID>55578F7E</paraID>
      <start>0</start>
      <end>1</end>
      <status>modified</status>
      <modifiedWord>&lt;</modifiedWord>
      <trackRevisions>false</trackRevisions>
    </reviewItem>
    <reviewItem>
      <errorID>d2563bb2-3055-4e39-90af-7c4d77b0801d</errorID>
      <errorWord>排除</errorWord>
      <group>L1_Word</group>
      <groupName>字词问题</groupName>
      <ability>L2_Typo</ability>
      <abilityName>字词错误</abilityName>
      <candidateList>
        <item>排出</item>
      </candidateList>
      <explain/>
      <paraID>14ACF029</paraID>
      <start>92</start>
      <end>94</end>
      <status>modified</status>
      <modifiedWord>排出</modifiedWord>
      <trackRevisions>false</trackRevisions>
    </reviewItem>
    <reviewItem>
      <errorID>df0767d1-683c-4482-8988-51e70c2a903d</errorID>
      <errorWord>；和</errorWord>
      <group>L1_Word</group>
      <groupName>字词问题</groupName>
      <ability>L2_Typo</ability>
      <abilityName>字词错误</abilityName>
      <candidateList>
        <item>；</item>
      </candidateList>
      <explain/>
      <paraID>17CEB371</paraID>
      <start>51</start>
      <end>52</end>
      <status>modified</status>
      <modifiedWord>；</modifiedWord>
      <trackRevisions>false</trackRevisions>
    </reviewItem>
    <reviewItem>
      <errorID>364edaee-9254-4275-9798-9479e3c70b95</errorID>
      <errorWord>热风炉燃烧器采热风炉燃烧器采</errorWord>
      <group>L1_Word</group>
      <groupName>字词问题</groupName>
      <ability>L2_Typo</ability>
      <abilityName>字词错误</abilityName>
      <candidateList>
        <item>热风炉燃烧器采</item>
      </candidateList>
      <explain/>
      <paraID>5CF17A83</paraID>
      <start>64</start>
      <end>71</end>
      <status>modified</status>
      <modifiedWord>热风炉燃烧器采</modifiedWord>
      <trackRevisions>false</trackRevisions>
    </reviewItem>
    <reviewItem>
      <errorID>37fc0be6-68ea-4218-8930-edc721ae13eb</errorID>
      <errorWord>（</errorWord>
      <group>L1_Punc</group>
      <groupName>标点问题</groupName>
      <ability>L2_Punc</ability>
      <abilityName>标点符号检查</abilityName>
      <candidateList/>
      <explain>同一形式括号套用。</explain>
      <paraID>33AF618E</paraID>
      <start>21</start>
      <end>22</end>
      <status>ignored</status>
      <modifiedWord/>
      <trackRevisions>false</trackRevisions>
    </reviewItem>
    <reviewItem>
      <errorID>711226ab-b131-4bf9-b501-e645939b63de</errorID>
      <errorWord>）</errorWord>
      <group>L1_Punc</group>
      <groupName>标点问题</groupName>
      <ability>L2_Punc</ability>
      <abilityName>标点符号检查</abilityName>
      <candidateList/>
      <explain>同一形式括号套用。</explain>
      <paraID>33AF618E</paraID>
      <start>25</start>
      <end>25</end>
      <status>modified</status>
      <modifiedWord/>
      <trackRevisions>false</trackRevisions>
    </reviewItem>
    <reviewItem>
      <errorID>a0977938-5018-41ba-ae02-655efe40f300</errorID>
      <errorWord>，</errorWord>
      <group>L1_Format</group>
      <groupName>格式问题</groupName>
      <ability>L2_HalfPunc</ability>
      <abilityName>全半角检查</abilityName>
      <candidateList>
        <item>, </item>
      </candidateList>
      <explain>文本全半角错误。</explain>
      <paraID> 2A858F9</paraID>
      <start>14</start>
      <end>16</end>
      <status>modified</status>
      <modifiedWord>, </modifiedWord>
      <trackRevisions>false</trackRevisions>
    </reviewItem>
    <reviewItem>
      <errorID>c38d495e-173b-4a43-b54c-7dac417658aa</errorID>
      <errorWord>，。</errorWord>
      <group>L1_Punc</group>
      <groupName>标点问题</groupName>
      <ability>L2_Punc</ability>
      <abilityName>标点符号检查</abilityName>
      <candidateList>
        <item>，</item>
      </candidateList>
      <explain/>
      <paraID>146051F1</paraID>
      <start>124</start>
      <end>125</end>
      <status>modified</status>
      <modifiedWord>，</modifiedWord>
      <trackRevisions>false</trackRevisions>
    </reviewItem>
    <reviewItem>
      <errorID>35a3b16a-4944-4a73-b8d0-8ef53c12d21f</errorID>
      <errorWord>(</errorWord>
      <group>L1_Format</group>
      <groupName>格式问题</groupName>
      <ability>L2_HalfPunc</ability>
      <abilityName>全半角检查</abilityName>
      <candidateList>
        <item>（</item>
      </candidateList>
      <explain>文本全半角错误。</explain>
      <paraID>4E294D62</paraID>
      <start>5</start>
      <end>6</end>
      <status>modified</status>
      <modifiedWord>（</modifiedWord>
      <trackRevisions>false</trackRevisions>
    </reviewItem>
    <reviewItem>
      <errorID>7da0a484-dc2a-4604-a702-c3a9ebb36199</errorID>
      <errorWord>)</errorWord>
      <group>L1_Format</group>
      <groupName>格式问题</groupName>
      <ability>L2_HalfPunc</ability>
      <abilityName>全半角检查</abilityName>
      <candidateList>
        <item>）</item>
      </candidateList>
      <explain>文本全半角错误。</explain>
      <paraID>4E294D62</paraID>
      <start>9</start>
      <end>10</end>
      <status>modified</status>
      <modifiedWord>）</modifiedWord>
      <trackRevisions>false</trackRevisions>
    </reviewItem>
    <reviewItem>
      <errorID>95c49fcd-6c51-4c4f-bd44-fc545c4427db</errorID>
      <errorWord>)</errorWord>
      <group>L1_Format</group>
      <groupName>格式问题</groupName>
      <ability>L2_HalfPunc</ability>
      <abilityName>全半角检查</abilityName>
      <candidateList>
        <item>）</item>
      </candidateList>
      <explain>文本全半角错误。</explain>
      <paraID>78EF9FA1</paraID>
      <start>8</start>
      <end>9</end>
      <status>modified</status>
      <modifiedWord>）</modifiedWord>
      <trackRevisions>false</trackRevisions>
    </reviewItem>
    <reviewItem>
      <errorID>5ff0fa39-038e-4745-9c44-9ec33f5c36c1</errorID>
      <errorWord>＜</errorWord>
      <group>L1_Format</group>
      <groupName>格式问题</groupName>
      <ability>L2_HalfPunc</ability>
      <abilityName>全半角检查</abilityName>
      <candidateList>
        <item>&lt;</item>
      </candidateList>
      <explain>文本全半角错误。</explain>
      <paraID>7331A6CD</paraID>
      <start>0</start>
      <end>1</end>
      <status>modified</status>
      <modifiedWord>&lt;</modifiedWord>
      <trackRevisions>false</trackRevisions>
    </reviewItem>
    <reviewItem>
      <errorID>72932209-5511-4cc5-8a38-7932166d345d</errorID>
      <errorWord>（</errorWord>
      <group>L1_Punc</group>
      <groupName>标点问题</groupName>
      <ability>L2_Punc</ability>
      <abilityName>标点符号检查</abilityName>
      <candidateList/>
      <explain>同一形式括号套用。</explain>
      <paraID>19023124</paraID>
      <start>140</start>
      <end>141</end>
      <status>ignored</status>
      <modifiedWord/>
      <trackRevisions>false</trackRevisions>
    </reviewItem>
    <reviewItem>
      <errorID>0871ea28-6db3-4445-b98e-472e3bee37b5</errorID>
      <errorWord>）</errorWord>
      <group>L1_Punc</group>
      <groupName>标点问题</groupName>
      <ability>L2_Punc</ability>
      <abilityName>标点符号检查</abilityName>
      <candidateList/>
      <explain>同一形式括号套用。</explain>
      <paraID>19023124</paraID>
      <start>157</start>
      <end>157</end>
      <status>modified</status>
      <modifiedWord/>
      <trackRevisions>false</trackRevisions>
    </reviewItem>
    <reviewItem>
      <errorID>20023759-b7d1-4cb2-9ef3-a19621108851</errorID>
      <errorWord>（</errorWord>
      <group>L1_Punc</group>
      <groupName>标点问题</groupName>
      <ability>L2_Punc</ability>
      <abilityName>标点符号检查</abilityName>
      <candidateList/>
      <explain>同一形式括号套用。</explain>
      <paraID>19023124</paraID>
      <start>168</start>
      <end>169</end>
      <status>ignored</status>
      <modifiedWord/>
      <trackRevisions>false</trackRevisions>
    </reviewItem>
    <reviewItem>
      <errorID>e1d800ad-d8d4-4ee7-a420-bdd9b4339c03</errorID>
      <errorWord>）</errorWord>
      <group>L1_Punc</group>
      <groupName>标点问题</groupName>
      <ability>L2_Punc</ability>
      <abilityName>标点符号检查</abilityName>
      <candidateList/>
      <explain>同一形式括号套用。</explain>
      <paraID>19023124</paraID>
      <start>184</start>
      <end>184</end>
      <status>modified</status>
      <modifiedWord/>
      <trackRevisions>false</trackRevisions>
    </reviewItem>
    <reviewItem>
      <errorID>4d3405c0-07e6-43e7-b9d3-16e88de0abb1</errorID>
      <errorWord>（</errorWord>
      <group>L1_Punc</group>
      <groupName>标点问题</groupName>
      <ability>L2_Punc</ability>
      <abilityName>标点符号检查</abilityName>
      <candidateList/>
      <explain>同一形式括号套用。</explain>
      <paraID>19023124</paraID>
      <start>210</start>
      <end>211</end>
      <status>ignored</status>
      <modifiedWord/>
      <trackRevisions>false</trackRevisions>
    </reviewItem>
    <reviewItem>
      <errorID>af737ded-e8eb-4f44-94d0-6949ee609ba7</errorID>
      <errorWord>（</errorWord>
      <group>L1_Punc</group>
      <groupName>标点问题</groupName>
      <ability>L2_Punc</ability>
      <abilityName>标点符号检查</abilityName>
      <candidateList/>
      <explain>同一形式括号套用。</explain>
      <paraID>19023124</paraID>
      <start>214</start>
      <end>215</end>
      <status>ignored</status>
      <modifiedWord/>
      <trackRevisions>false</trackRevisions>
    </reviewItem>
    <reviewItem>
      <errorID>a6d1c16e-2835-4abe-854d-3f3b790f728e</errorID>
      <errorWord>）</errorWord>
      <group>L1_Punc</group>
      <groupName>标点问题</groupName>
      <ability>L2_Punc</ability>
      <abilityName>标点符号检查</abilityName>
      <candidateList/>
      <explain>同一形式括号套用。</explain>
      <paraID>19023124</paraID>
      <start>216</start>
      <end>216</end>
      <status>modified</status>
      <modifiedWord/>
      <trackRevisions>false</trackRevisions>
    </reviewItem>
    <reviewItem>
      <errorID>feddedab-45da-4d19-9876-339b16dc3fe1</errorID>
      <errorWord>（</errorWord>
      <group>L1_Format</group>
      <groupName>格式问题</groupName>
      <ability>L2_HalfPunc</ability>
      <abilityName>全半角检查</abilityName>
      <candidateList>
        <item>(</item>
      </candidateList>
      <explain>文本全半角错误。</explain>
      <paraID>1AB7014F</paraID>
      <start>0</start>
      <end>1</end>
      <status>modified</status>
      <modifiedWord>(</modifiedWord>
      <trackRevisions>false</trackRevisions>
    </reviewItem>
    <reviewItem>
      <errorID>d82241ac-0790-4cb6-85aa-e693f8ac1796</errorID>
      <errorWord>）</errorWord>
      <group>L1_Format</group>
      <groupName>格式问题</groupName>
      <ability>L2_HalfPunc</ability>
      <abilityName>全半角检查</abilityName>
      <candidateList>
        <item>)</item>
      </candidateList>
      <explain>文本全半角错误。</explain>
      <paraID>1AB7014F</paraID>
      <start>2</start>
      <end>3</end>
      <status>modified</status>
      <modifiedWord>)</modifiedWord>
      <trackRevisions>false</trackRevisions>
    </reviewItem>
    <reviewItem>
      <errorID>a3107eeb-b704-46bd-afd3-9ea43e3ee3aa</errorID>
      <errorWord>(</errorWord>
      <group>L1_Format</group>
      <groupName>格式问题</groupName>
      <ability>L2_HalfPunc</ability>
      <abilityName>全半角检查</abilityName>
      <candidateList>
        <item>（</item>
      </candidateList>
      <explain>文本全半角错误。</explain>
      <paraID>1A0EADCC</paraID>
      <start>5</start>
      <end>6</end>
      <status>modified</status>
      <modifiedWord>（</modifiedWord>
      <trackRevisions>false</trackRevisions>
    </reviewItem>
    <reviewItem>
      <errorID>4722322c-4ac8-47a6-924e-ed3eeb70e8d5</errorID>
      <errorWord>)</errorWord>
      <group>L1_Format</group>
      <groupName>格式问题</groupName>
      <ability>L2_HalfPunc</ability>
      <abilityName>全半角检查</abilityName>
      <candidateList>
        <item>）</item>
      </candidateList>
      <explain>文本全半角错误。</explain>
      <paraID>1A0EADCC</paraID>
      <start>7</start>
      <end>8</end>
      <status>modified</status>
      <modifiedWord>）</modifiedWord>
      <trackRevisions>false</trackRevisions>
    </reviewItem>
    <reviewItem>
      <errorID>f087cdbd-5ae5-4522-8e2e-4a564d57d84a</errorID>
      <errorWord>（</errorWord>
      <group>L1_Format</group>
      <groupName>格式问题</groupName>
      <ability>L2_HalfPunc</ability>
      <abilityName>全半角检查</abilityName>
      <candidateList>
        <item>(</item>
      </candidateList>
      <explain>文本全半角错误。</explain>
      <paraID>71A670B1</paraID>
      <start>0</start>
      <end>1</end>
      <status>modified</status>
      <modifiedWord>(</modifiedWord>
      <trackRevisions>false</trackRevisions>
    </reviewItem>
    <reviewItem>
      <errorID>987483e3-d6f6-4d74-a4f3-ebb89ebc3f27</errorID>
      <errorWord>）</errorWord>
      <group>L1_Format</group>
      <groupName>格式问题</groupName>
      <ability>L2_HalfPunc</ability>
      <abilityName>全半角检查</abilityName>
      <candidateList>
        <item>)</item>
      </candidateList>
      <explain>文本全半角错误。</explain>
      <paraID>71A670B1</paraID>
      <start>2</start>
      <end>3</end>
      <status>modified</status>
      <modifiedWord>)</modifiedWord>
      <trackRevisions>false</trackRevisions>
    </reviewItem>
    <reviewItem>
      <errorID>54deaa0b-122a-47b1-b85e-65ae15cce5a1</errorID>
      <errorWord>(</errorWord>
      <group>L1_Format</group>
      <groupName>格式问题</groupName>
      <ability>L2_HalfPunc</ability>
      <abilityName>全半角检查</abilityName>
      <candidateList>
        <item>（</item>
      </candidateList>
      <explain>文本全半角错误。</explain>
      <paraID>4B3CEDD0</paraID>
      <start>66</start>
      <end>67</end>
      <status>modified</status>
      <modifiedWord>（</modifiedWord>
      <trackRevisions>false</trackRevisions>
    </reviewItem>
    <reviewItem>
      <errorID>96d839a9-04de-445f-b7a3-6b896d9591e3</errorID>
      <errorWord>)</errorWord>
      <group>L1_Format</group>
      <groupName>格式问题</groupName>
      <ability>L2_HalfPunc</ability>
      <abilityName>全半角检查</abilityName>
      <candidateList>
        <item>）</item>
      </candidateList>
      <explain>文本全半角错误。</explain>
      <paraID>4B3CEDD0</paraID>
      <start>69</start>
      <end>70</end>
      <status>modified</status>
      <modifiedWord>）</modifiedWord>
      <trackRevisions>false</trackRevisions>
    </reviewItem>
    <reviewItem>
      <errorID>f038c049-b993-4d6b-8264-d9700ab2dd7b</errorID>
      <errorWord>(</errorWord>
      <group>L1_Format</group>
      <groupName>格式问题</groupName>
      <ability>L2_HalfPunc</ability>
      <abilityName>全半角检查</abilityName>
      <candidateList>
        <item>（</item>
      </candidateList>
      <explain>文本全半角错误。</explain>
      <paraID> 19184E3</paraID>
      <start>66</start>
      <end>67</end>
      <status>modified</status>
      <modifiedWord>（</modifiedWord>
      <trackRevisions>false</trackRevisions>
    </reviewItem>
    <reviewItem>
      <errorID>1027c9b8-1848-4ad2-b46f-52d8a353d51e</errorID>
      <errorWord>)</errorWord>
      <group>L1_Format</group>
      <groupName>格式问题</groupName>
      <ability>L2_HalfPunc</ability>
      <abilityName>全半角检查</abilityName>
      <candidateList>
        <item>）</item>
      </candidateList>
      <explain>文本全半角错误。</explain>
      <paraID> 19184E3</paraID>
      <start>69</start>
      <end>70</end>
      <status>modified</status>
      <modifiedWord>）</modifiedWord>
      <trackRevisions>false</trackRevisions>
    </reviewItem>
    <reviewItem>
      <errorID>2c7b4dd5-e4e8-40ac-a0d4-c583e42a64bc</errorID>
      <errorWord>-</errorWord>
      <group>L1_Format</group>
      <groupName>格式问题</groupName>
      <ability>L2_HalfPunc</ability>
      <abilityName>全半角检查</abilityName>
      <candidateList>
        <item>－</item>
      </candidateList>
      <explain>文本全半角错误。</explain>
      <paraID> 19184E3</paraID>
      <start>86</start>
      <end>87</end>
      <status>modified</status>
      <modifiedWord>－</modifiedWord>
      <trackRevisions>false</trackRevisions>
    </reviewItem>
    <reviewItem>
      <errorID>f7d33a8a-bd7d-4e1e-a31e-ca2c656530dc</errorID>
      <errorWord>-</errorWord>
      <group>L1_Format</group>
      <groupName>格式问题</groupName>
      <ability>L2_HalfPunc</ability>
      <abilityName>全半角检查</abilityName>
      <candidateList>
        <item>－</item>
      </candidateList>
      <explain>文本全半角错误。</explain>
      <paraID>21ACC062</paraID>
      <start>12</start>
      <end>13</end>
      <status>modified</status>
      <modifiedWord>－</modifiedWord>
      <trackRevisions>false</trackRevisions>
    </reviewItem>
    <reviewItem>
      <errorID>40eec9b5-9cb0-48f5-bfdb-e736592c0728</errorID>
      <errorWord>(</errorWord>
      <group>L1_Format</group>
      <groupName>格式问题</groupName>
      <ability>L2_HalfPunc</ability>
      <abilityName>全半角检查</abilityName>
      <candidateList>
        <item>（</item>
      </candidateList>
      <explain>文本全半角错误。</explain>
      <paraID>194F6921</paraID>
      <start>76</start>
      <end>77</end>
      <status>modified</status>
      <modifiedWord>（</modifiedWord>
      <trackRevisions>false</trackRevisions>
    </reviewItem>
    <reviewItem>
      <errorID>0ee91790-2a8b-4950-9f4d-4720e7acf0cc</errorID>
      <errorWord>)</errorWord>
      <group>L1_Format</group>
      <groupName>格式问题</groupName>
      <ability>L2_HalfPunc</ability>
      <abilityName>全半角检查</abilityName>
      <candidateList>
        <item>）</item>
      </candidateList>
      <explain>文本全半角错误。</explain>
      <paraID>194F6921</paraID>
      <start>84</start>
      <end>85</end>
      <status>modified</status>
      <modifiedWord>）</modifiedWord>
      <trackRevisions>false</trackRevisions>
    </reviewItem>
    <reviewItem>
      <errorID>c2d4fd26-8e62-46ee-804a-e1954fccff58</errorID>
      <errorWord>40%~60%</errorWord>
      <group>L1_Knowledge</group>
      <groupName>知识性问题</groupName>
      <ability>L2_Knowledge</ability>
      <abilityName>其他知识</abilityName>
      <candidateList>
        <item>40%～60%</item>
      </candidateList>
      <explain>1. “40%~60%”中的单位“%”仅出现在后一个数字上，容易引起歧义；根据《现代汉语标点符号数字用法规范手册》，数字表示范围两边需要使用统一的格式。2. 根据标点国标 4.13 中的规则，数字、时间或地域连接符应使用（视觉上更长的）“—”或“～”。</explain>
      <paraID> B1DECA2</paraID>
      <start>40</start>
      <end>47</end>
      <status>modified</status>
      <modifiedWord>40%～60%</modifiedWord>
      <trackRevisions>false</trackRevisions>
    </reviewItem>
    <reviewItem>
      <errorID>eeab51fe-acc5-48c0-8788-3c135f459651</errorID>
      <errorWord>(</errorWord>
      <group>L1_Format</group>
      <groupName>格式问题</groupName>
      <ability>L2_HalfPunc</ability>
      <abilityName>全半角检查</abilityName>
      <candidateList>
        <item>（</item>
      </candidateList>
      <explain>文本全半角错误。</explain>
      <paraID> 3118B7C</paraID>
      <start>2</start>
      <end>3</end>
      <status>modified</status>
      <modifiedWord>（</modifiedWord>
      <trackRevisions>false</trackRevisions>
    </reviewItem>
    <reviewItem>
      <errorID>c3415042-f177-469f-b124-b04639759e82</errorID>
      <errorWord>)</errorWord>
      <group>L1_Format</group>
      <groupName>格式问题</groupName>
      <ability>L2_HalfPunc</ability>
      <abilityName>全半角检查</abilityName>
      <candidateList>
        <item>）</item>
      </candidateList>
      <explain>文本全半角错误。</explain>
      <paraID> 3118B7C</paraID>
      <start>4</start>
      <end>5</end>
      <status>modified</status>
      <modifiedWord>）</modifiedWord>
      <trackRevisions>false</trackRevisions>
    </reviewItem>
    <reviewItem>
      <errorID>5e5c56bf-e7dc-4b4b-9b72-bad6b063fcf1</errorID>
      <errorWord>（</errorWord>
      <group>L1_Format</group>
      <groupName>格式问题</groupName>
      <ability>L2_HalfPunc</ability>
      <abilityName>全半角检查</abilityName>
      <candidateList>
        <item>(</item>
      </candidateList>
      <explain>文本全半角错误。</explain>
      <paraID>1CC598D1</paraID>
      <start>0</start>
      <end>1</end>
      <status>modified</status>
      <modifiedWord>(</modifiedWord>
      <trackRevisions>false</trackRevisions>
    </reviewItem>
    <reviewItem>
      <errorID>d7a4d213-c180-4950-9f72-4e29691c70c5</errorID>
      <errorWord>）</errorWord>
      <group>L1_Format</group>
      <groupName>格式问题</groupName>
      <ability>L2_HalfPunc</ability>
      <abilityName>全半角检查</abilityName>
      <candidateList>
        <item>)</item>
      </candidateList>
      <explain>文本全半角错误。</explain>
      <paraID>1CC598D1</paraID>
      <start>2</start>
      <end>3</end>
      <status>modified</status>
      <modifiedWord>)</modifiedWord>
      <trackRevisions>false</trackRevisions>
    </reviewItem>
    <reviewItem>
      <errorID>b30a2fb7-4d52-449d-9986-1b69618813d7</errorID>
      <errorWord>(</errorWord>
      <group>L1_Format</group>
      <groupName>格式问题</groupName>
      <ability>L2_HalfPunc</ability>
      <abilityName>全半角检查</abilityName>
      <candidateList>
        <item>（</item>
      </candidateList>
      <explain>文本全半角错误。</explain>
      <paraID>1E30F080</paraID>
      <start>3</start>
      <end>4</end>
      <status>modified</status>
      <modifiedWord>（</modifiedWord>
      <trackRevisions>false</trackRevisions>
    </reviewItem>
    <reviewItem>
      <errorID>99943026-39b7-4fba-8c51-1f32321559b7</errorID>
      <errorWord>)</errorWord>
      <group>L1_Format</group>
      <groupName>格式问题</groupName>
      <ability>L2_HalfPunc</ability>
      <abilityName>全半角检查</abilityName>
      <candidateList>
        <item>）</item>
      </candidateList>
      <explain>文本全半角错误。</explain>
      <paraID>1E30F080</paraID>
      <start>7</start>
      <end>8</end>
      <status>modified</status>
      <modifiedWord>）</modifiedWord>
      <trackRevisions>false</trackRevisions>
    </reviewItem>
    <reviewItem>
      <errorID>e009c259-32b5-47df-ac8d-a86bbe340f93</errorID>
      <errorWord>原料原料</errorWord>
      <group>L1_Word</group>
      <groupName>字词问题</groupName>
      <ability>L2_Typo</ability>
      <abilityName>字词错误</abilityName>
      <candidateList>
        <item>原料</item>
      </candidateList>
      <explain/>
      <paraID>4AAA5532</paraID>
      <start>15</start>
      <end>17</end>
      <status>modified</status>
      <modifiedWord>原料</modifiedWord>
      <trackRevisions>false</trackRevisions>
    </reviewItem>
    <reviewItem>
      <errorID>2b391b43-f4d0-415e-82de-bdf7b8d32428</errorID>
      <errorWord>18%~19%</errorWord>
      <group>L1_Knowledge</group>
      <groupName>知识性问题</groupName>
      <ability>L2_Knowledge</ability>
      <abilityName>其他知识</abilityName>
      <candidateList>
        <item>18%～19%</item>
      </candidateList>
      <explain>1. “18%~19%”中的单位“%”仅出现在后一个数字上，容易引起歧义；根据《现代汉语标点符号数字用法规范手册》，数字表示范围两边需要使用统一的格式。2. 根据标点国标 4.13 中的规则，数字、时间或地域连接符应使用（视觉上更长的）“—”或“～”。</explain>
      <paraID>479D1A03</paraID>
      <start>64</start>
      <end>71</end>
      <status>modified</status>
      <modifiedWord>18%～19%</modifiedWord>
      <trackRevisions>false</trackRevisions>
    </reviewItem>
    <reviewItem>
      <errorID>05c62171-9071-468d-aa19-084172a507aa</errorID>
      <errorWord>30%~40%</errorWord>
      <group>L1_Knowledge</group>
      <groupName>知识性问题</groupName>
      <ability>L2_Knowledge</ability>
      <abilityName>其他知识</abilityName>
      <candidateList>
        <item>30%～40%</item>
      </candidateList>
      <explain>1. “30%~40%”中的单位“%”仅出现在后一个数字上，容易引起歧义；根据《现代汉语标点符号数字用法规范手册》，数字表示范围两边需要使用统一的格式。2. 根据标点国标 4.13 中的规则，数字、时间或地域连接符应使用（视觉上更长的）“—”或“～”。</explain>
      <paraID>479D1A03</paraID>
      <start>88</start>
      <end>95</end>
      <status>modified</status>
      <modifiedWord>30%～40%</modifiedWord>
      <trackRevisions>false</trackRevisions>
    </reviewItem>
    <reviewItem>
      <errorID>c9e17ac2-b13e-43f2-b47e-bd7a40c1134f</errorID>
      <errorWord>、</errorWord>
      <group>L1_Punc</group>
      <groupName>标点问题</groupName>
      <ability>L2_Punc</ability>
      <abilityName>标点符号检查</abilityName>
      <candidateList>
        <item>.</item>
      </candidateList>
      <explain/>
      <paraID>4C5C88EF</paraID>
      <start>1</start>
      <end>2</end>
      <status>modified</status>
      <modifiedWord>.</modifiedWord>
      <trackRevisions>false</trackRevisions>
    </reviewItem>
    <reviewItem>
      <errorID>15a4a84f-2d42-48e5-afdf-3862800d5d47</errorID>
      <errorWord>40%~60%</errorWord>
      <group>L1_Knowledge</group>
      <groupName>知识性问题</groupName>
      <ability>L2_Knowledge</ability>
      <abilityName>其他知识</abilityName>
      <candidateList>
        <item>40%～60%</item>
      </candidateList>
      <explain>1. “40%~60%”中的单位“%”仅出现在后一个数字上，容易引起歧义；根据《现代汉语标点符号数字用法规范手册》，数字表示范围两边需要使用统一的格式。2. 根据标点国标 4.13 中的规则，数字、时间或地域连接符应使用（视觉上更长的）“—”或“～”。</explain>
      <paraID>5858FE8E</paraID>
      <start>274</start>
      <end>281</end>
      <status>modified</status>
      <modifiedWord>40%～60%</modifiedWord>
      <trackRevisions>false</trackRevisions>
    </reviewItem>
    <reviewItem>
      <errorID>eda12f51-ede6-4123-a66b-f878d1cc7b77</errorID>
      <errorWord>运</errorWord>
      <group>L1_Word</group>
      <groupName>字词问题</groupName>
      <ability>L2_Typo</ability>
      <abilityName>字词错误</abilityName>
      <candidateList>
        <item>运到</item>
      </candidateList>
      <explain/>
      <paraID> 23BFA5C</paraID>
      <start>80</start>
      <end>82</end>
      <status>modified</status>
      <modifiedWord>运到</modifiedWord>
      <trackRevisions>false</trackRevisions>
    </reviewItem>
    <reviewItem>
      <errorID>ee6dcd5f-a5b7-465e-9321-eb6b5b9388de</errorID>
      <errorWord>(</errorWord>
      <group>L1_Format</group>
      <groupName>格式问题</groupName>
      <ability>L2_HalfPunc</ability>
      <abilityName>全半角检查</abilityName>
      <candidateList>
        <item>（</item>
      </candidateList>
      <explain>文本全半角错误。</explain>
      <paraID>46561681</paraID>
      <start>70</start>
      <end>71</end>
      <status>modified</status>
      <modifiedWord>（</modifiedWord>
      <trackRevisions>false</trackRevisions>
    </reviewItem>
    <reviewItem>
      <errorID>b1319c80-4393-4766-b910-797013c3e814</errorID>
      <errorWord>)</errorWord>
      <group>L1_Format</group>
      <groupName>格式问题</groupName>
      <ability>L2_HalfPunc</ability>
      <abilityName>全半角检查</abilityName>
      <candidateList>
        <item>）</item>
      </candidateList>
      <explain>文本全半角错误。</explain>
      <paraID>46561681</paraID>
      <start>83</start>
      <end>84</end>
      <status>modified</status>
      <modifiedWord>）</modifiedWord>
      <trackRevisions>false</trackRevisions>
    </reviewItem>
    <reviewItem>
      <errorID>170230d4-dda0-4431-b136-78c88ecceb71</errorID>
      <errorWord>（</errorWord>
      <group>L1_Format</group>
      <groupName>格式问题</groupName>
      <ability>L2_HalfPunc</ability>
      <abilityName>全半角检查</abilityName>
      <candidateList>
        <item>(</item>
      </candidateList>
      <explain>文本全半角错误。</explain>
      <paraID>4D7F3FF4</paraID>
      <start>0</start>
      <end>1</end>
      <status>modified</status>
      <modifiedWord>(</modifiedWord>
      <trackRevisions>false</trackRevisions>
    </reviewItem>
    <reviewItem>
      <errorID>a9ebfa4c-780b-4dc9-8de7-906f4f7afb4b</errorID>
      <errorWord>）</errorWord>
      <group>L1_Format</group>
      <groupName>格式问题</groupName>
      <ability>L2_HalfPunc</ability>
      <abilityName>全半角检查</abilityName>
      <candidateList>
        <item>)</item>
      </candidateList>
      <explain>文本全半角错误。</explain>
      <paraID>4D7F3FF4</paraID>
      <start>3</start>
      <end>4</end>
      <status>modified</status>
      <modifiedWord>)</modifiedWord>
      <trackRevisions>false</trackRevisions>
    </reviewItem>
    <reviewItem>
      <errorID>4fcc5bab-62f6-49c9-aa2d-f06c9e3e67a1</errorID>
      <errorWord>卫生部</errorWord>
      <group>L1_Knowledge</group>
      <groupName>知识性问题</groupName>
      <ability>L2_Organization</ability>
      <abilityName>机构检查</abilityName>
      <candidateList/>
      <explain>2013年3月，根据《国务院关于提请审议国务院机构改革和职能转变方案》的议案，组建国家卫生和计划生育委员会，不再保留卫生部。2018年3月，中共中央印发了《深化党和国家机构改革方案》，组建国家卫生健康委员会，不再保留国家卫生和计划生育委员会。</explain>
      <paraID>5D00243F</paraID>
      <start>49</start>
      <end>52</end>
      <status>ignored</status>
      <modifiedWord/>
      <trackRevisions>false</trackRevisions>
    </reviewItem>
    <reviewItem>
      <errorID>05b2d853-1804-47f7-8234-dcf82ea27b59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6B9DA7D</paraID>
      <start>155</start>
      <end>156</end>
      <status>modified</status>
      <modifiedWord>—</modifiedWord>
      <trackRevisions>false</trackRevisions>
    </reviewItem>
    <reviewItem>
      <errorID>907b1aaa-159c-4305-af37-f274dd774214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6B9DA7D</paraID>
      <start>194</start>
      <end>195</end>
      <status>modified</status>
      <modifiedWord>—</modifiedWord>
      <trackRevisions>false</trackRevisions>
    </reviewItem>
    <reviewItem>
      <errorID>a2e37a59-2c9e-476b-a800-6553cf358d29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64398414</paraID>
      <start>241</start>
      <end>242</end>
      <status>modified</status>
      <modifiedWord>—</modifiedWord>
      <trackRevisions>false</trackRevisions>
    </reviewItem>
    <reviewItem>
      <errorID>f02ccd79-fa14-4227-add6-a8a7967d859a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64398414</paraID>
      <start>280</start>
      <end>281</end>
      <status>modified</status>
      <modifiedWord>—</modifiedWord>
      <trackRevisions>false</trackRevisions>
    </reviewItem>
    <reviewItem>
      <errorID>1584dcdf-a796-46a2-9dda-2ac1a432df5e</errorID>
      <errorWord>（</errorWord>
      <group>L1_Punc</group>
      <groupName>标点问题</groupName>
      <ability>L2_Punc</ability>
      <abilityName>标点符号检查</abilityName>
      <candidateList/>
      <explain>同一形式括号套用。</explain>
      <paraID>5559495B</paraID>
      <start>21</start>
      <end>22</end>
      <status>ignored</status>
      <modifiedWord/>
      <trackRevisions>false</trackRevisions>
    </reviewItem>
    <reviewItem>
      <errorID>57864c11-fcff-4a32-ac59-b4af07a30077</errorID>
      <errorWord>）</errorWord>
      <group>L1_Punc</group>
      <groupName>标点问题</groupName>
      <ability>L2_Punc</ability>
      <abilityName>标点符号检查</abilityName>
      <candidateList/>
      <explain>同一形式括号套用。</explain>
      <paraID>5559495B</paraID>
      <start>25</start>
      <end>25</end>
      <status>modified</status>
      <modifiedWord/>
      <trackRevisions>false</trackRevisions>
    </reviewItem>
    <reviewItem>
      <errorID>c9e7282b-f092-4b4b-9b4a-aafe07da1681</errorID>
      <errorWord>(</errorWord>
      <group>L1_Format</group>
      <groupName>格式问题</groupName>
      <ability>L2_HalfPunc</ability>
      <abilityName>全半角检查</abilityName>
      <candidateList>
        <item>（</item>
      </candidateList>
      <explain>文本全半角错误。</explain>
      <paraID>5559495B</paraID>
      <start>99</start>
      <end>100</end>
      <status>modified</status>
      <modifiedWord>（</modifiedWord>
      <trackRevisions>false</trackRevisions>
    </reviewItem>
    <reviewItem>
      <errorID>86e5d094-cf9b-44e4-b6fa-813c68e01f7d</errorID>
      <errorWord>)</errorWord>
      <group>L1_Format</group>
      <groupName>格式问题</groupName>
      <ability>L2_HalfPunc</ability>
      <abilityName>全半角检查</abilityName>
      <candidateList>
        <item>）</item>
      </candidateList>
      <explain>文本全半角错误。</explain>
      <paraID>5559495B</paraID>
      <start>115</start>
      <end>116</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3e0d18d-9b1a-4984-ae51-132cd186eb04}">
  <ds:schemaRefs/>
</ds:datastoreItem>
</file>

<file path=docProps/app.xml><?xml version="1.0" encoding="utf-8"?>
<Properties xmlns="http://schemas.openxmlformats.org/officeDocument/2006/extended-properties" xmlns:vt="http://schemas.openxmlformats.org/officeDocument/2006/docPropsVTypes">
  <Template>wdzx97</Template>
  <Pages>173</Pages>
  <Words>5172</Words>
  <Characters>6082</Characters>
  <Lines>153</Lines>
  <Paragraphs>43</Paragraphs>
  <TotalTime>4</TotalTime>
  <ScaleCrop>false</ScaleCrop>
  <LinksUpToDate>false</LinksUpToDate>
  <CharactersWithSpaces>6082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2020-12-24T01:29:00Z</dcterms:created>
  <dc:creator>lhj</dc:creator>
  <cp:lastModifiedBy>他山之石</cp:lastModifiedBy>
  <cp:lastPrinted>2026-06-05T07:00:00Z</cp:lastPrinted>
  <dcterms:modified xsi:type="dcterms:W3CDTF">2026-06-10T01:24:17Z</dcterms:modified>
  <dc:title>附件2</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E75B7654A0E54437BEEA54193EAD5298_13</vt:lpwstr>
  </property>
  <property fmtid="{D5CDD505-2E9C-101B-9397-08002B2CF9AE}" pid="4" name="KSOTemplateDocerSaveRecord">
    <vt:lpwstr>eyJoZGlkIjoiOGU0YWYzZDI2YTcwZDgxM2I1NzUzNDAyMmE3ZGRiZWQiLCJ1c2VySWQiOiIyMjgyNzEzMTAifQ==</vt:lpwstr>
  </property>
</Properties>
</file>